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Heritage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_Toc154741943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_Toc154741944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_Toc154741945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and traditional use</w:t>
      </w:r>
    </w:p>
    <w:p>
      <w:pPr>
        <w:pStyle w:val="TOC8"/>
        <w:rPr>
          <w:rFonts w:asciiTheme="minorHAnsi" w:eastAsiaTheme="minorEastAsia" w:hAnsiTheme="minorHAnsi" w:cstheme="minorBidi"/>
          <w:szCs w:val="22"/>
        </w:rPr>
      </w:pPr>
      <w:r>
        <w:t>4A.</w:t>
      </w:r>
      <w:r>
        <w:tab/>
        <w:t>Application of Act limited</w:t>
      </w:r>
      <w:r>
        <w:tab/>
      </w:r>
      <w:r>
        <w:fldChar w:fldCharType="begin"/>
      </w:r>
      <w:r>
        <w:instrText xml:space="preserve"> PAGEREF _Toc154741947 \h </w:instrText>
      </w:r>
      <w:r>
        <w:fldChar w:fldCharType="separate"/>
      </w:r>
      <w:r>
        <w:t>4</w:t>
      </w:r>
      <w:r>
        <w:fldChar w:fldCharType="end"/>
      </w:r>
    </w:p>
    <w:p>
      <w:pPr>
        <w:pStyle w:val="TOC8"/>
        <w:rPr>
          <w:rFonts w:asciiTheme="minorHAnsi" w:eastAsiaTheme="minorEastAsia" w:hAnsiTheme="minorHAnsi" w:cstheme="minorBidi"/>
          <w:szCs w:val="22"/>
        </w:rPr>
      </w:pPr>
      <w:r>
        <w:t>4B.</w:t>
      </w:r>
      <w:r>
        <w:tab/>
        <w:t>Act continues to apply for certain purposes only</w:t>
      </w:r>
      <w:r>
        <w:tab/>
      </w:r>
      <w:r>
        <w:fldChar w:fldCharType="begin"/>
      </w:r>
      <w:r>
        <w:instrText xml:space="preserve"> PAGEREF _Toc154741948 \h </w:instrText>
      </w:r>
      <w:r>
        <w:fldChar w:fldCharType="separate"/>
      </w:r>
      <w:r>
        <w:t>4</w:t>
      </w:r>
      <w:r>
        <w:fldChar w:fldCharType="end"/>
      </w:r>
    </w:p>
    <w:p>
      <w:pPr>
        <w:pStyle w:val="TOC8"/>
        <w:rPr>
          <w:rFonts w:asciiTheme="minorHAnsi" w:eastAsiaTheme="minorEastAsia" w:hAnsiTheme="minorHAnsi" w:cstheme="minorBidi"/>
          <w:szCs w:val="22"/>
        </w:rPr>
      </w:pPr>
      <w:r>
        <w:t>4C.</w:t>
      </w:r>
      <w:r>
        <w:tab/>
        <w:t>Transitional provisions not affected by s. 4A or 4B</w:t>
      </w:r>
      <w:r>
        <w:tab/>
      </w:r>
      <w:r>
        <w:fldChar w:fldCharType="begin"/>
      </w:r>
      <w:r>
        <w:instrText xml:space="preserve"> PAGEREF _Toc154741949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places</w:t>
      </w:r>
      <w:r>
        <w:tab/>
      </w:r>
      <w:r>
        <w:fldChar w:fldCharType="begin"/>
      </w:r>
      <w:r>
        <w:instrText xml:space="preserve"> PAGEREF _Toc154741950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objects</w:t>
      </w:r>
      <w:r>
        <w:tab/>
      </w:r>
      <w:r>
        <w:fldChar w:fldCharType="begin"/>
      </w:r>
      <w:r>
        <w:instrText xml:space="preserve"> PAGEREF _Toc154741951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Traditional use</w:t>
      </w:r>
      <w:r>
        <w:tab/>
      </w:r>
      <w:r>
        <w:fldChar w:fldCharType="begin"/>
      </w:r>
      <w:r>
        <w:instrText xml:space="preserve"> PAGEREF _Toc154741952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Availability for traditional use</w:t>
      </w:r>
      <w:r>
        <w:tab/>
      </w:r>
      <w:r>
        <w:fldChar w:fldCharType="begin"/>
      </w:r>
      <w:r>
        <w:instrText xml:space="preserve"> PAGEREF _Toc154741953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Traditional custodians</w:t>
      </w:r>
      <w:r>
        <w:tab/>
      </w:r>
      <w:r>
        <w:fldChar w:fldCharType="begin"/>
      </w:r>
      <w:r>
        <w:instrText xml:space="preserve"> PAGEREF _Toc154741954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10</w:t>
      </w:r>
      <w:r>
        <w:rPr>
          <w:snapToGrid w:val="0"/>
        </w:rPr>
        <w:t>.</w:t>
      </w:r>
      <w:r>
        <w:rPr>
          <w:snapToGrid w:val="0"/>
        </w:rPr>
        <w:tab/>
        <w:t>Duty of the Minister</w:t>
      </w:r>
      <w:r>
        <w:tab/>
      </w:r>
      <w:r>
        <w:fldChar w:fldCharType="begin"/>
      </w:r>
      <w:r>
        <w:instrText xml:space="preserve"> PAGEREF _Toc154741956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a body corporate</w:t>
      </w:r>
      <w:r>
        <w:tab/>
      </w:r>
      <w:r>
        <w:fldChar w:fldCharType="begin"/>
      </w:r>
      <w:r>
        <w:instrText xml:space="preserve"> PAGEREF _Toc154741957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Administration</w:t>
      </w:r>
      <w:r>
        <w:tab/>
      </w:r>
      <w:r>
        <w:fldChar w:fldCharType="begin"/>
      </w:r>
      <w:r>
        <w:instrText xml:space="preserve"> PAGEREF _Toc154741958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delegation</w:t>
      </w:r>
      <w:r>
        <w:tab/>
      </w:r>
      <w:r>
        <w:fldChar w:fldCharType="begin"/>
      </w:r>
      <w:r>
        <w:instrText xml:space="preserve"> PAGEREF _Toc154741959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Compensation on statutory vesting</w:t>
      </w:r>
      <w:r>
        <w:tab/>
      </w:r>
      <w:r>
        <w:fldChar w:fldCharType="begin"/>
      </w:r>
      <w:r>
        <w:instrText xml:space="preserve"> PAGEREF _Toc154741960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Protection of Aboriginal sites</w:t>
      </w:r>
    </w:p>
    <w:p>
      <w:pPr>
        <w:pStyle w:val="TOC8"/>
        <w:rPr>
          <w:rFonts w:asciiTheme="minorHAnsi" w:eastAsiaTheme="minorEastAsia" w:hAnsiTheme="minorHAnsi" w:cstheme="minorBidi"/>
          <w:szCs w:val="22"/>
        </w:rPr>
      </w:pPr>
      <w:r>
        <w:t>15</w:t>
      </w:r>
      <w:r>
        <w:rPr>
          <w:snapToGrid w:val="0"/>
        </w:rPr>
        <w:t>.</w:t>
      </w:r>
      <w:r>
        <w:rPr>
          <w:snapToGrid w:val="0"/>
        </w:rPr>
        <w:tab/>
        <w:t>Report of findings</w:t>
      </w:r>
      <w:r>
        <w:tab/>
      </w:r>
      <w:r>
        <w:fldChar w:fldCharType="begin"/>
      </w:r>
      <w:r>
        <w:instrText xml:space="preserve"> PAGEREF _Toc154741962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Excavation of Aboriginal sites</w:t>
      </w:r>
      <w:r>
        <w:tab/>
      </w:r>
      <w:r>
        <w:fldChar w:fldCharType="begin"/>
      </w:r>
      <w:r>
        <w:instrText xml:space="preserve"> PAGEREF _Toc154741963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Offences relating to Aboriginal sites</w:t>
      </w:r>
      <w:r>
        <w:tab/>
      </w:r>
      <w:r>
        <w:fldChar w:fldCharType="begin"/>
      </w:r>
      <w:r>
        <w:instrText xml:space="preserve"> PAGEREF _Toc154741964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Consent to certain uses</w:t>
      </w:r>
      <w:r>
        <w:tab/>
      </w:r>
      <w:r>
        <w:fldChar w:fldCharType="begin"/>
      </w:r>
      <w:r>
        <w:instrText xml:space="preserve"> PAGEREF _Toc154741965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Protected areas</w:t>
      </w:r>
      <w:r>
        <w:tab/>
      </w:r>
      <w:r>
        <w:fldChar w:fldCharType="begin"/>
      </w:r>
      <w:r>
        <w:instrText xml:space="preserve"> PAGEREF _Toc154741966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Temporarily protected areas</w:t>
      </w:r>
      <w:r>
        <w:tab/>
      </w:r>
      <w:r>
        <w:fldChar w:fldCharType="begin"/>
      </w:r>
      <w:r>
        <w:instrText xml:space="preserve"> PAGEREF _Toc154741967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Objection to declaration</w:t>
      </w:r>
      <w:r>
        <w:tab/>
      </w:r>
      <w:r>
        <w:fldChar w:fldCharType="begin"/>
      </w:r>
      <w:r>
        <w:instrText xml:space="preserve"> PAGEREF _Toc154741968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Compensation and compulsory acquisition</w:t>
      </w:r>
      <w:r>
        <w:tab/>
      </w:r>
      <w:r>
        <w:fldChar w:fldCharType="begin"/>
      </w:r>
      <w:r>
        <w:instrText xml:space="preserve"> PAGEREF _Toc154741969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Marking of protected areas</w:t>
      </w:r>
      <w:r>
        <w:tab/>
      </w:r>
      <w:r>
        <w:fldChar w:fldCharType="begin"/>
      </w:r>
      <w:r>
        <w:instrText xml:space="preserve"> PAGEREF _Toc154741970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Notification of changes etc.</w:t>
      </w:r>
      <w:r>
        <w:tab/>
      </w:r>
      <w:r>
        <w:fldChar w:fldCharType="begin"/>
      </w:r>
      <w:r>
        <w:instrText xml:space="preserve"> PAGEREF _Toc154741971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Variation of Orders in Council</w:t>
      </w:r>
      <w:r>
        <w:tab/>
      </w:r>
      <w:r>
        <w:fldChar w:fldCharType="begin"/>
      </w:r>
      <w:r>
        <w:instrText xml:space="preserve"> PAGEREF _Toc154741972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as to protected areas</w:t>
      </w:r>
      <w:r>
        <w:tab/>
      </w:r>
      <w:r>
        <w:fldChar w:fldCharType="begin"/>
      </w:r>
      <w:r>
        <w:instrText xml:space="preserve"> PAGEREF _Toc154741973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Covenants</w:t>
      </w:r>
      <w:r>
        <w:tab/>
      </w:r>
      <w:r>
        <w:fldChar w:fldCharType="begin"/>
      </w:r>
      <w:r>
        <w:instrText xml:space="preserve"> PAGEREF _Toc154741974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Aboriginal Cultural Material Committee</w:t>
      </w:r>
    </w:p>
    <w:p>
      <w:pPr>
        <w:pStyle w:val="TOC8"/>
        <w:rPr>
          <w:rFonts w:asciiTheme="minorHAnsi" w:eastAsiaTheme="minorEastAsia" w:hAnsiTheme="minorHAnsi" w:cstheme="minorBidi"/>
          <w:szCs w:val="22"/>
        </w:rPr>
      </w:pPr>
      <w:r>
        <w:t>28</w:t>
      </w:r>
      <w:r>
        <w:rPr>
          <w:snapToGrid w:val="0"/>
        </w:rPr>
        <w:t>.</w:t>
      </w:r>
      <w:r>
        <w:rPr>
          <w:snapToGrid w:val="0"/>
        </w:rPr>
        <w:tab/>
        <w:t>Aboriginal Cultural Material Committee</w:t>
      </w:r>
      <w:r>
        <w:tab/>
      </w:r>
      <w:r>
        <w:fldChar w:fldCharType="begin"/>
      </w:r>
      <w:r>
        <w:instrText xml:space="preserve"> PAGEREF _Toc154741976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w:t>
      </w:r>
      <w:r>
        <w:rPr>
          <w:snapToGrid w:val="0"/>
        </w:rPr>
        <w:noBreakHyphen/>
        <w:t>officio members</w:t>
      </w:r>
      <w:r>
        <w:tab/>
      </w:r>
      <w:r>
        <w:fldChar w:fldCharType="begin"/>
      </w:r>
      <w:r>
        <w:instrText xml:space="preserve"> PAGEREF _Toc154741977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Resignation, disqualification and co</w:t>
      </w:r>
      <w:r>
        <w:rPr>
          <w:snapToGrid w:val="0"/>
        </w:rPr>
        <w:noBreakHyphen/>
        <w:t>option</w:t>
      </w:r>
      <w:r>
        <w:tab/>
      </w:r>
      <w:r>
        <w:fldChar w:fldCharType="begin"/>
      </w:r>
      <w:r>
        <w:instrText xml:space="preserve"> PAGEREF _Toc154741978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Deputies</w:t>
      </w:r>
      <w:r>
        <w:tab/>
      </w:r>
      <w:r>
        <w:fldChar w:fldCharType="begin"/>
      </w:r>
      <w:r>
        <w:instrText xml:space="preserve"> PAGEREF _Toc154741979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Quorum and meetings</w:t>
      </w:r>
      <w:r>
        <w:tab/>
      </w:r>
      <w:r>
        <w:fldChar w:fldCharType="begin"/>
      </w:r>
      <w:r>
        <w:instrText xml:space="preserve"> PAGEREF _Toc154741980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Records and validity of proceedings</w:t>
      </w:r>
      <w:r>
        <w:tab/>
      </w:r>
      <w:r>
        <w:fldChar w:fldCharType="begin"/>
      </w:r>
      <w:r>
        <w:instrText xml:space="preserve"> PAGEREF _Toc154741981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Procedure</w:t>
      </w:r>
      <w:r>
        <w:tab/>
      </w:r>
      <w:r>
        <w:fldChar w:fldCharType="begin"/>
      </w:r>
      <w:r>
        <w:instrText xml:space="preserve"> PAGEREF _Toc154741982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Public Sector Management Act provisions</w:t>
      </w:r>
      <w:r>
        <w:tab/>
      </w:r>
      <w:r>
        <w:fldChar w:fldCharType="begin"/>
      </w:r>
      <w:r>
        <w:instrText xml:space="preserve"> PAGEREF _Toc154741983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Remuneration etc.</w:t>
      </w:r>
      <w:r>
        <w:tab/>
      </w:r>
      <w:r>
        <w:fldChar w:fldCharType="begin"/>
      </w:r>
      <w:r>
        <w:instrText xml:space="preserve"> PAGEREF _Toc154741984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Registrar of Aboriginal Sites</w:t>
      </w:r>
      <w:r>
        <w:tab/>
      </w:r>
      <w:r>
        <w:fldChar w:fldCharType="begin"/>
      </w:r>
      <w:r>
        <w:instrText xml:space="preserve"> PAGEREF _Toc154741985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places and objects</w:t>
      </w:r>
      <w:r>
        <w:tab/>
      </w:r>
      <w:r>
        <w:fldChar w:fldCharType="begin"/>
      </w:r>
      <w:r>
        <w:instrText xml:space="preserve"> PAGEREF _Toc154741986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Functions of the Committee</w:t>
      </w:r>
      <w:r>
        <w:tab/>
      </w:r>
      <w:r>
        <w:fldChar w:fldCharType="begin"/>
      </w:r>
      <w:r>
        <w:instrText xml:space="preserve"> PAGEREF _Toc154741987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Protection for Aboriginal objects</w:t>
      </w:r>
    </w:p>
    <w:p>
      <w:pPr>
        <w:pStyle w:val="TOC8"/>
        <w:rPr>
          <w:rFonts w:asciiTheme="minorHAnsi" w:eastAsiaTheme="minorEastAsia" w:hAnsiTheme="minorHAnsi" w:cstheme="minorBidi"/>
          <w:szCs w:val="22"/>
        </w:rPr>
      </w:pPr>
      <w:r>
        <w:t>39A</w:t>
      </w:r>
      <w:r>
        <w:rPr>
          <w:snapToGrid w:val="0"/>
        </w:rPr>
        <w:t>.</w:t>
      </w:r>
      <w:r>
        <w:rPr>
          <w:snapToGrid w:val="0"/>
        </w:rPr>
        <w:tab/>
        <w:t>Consultation between Minister and Trustees concerning administration of Part VI</w:t>
      </w:r>
      <w:r>
        <w:tab/>
      </w:r>
      <w:r>
        <w:fldChar w:fldCharType="begin"/>
      </w:r>
      <w:r>
        <w:instrText xml:space="preserve"> PAGEREF _Toc154741989 \h </w:instrText>
      </w:r>
      <w:r>
        <w:fldChar w:fldCharType="separate"/>
      </w:r>
      <w:r>
        <w:t>29</w:t>
      </w:r>
      <w:r>
        <w:fldChar w:fldCharType="end"/>
      </w:r>
    </w:p>
    <w:p>
      <w:pPr>
        <w:pStyle w:val="TOC8"/>
        <w:rPr>
          <w:rFonts w:asciiTheme="minorHAnsi" w:eastAsiaTheme="minorEastAsia" w:hAnsiTheme="minorHAnsi" w:cstheme="minorBidi"/>
          <w:szCs w:val="22"/>
        </w:rPr>
      </w:pPr>
      <w:r>
        <w:t>39B.</w:t>
      </w:r>
      <w:r>
        <w:tab/>
        <w:t>Minister may delegate to Trustees under Part VI</w:t>
      </w:r>
      <w:r>
        <w:tab/>
      </w:r>
      <w:r>
        <w:fldChar w:fldCharType="begin"/>
      </w:r>
      <w:r>
        <w:instrText xml:space="preserve"> PAGEREF _Toc154741990 \h </w:instrText>
      </w:r>
      <w:r>
        <w:fldChar w:fldCharType="separate"/>
      </w:r>
      <w:r>
        <w:t>29</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Registrar may act on Minister’s behalf</w:t>
      </w:r>
      <w:r>
        <w:tab/>
      </w:r>
      <w:r>
        <w:fldChar w:fldCharType="begin"/>
      </w:r>
      <w:r>
        <w:instrText xml:space="preserve"> PAGEREF _Toc154741991 \h </w:instrText>
      </w:r>
      <w:r>
        <w:fldChar w:fldCharType="separate"/>
      </w:r>
      <w:r>
        <w:t>29</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Minister to consult with Committee</w:t>
      </w:r>
      <w:r>
        <w:tab/>
      </w:r>
      <w:r>
        <w:fldChar w:fldCharType="begin"/>
      </w:r>
      <w:r>
        <w:instrText xml:space="preserve"> PAGEREF _Toc154741992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Aboriginal cultural material</w:t>
      </w:r>
      <w:r>
        <w:tab/>
      </w:r>
      <w:r>
        <w:fldChar w:fldCharType="begin"/>
      </w:r>
      <w:r>
        <w:instrText xml:space="preserve"> PAGEREF _Toc154741993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and production of objects</w:t>
      </w:r>
      <w:r>
        <w:tab/>
      </w:r>
      <w:r>
        <w:fldChar w:fldCharType="begin"/>
      </w:r>
      <w:r>
        <w:instrText xml:space="preserve"> PAGEREF _Toc154741994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Retention by Minister</w:t>
      </w:r>
      <w:r>
        <w:tab/>
      </w:r>
      <w:r>
        <w:fldChar w:fldCharType="begin"/>
      </w:r>
      <w:r>
        <w:instrText xml:space="preserve"> PAGEREF _Toc154741995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Restrictions on dealing with Aboriginal cultural material</w:t>
      </w:r>
      <w:r>
        <w:tab/>
      </w:r>
      <w:r>
        <w:fldChar w:fldCharType="begin"/>
      </w:r>
      <w:r>
        <w:instrText xml:space="preserve"> PAGEREF _Toc154741996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Prices to be at local rates</w:t>
      </w:r>
      <w:r>
        <w:tab/>
      </w:r>
      <w:r>
        <w:fldChar w:fldCharType="begin"/>
      </w:r>
      <w:r>
        <w:instrText xml:space="preserve"> PAGEREF _Toc154741997 \h </w:instrText>
      </w:r>
      <w:r>
        <w:fldChar w:fldCharType="separate"/>
      </w:r>
      <w:r>
        <w:t>33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may purchase as agent</w:t>
      </w:r>
      <w:r>
        <w:tab/>
      </w:r>
      <w:r>
        <w:fldChar w:fldCharType="begin"/>
      </w:r>
      <w:r>
        <w:instrText xml:space="preserve"> PAGEREF _Toc154741998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Vesting of objects and inquiries into origin</w:t>
      </w:r>
      <w:r>
        <w:tab/>
      </w:r>
      <w:r>
        <w:fldChar w:fldCharType="begin"/>
      </w:r>
      <w:r>
        <w:instrText xml:space="preserve"> PAGEREF _Toc154741999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Compulsory acquisition of objects</w:t>
      </w:r>
      <w:r>
        <w:tab/>
      </w:r>
      <w:r>
        <w:fldChar w:fldCharType="begin"/>
      </w:r>
      <w:r>
        <w:instrText xml:space="preserve"> PAGEREF _Toc154742000 \h </w:instrText>
      </w:r>
      <w:r>
        <w:fldChar w:fldCharType="separate"/>
      </w:r>
      <w:r>
        <w:t>36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exhibition of objects</w:t>
      </w:r>
      <w:r>
        <w:tab/>
      </w:r>
      <w:r>
        <w:fldChar w:fldCharType="begin"/>
      </w:r>
      <w:r>
        <w:instrText xml:space="preserve"> PAGEREF _Toc154742001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on publication</w:t>
      </w:r>
      <w:r>
        <w:tab/>
      </w:r>
      <w:r>
        <w:fldChar w:fldCharType="begin"/>
      </w:r>
      <w:r>
        <w:instrText xml:space="preserve"> PAGEREF _Toc154742002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50</w:t>
      </w:r>
      <w:r>
        <w:rPr>
          <w:snapToGrid w:val="0"/>
        </w:rPr>
        <w:t>.</w:t>
      </w:r>
      <w:r>
        <w:rPr>
          <w:snapToGrid w:val="0"/>
        </w:rPr>
        <w:tab/>
        <w:t>Honorary wardens</w:t>
      </w:r>
      <w:r>
        <w:tab/>
      </w:r>
      <w:r>
        <w:fldChar w:fldCharType="begin"/>
      </w:r>
      <w:r>
        <w:instrText xml:space="preserve"> PAGEREF _Toc154742004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Powers of inspection</w:t>
      </w:r>
      <w:r>
        <w:tab/>
      </w:r>
      <w:r>
        <w:fldChar w:fldCharType="begin"/>
      </w:r>
      <w:r>
        <w:instrText xml:space="preserve"> PAGEREF _Toc154742005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of officers to represent the Minister</w:t>
      </w:r>
      <w:r>
        <w:tab/>
      </w:r>
      <w:r>
        <w:fldChar w:fldCharType="begin"/>
      </w:r>
      <w:r>
        <w:instrText xml:space="preserve"> PAGEREF _Toc154742006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Proceedings by the Minister</w:t>
      </w:r>
      <w:r>
        <w:tab/>
      </w:r>
      <w:r>
        <w:fldChar w:fldCharType="begin"/>
      </w:r>
      <w:r>
        <w:instrText xml:space="preserve"> PAGEREF _Toc154742007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obstructing execution of this Act</w:t>
      </w:r>
      <w:r>
        <w:tab/>
      </w:r>
      <w:r>
        <w:fldChar w:fldCharType="begin"/>
      </w:r>
      <w:r>
        <w:instrText xml:space="preserve"> PAGEREF _Toc154742008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55.</w:t>
      </w:r>
      <w:r>
        <w:rPr>
          <w:snapToGrid w:val="0"/>
        </w:rPr>
        <w:tab/>
        <w:t>Breach of conditions</w:t>
      </w:r>
      <w:r>
        <w:tab/>
      </w:r>
      <w:r>
        <w:fldChar w:fldCharType="begin"/>
      </w:r>
      <w:r>
        <w:instrText xml:space="preserve"> PAGEREF _Toc154742009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56.</w:t>
      </w:r>
      <w:r>
        <w:rPr>
          <w:snapToGrid w:val="0"/>
        </w:rPr>
        <w:tab/>
        <w:t>Secrecy</w:t>
      </w:r>
      <w:r>
        <w:tab/>
      </w:r>
      <w:r>
        <w:fldChar w:fldCharType="begin"/>
      </w:r>
      <w:r>
        <w:instrText xml:space="preserve"> PAGEREF _Toc154742010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Penalties</w:t>
      </w:r>
      <w:r>
        <w:tab/>
      </w:r>
      <w:r>
        <w:fldChar w:fldCharType="begin"/>
      </w:r>
      <w:r>
        <w:instrText xml:space="preserve"> PAGEREF _Toc154742011 \h </w:instrText>
      </w:r>
      <w:r>
        <w:fldChar w:fldCharType="separate"/>
      </w:r>
      <w:r>
        <w:t>41</w:t>
      </w:r>
      <w:r>
        <w:fldChar w:fldCharType="end"/>
      </w:r>
    </w:p>
    <w:p>
      <w:pPr>
        <w:pStyle w:val="TOC8"/>
        <w:rPr>
          <w:rFonts w:asciiTheme="minorHAnsi" w:eastAsiaTheme="minorEastAsia" w:hAnsiTheme="minorHAnsi" w:cstheme="minorBidi"/>
          <w:szCs w:val="22"/>
        </w:rPr>
      </w:pPr>
      <w:r>
        <w:t>58.</w:t>
      </w:r>
      <w:r>
        <w:tab/>
        <w:t>Liability of officers for offence by body corporate</w:t>
      </w:r>
      <w:r>
        <w:tab/>
      </w:r>
      <w:r>
        <w:fldChar w:fldCharType="begin"/>
      </w:r>
      <w:r>
        <w:instrText xml:space="preserve"> PAGEREF _Toc154742012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Forfeiture</w:t>
      </w:r>
      <w:r>
        <w:tab/>
      </w:r>
      <w:r>
        <w:fldChar w:fldCharType="begin"/>
      </w:r>
      <w:r>
        <w:instrText xml:space="preserve"> PAGEREF _Toc154742013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Evidence</w:t>
      </w:r>
      <w:r>
        <w:tab/>
      </w:r>
      <w:r>
        <w:fldChar w:fldCharType="begin"/>
      </w:r>
      <w:r>
        <w:instrText xml:space="preserve"> PAGEREF _Toc154742014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Presumption as to notices</w:t>
      </w:r>
      <w:r>
        <w:tab/>
      </w:r>
      <w:r>
        <w:fldChar w:fldCharType="begin"/>
      </w:r>
      <w:r>
        <w:instrText xml:space="preserve"> PAGEREF _Toc154742015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Special defence of lack of knowledge</w:t>
      </w:r>
      <w:r>
        <w:tab/>
      </w:r>
      <w:r>
        <w:fldChar w:fldCharType="begin"/>
      </w:r>
      <w:r>
        <w:instrText xml:space="preserve"> PAGEREF _Toc154742016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66.</w:t>
      </w:r>
      <w:r>
        <w:tab/>
        <w:t>Authority to perform certain functions in relation to Crown land for purposes of this Act</w:t>
      </w:r>
      <w:r>
        <w:tab/>
      </w:r>
      <w:r>
        <w:fldChar w:fldCharType="begin"/>
      </w:r>
      <w:r>
        <w:instrText xml:space="preserve"> PAGEREF _Toc154742018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Indemnity</w:t>
      </w:r>
      <w:r>
        <w:tab/>
      </w:r>
      <w:r>
        <w:fldChar w:fldCharType="begin"/>
      </w:r>
      <w:r>
        <w:instrText xml:space="preserve"> PAGEREF _Toc154742019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_Toc154742020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Transitional provisions for </w:t>
      </w:r>
      <w:r>
        <w:rPr>
          <w:i/>
          <w:iCs/>
        </w:rPr>
        <w:t>Aboriginal Heritage Legislation Amendment and Repeal Act 2023</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_Toc154742022 \h </w:instrText>
      </w:r>
      <w:r>
        <w:fldChar w:fldCharType="separate"/>
      </w:r>
      <w:r>
        <w:t>47</w:t>
      </w:r>
      <w:r>
        <w:fldChar w:fldCharType="end"/>
      </w:r>
    </w:p>
    <w:p>
      <w:pPr>
        <w:pStyle w:val="TOC8"/>
        <w:rPr>
          <w:rFonts w:asciiTheme="minorHAnsi" w:eastAsiaTheme="minorEastAsia" w:hAnsiTheme="minorHAnsi" w:cstheme="minorBidi"/>
          <w:szCs w:val="22"/>
        </w:rPr>
      </w:pPr>
      <w:r>
        <w:t>70.</w:t>
      </w:r>
      <w:r>
        <w:tab/>
        <w:t xml:space="preserve">Application of </w:t>
      </w:r>
      <w:r>
        <w:rPr>
          <w:i/>
          <w:iCs/>
        </w:rPr>
        <w:t>Interpretation Act 1984</w:t>
      </w:r>
      <w:r>
        <w:tab/>
      </w:r>
      <w:r>
        <w:fldChar w:fldCharType="begin"/>
      </w:r>
      <w:r>
        <w:instrText xml:space="preserve"> PAGEREF _Toc154742023 \h </w:instrText>
      </w:r>
      <w:r>
        <w:fldChar w:fldCharType="separate"/>
      </w:r>
      <w:r>
        <w:t>47</w:t>
      </w:r>
      <w:r>
        <w:fldChar w:fldCharType="end"/>
      </w:r>
    </w:p>
    <w:p>
      <w:pPr>
        <w:pStyle w:val="TOC8"/>
        <w:rPr>
          <w:rFonts w:asciiTheme="minorHAnsi" w:eastAsiaTheme="minorEastAsia" w:hAnsiTheme="minorHAnsi" w:cstheme="minorBidi"/>
          <w:szCs w:val="22"/>
        </w:rPr>
      </w:pPr>
      <w:r>
        <w:t>71.</w:t>
      </w:r>
      <w:r>
        <w:tab/>
        <w:t>Transitional regulations</w:t>
      </w:r>
      <w:r>
        <w:tab/>
      </w:r>
      <w:r>
        <w:fldChar w:fldCharType="begin"/>
      </w:r>
      <w:r>
        <w:instrText xml:space="preserve"> PAGEREF _Toc154742024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_Toc154742026 \h </w:instrText>
      </w:r>
      <w:r>
        <w:fldChar w:fldCharType="separate"/>
      </w:r>
      <w:r>
        <w:t>51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_Toc154742027 \h </w:instrText>
      </w:r>
      <w:r>
        <w:fldChar w:fldCharType="separate"/>
      </w:r>
      <w:r>
        <w:t>53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_Toc154742028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Aboriginal Heritage Act 1972</w:t>
      </w:r>
    </w:p>
    <w:p>
      <w:pPr>
        <w:pStyle w:val="LongTitle"/>
        <w:rPr>
          <w:snapToGrid w:val="0"/>
        </w:rPr>
      </w:pPr>
      <w:r>
        <w:rPr>
          <w:snapToGrid w:val="0"/>
        </w:rPr>
        <w:t>An Act to provide for the determination of certain applications made, and notices given, under this Act before transition day and for related purposes.</w:t>
      </w:r>
    </w:p>
    <w:p>
      <w:pPr>
        <w:pStyle w:val="Footnotelongtitle"/>
      </w:pPr>
      <w:r>
        <w:tab/>
        <w:t>[Long title inserted: No. 27 of 2021 s. 341.]</w:t>
      </w:r>
    </w:p>
    <w:p>
      <w:pPr>
        <w:pStyle w:val="Heading2"/>
      </w:pPr>
      <w:bookmarkStart w:id="3" w:name="_Toc154741942"/>
      <w:r>
        <w:rPr>
          <w:rStyle w:val="CharPartNo"/>
        </w:rPr>
        <w:lastRenderedPageBreak/>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154741943"/>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5" w:name="_Toc154741944"/>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6" w:name="_Toc154741945"/>
      <w:r>
        <w:rPr>
          <w:rStyle w:val="CharSectno"/>
        </w:rPr>
        <w:t>4</w:t>
      </w:r>
      <w:r>
        <w:rPr>
          <w:snapToGrid w:val="0"/>
        </w:rPr>
        <w:t>.</w:t>
      </w:r>
      <w:r>
        <w:rPr>
          <w:snapToGrid w:val="0"/>
        </w:rPr>
        <w:tab/>
        <w:t>Terms used in this Act</w:t>
      </w:r>
      <w:bookmarkEnd w:id="6"/>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lastRenderedPageBreak/>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Defstart"/>
      </w:pPr>
      <w:r>
        <w:tab/>
      </w:r>
      <w:r>
        <w:rPr>
          <w:rStyle w:val="CharDefText"/>
        </w:rPr>
        <w:t>transition day</w:t>
      </w:r>
      <w:r>
        <w:t xml:space="preserve"> has the meaning given in the </w:t>
      </w:r>
      <w:r>
        <w:rPr>
          <w:i/>
        </w:rPr>
        <w:t>Aboriginal Cultural Heritage Act 2021</w:t>
      </w:r>
      <w:r>
        <w:t xml:space="preserve"> section 11.</w:t>
      </w:r>
    </w:p>
    <w:p>
      <w:pPr>
        <w:pStyle w:val="Footnotesection"/>
      </w:pPr>
      <w:r>
        <w:tab/>
        <w:t>[Section 4 amended: No. 24 of 1995 s. 5; No. 55 of 2004 s. 4; No. 27 of 2021 s. 339.]</w:t>
      </w:r>
    </w:p>
    <w:p>
      <w:pPr>
        <w:pStyle w:val="Heading2"/>
      </w:pPr>
      <w:bookmarkStart w:id="7" w:name="_Toc154741946"/>
      <w:r>
        <w:rPr>
          <w:rStyle w:val="CharPartNo"/>
        </w:rPr>
        <w:lastRenderedPageBreak/>
        <w:t>Part II</w:t>
      </w:r>
      <w:r>
        <w:rPr>
          <w:rStyle w:val="CharDivNo"/>
        </w:rPr>
        <w:t> </w:t>
      </w:r>
      <w:r>
        <w:t>—</w:t>
      </w:r>
      <w:r>
        <w:rPr>
          <w:rStyle w:val="CharDivText"/>
        </w:rPr>
        <w:t> </w:t>
      </w:r>
      <w:r>
        <w:rPr>
          <w:rStyle w:val="CharPartText"/>
        </w:rPr>
        <w:t>Application and traditional use</w:t>
      </w:r>
      <w:bookmarkEnd w:id="7"/>
    </w:p>
    <w:p>
      <w:pPr>
        <w:pStyle w:val="Heading5"/>
      </w:pPr>
      <w:bookmarkStart w:id="8" w:name="_Toc154741947"/>
      <w:r>
        <w:rPr>
          <w:rStyle w:val="CharSectno"/>
        </w:rPr>
        <w:t>4A</w:t>
      </w:r>
      <w:r>
        <w:t>.</w:t>
      </w:r>
      <w:r>
        <w:tab/>
        <w:t>Application of Act limited</w:t>
      </w:r>
      <w:bookmarkEnd w:id="8"/>
    </w:p>
    <w:p>
      <w:pPr>
        <w:pStyle w:val="Subsection"/>
      </w:pPr>
      <w:r>
        <w:tab/>
      </w:r>
      <w:r>
        <w:tab/>
        <w:t>Subject to section 4C, this Act does not apply on and after transition day, other than as set out in section 4B.</w:t>
      </w:r>
    </w:p>
    <w:p>
      <w:pPr>
        <w:pStyle w:val="Footnotesection"/>
      </w:pPr>
      <w:r>
        <w:tab/>
        <w:t>[Section 4A inserted: No. 27 of 2021 s. 342; amended: No. 23 of 2023 s. 5.]</w:t>
      </w:r>
    </w:p>
    <w:p>
      <w:pPr>
        <w:pStyle w:val="Heading5"/>
      </w:pPr>
      <w:bookmarkStart w:id="9" w:name="_Toc154741948"/>
      <w:r>
        <w:rPr>
          <w:rStyle w:val="CharSectno"/>
        </w:rPr>
        <w:t>4B</w:t>
      </w:r>
      <w:r>
        <w:t>.</w:t>
      </w:r>
      <w:r>
        <w:tab/>
        <w:t>Act continues to apply for certain purposes only</w:t>
      </w:r>
      <w:bookmarkEnd w:id="9"/>
    </w:p>
    <w:p>
      <w:pPr>
        <w:pStyle w:val="Subsection"/>
      </w:pPr>
      <w:r>
        <w:tab/>
      </w:r>
      <w:r>
        <w:tab/>
        <w:t xml:space="preserve">Subject to section 4C, this Act continues to apply on and after transition day for the following purposes only — </w:t>
      </w:r>
    </w:p>
    <w:p>
      <w:pPr>
        <w:pStyle w:val="Indenta"/>
      </w:pPr>
      <w:r>
        <w:tab/>
        <w:t>(a)</w:t>
      </w:r>
      <w:r>
        <w:tab/>
        <w:t>the determination of applications, made before transition day, for authorisations under section 16(2);</w:t>
      </w:r>
    </w:p>
    <w:p>
      <w:pPr>
        <w:pStyle w:val="Indenta"/>
      </w:pPr>
      <w:r>
        <w:tab/>
        <w:t>(b)</w:t>
      </w:r>
      <w:r>
        <w:tab/>
        <w:t>the determination of notices, given before transition day, under section 18(2);</w:t>
      </w:r>
    </w:p>
    <w:p>
      <w:pPr>
        <w:pStyle w:val="Indenta"/>
      </w:pPr>
      <w:r>
        <w:tab/>
        <w:t>(c)</w:t>
      </w:r>
      <w:r>
        <w:tab/>
        <w:t xml:space="preserve">the determination of applications, made before transition day, for — </w:t>
      </w:r>
    </w:p>
    <w:p>
      <w:pPr>
        <w:pStyle w:val="Indenti"/>
      </w:pPr>
      <w:r>
        <w:tab/>
        <w:t>(i)</w:t>
      </w:r>
      <w:r>
        <w:tab/>
        <w:t xml:space="preserve">approvals referred to in the </w:t>
      </w:r>
      <w:r>
        <w:rPr>
          <w:i/>
        </w:rPr>
        <w:t>Aboriginal Heritage Regulations 1974</w:t>
      </w:r>
      <w:r>
        <w:t xml:space="preserve"> regulation 7; or</w:t>
      </w:r>
    </w:p>
    <w:p>
      <w:pPr>
        <w:pStyle w:val="Indenti"/>
      </w:pPr>
      <w:r>
        <w:tab/>
        <w:t>(ii)</w:t>
      </w:r>
      <w:r>
        <w:tab/>
        <w:t xml:space="preserve">consents referred to in the </w:t>
      </w:r>
      <w:r>
        <w:rPr>
          <w:i/>
        </w:rPr>
        <w:t>Aboriginal Heritage Regulations 1974</w:t>
      </w:r>
      <w:r>
        <w:t xml:space="preserve"> regulation 10;</w:t>
      </w:r>
    </w:p>
    <w:p>
      <w:pPr>
        <w:pStyle w:val="Indenta"/>
      </w:pPr>
      <w:r>
        <w:tab/>
        <w:t>(d)</w:t>
      </w:r>
      <w:r>
        <w:tab/>
        <w:t>the making of applications to the State Administrative Tribunal for reviews of decisions under section 18(3).</w:t>
      </w:r>
    </w:p>
    <w:p>
      <w:pPr>
        <w:pStyle w:val="Footnotesection"/>
      </w:pPr>
      <w:r>
        <w:tab/>
        <w:t>[Section 4B inserted: No. 27 of 2021 s. 342; amended: No. 23 of 2023 s. 6.]</w:t>
      </w:r>
    </w:p>
    <w:p>
      <w:pPr>
        <w:pStyle w:val="Heading5"/>
      </w:pPr>
      <w:bookmarkStart w:id="10" w:name="_Toc154741949"/>
      <w:r>
        <w:rPr>
          <w:rStyle w:val="CharSectno"/>
        </w:rPr>
        <w:t>4C</w:t>
      </w:r>
      <w:r>
        <w:t>.</w:t>
      </w:r>
      <w:r>
        <w:tab/>
        <w:t>Transitional provisions not affected by s. 4A or 4B</w:t>
      </w:r>
      <w:bookmarkEnd w:id="10"/>
    </w:p>
    <w:p>
      <w:pPr>
        <w:pStyle w:val="Subsection"/>
      </w:pPr>
      <w:r>
        <w:tab/>
      </w:r>
      <w:r>
        <w:tab/>
        <w:t xml:space="preserve">Neither section 4A nor section 4B applies to, or in relation to, the following — </w:t>
      </w:r>
    </w:p>
    <w:p>
      <w:pPr>
        <w:pStyle w:val="Indenta"/>
      </w:pPr>
      <w:r>
        <w:tab/>
        <w:t>(a)</w:t>
      </w:r>
      <w:r>
        <w:tab/>
        <w:t>the power to make regulations for the purposes of section 71(2);</w:t>
      </w:r>
    </w:p>
    <w:p>
      <w:pPr>
        <w:pStyle w:val="Indenta"/>
      </w:pPr>
      <w:r>
        <w:tab/>
        <w:t>(b)</w:t>
      </w:r>
      <w:r>
        <w:tab/>
        <w:t>any regulations made for the purposes of section 71(2);</w:t>
      </w:r>
    </w:p>
    <w:p>
      <w:pPr>
        <w:pStyle w:val="Indenta"/>
      </w:pPr>
      <w:r>
        <w:lastRenderedPageBreak/>
        <w:tab/>
        <w:t>(c)</w:t>
      </w:r>
      <w:r>
        <w:tab/>
        <w:t>any other provision of Part 9.</w:t>
      </w:r>
    </w:p>
    <w:p>
      <w:pPr>
        <w:pStyle w:val="Footnotesection"/>
      </w:pPr>
      <w:r>
        <w:tab/>
        <w:t>[Section 4C inserted: No. 23 of 2023 s. 7.]</w:t>
      </w:r>
    </w:p>
    <w:p>
      <w:pPr>
        <w:pStyle w:val="Heading5"/>
        <w:rPr>
          <w:snapToGrid w:val="0"/>
        </w:rPr>
      </w:pPr>
      <w:bookmarkStart w:id="11" w:name="_Toc154741950"/>
      <w:r>
        <w:rPr>
          <w:rStyle w:val="CharSectno"/>
        </w:rPr>
        <w:t>5</w:t>
      </w:r>
      <w:r>
        <w:rPr>
          <w:snapToGrid w:val="0"/>
        </w:rPr>
        <w:t>.</w:t>
      </w:r>
      <w:r>
        <w:rPr>
          <w:snapToGrid w:val="0"/>
        </w:rPr>
        <w:tab/>
        <w:t>Application to places</w:t>
      </w:r>
      <w:bookmarkEnd w:id="11"/>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12" w:name="_Toc154741951"/>
      <w:r>
        <w:rPr>
          <w:rStyle w:val="CharSectno"/>
        </w:rPr>
        <w:t>6</w:t>
      </w:r>
      <w:r>
        <w:rPr>
          <w:snapToGrid w:val="0"/>
        </w:rPr>
        <w:t>.</w:t>
      </w:r>
      <w:r>
        <w:rPr>
          <w:snapToGrid w:val="0"/>
        </w:rPr>
        <w:tab/>
        <w:t>Application to objects</w:t>
      </w:r>
      <w:bookmarkEnd w:id="12"/>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lastRenderedPageBreak/>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keepNext/>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13" w:name="_Toc154741952"/>
      <w:r>
        <w:rPr>
          <w:rStyle w:val="CharSectno"/>
        </w:rPr>
        <w:t>7</w:t>
      </w:r>
      <w:r>
        <w:rPr>
          <w:snapToGrid w:val="0"/>
        </w:rPr>
        <w:t>.</w:t>
      </w:r>
      <w:r>
        <w:rPr>
          <w:snapToGrid w:val="0"/>
        </w:rPr>
        <w:tab/>
        <w:t>Traditional use</w:t>
      </w:r>
      <w:bookmarkEnd w:id="13"/>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lastRenderedPageBreak/>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14" w:name="_Toc154741953"/>
      <w:r>
        <w:rPr>
          <w:rStyle w:val="CharSectno"/>
        </w:rPr>
        <w:t>8</w:t>
      </w:r>
      <w:r>
        <w:rPr>
          <w:snapToGrid w:val="0"/>
        </w:rPr>
        <w:t>.</w:t>
      </w:r>
      <w:r>
        <w:rPr>
          <w:snapToGrid w:val="0"/>
        </w:rPr>
        <w:tab/>
        <w:t>Availability for traditional use</w:t>
      </w:r>
      <w:bookmarkEnd w:id="14"/>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15" w:name="_Toc154741954"/>
      <w:r>
        <w:rPr>
          <w:rStyle w:val="CharSectno"/>
        </w:rPr>
        <w:t>9</w:t>
      </w:r>
      <w:r>
        <w:rPr>
          <w:snapToGrid w:val="0"/>
        </w:rPr>
        <w:t>.</w:t>
      </w:r>
      <w:r>
        <w:rPr>
          <w:snapToGrid w:val="0"/>
        </w:rPr>
        <w:tab/>
        <w:t>Traditional custodians</w:t>
      </w:r>
      <w:bookmarkEnd w:id="15"/>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16" w:name="_Toc154741955"/>
      <w:r>
        <w:rPr>
          <w:rStyle w:val="CharPartNo"/>
        </w:rPr>
        <w:lastRenderedPageBreak/>
        <w:t>Part III</w:t>
      </w:r>
      <w:r>
        <w:rPr>
          <w:rStyle w:val="CharDivNo"/>
        </w:rPr>
        <w:t> </w:t>
      </w:r>
      <w:r>
        <w:t>—</w:t>
      </w:r>
      <w:r>
        <w:rPr>
          <w:rStyle w:val="CharDivText"/>
        </w:rPr>
        <w:t> </w:t>
      </w:r>
      <w:r>
        <w:rPr>
          <w:rStyle w:val="CharPartText"/>
        </w:rPr>
        <w:t>Administration</w:t>
      </w:r>
      <w:bookmarkEnd w:id="16"/>
    </w:p>
    <w:p>
      <w:pPr>
        <w:pStyle w:val="Heading5"/>
        <w:rPr>
          <w:snapToGrid w:val="0"/>
        </w:rPr>
      </w:pPr>
      <w:bookmarkStart w:id="17" w:name="_Toc154741956"/>
      <w:r>
        <w:rPr>
          <w:rStyle w:val="CharSectno"/>
        </w:rPr>
        <w:t>10</w:t>
      </w:r>
      <w:r>
        <w:rPr>
          <w:snapToGrid w:val="0"/>
        </w:rPr>
        <w:t>.</w:t>
      </w:r>
      <w:r>
        <w:rPr>
          <w:snapToGrid w:val="0"/>
        </w:rPr>
        <w:tab/>
        <w:t>Duty of the Minister</w:t>
      </w:r>
      <w:bookmarkEnd w:id="17"/>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18" w:name="_Toc154741957"/>
      <w:r>
        <w:rPr>
          <w:rStyle w:val="CharSectno"/>
        </w:rPr>
        <w:t>11</w:t>
      </w:r>
      <w:r>
        <w:rPr>
          <w:snapToGrid w:val="0"/>
        </w:rPr>
        <w:t>.</w:t>
      </w:r>
      <w:r>
        <w:rPr>
          <w:snapToGrid w:val="0"/>
        </w:rPr>
        <w:tab/>
        <w:t>Minister a body corporate</w:t>
      </w:r>
      <w:bookmarkEnd w:id="18"/>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19" w:name="_Toc154741958"/>
      <w:r>
        <w:rPr>
          <w:rStyle w:val="CharSectno"/>
        </w:rPr>
        <w:lastRenderedPageBreak/>
        <w:t>11A</w:t>
      </w:r>
      <w:r>
        <w:rPr>
          <w:snapToGrid w:val="0"/>
        </w:rPr>
        <w:t>.</w:t>
      </w:r>
      <w:r>
        <w:rPr>
          <w:snapToGrid w:val="0"/>
        </w:rPr>
        <w:tab/>
        <w:t>Administration</w:t>
      </w:r>
      <w:bookmarkEnd w:id="19"/>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20" w:name="_Toc154741959"/>
      <w:r>
        <w:rPr>
          <w:rStyle w:val="CharSectno"/>
        </w:rPr>
        <w:t>13</w:t>
      </w:r>
      <w:r>
        <w:rPr>
          <w:snapToGrid w:val="0"/>
        </w:rPr>
        <w:t>.</w:t>
      </w:r>
      <w:r>
        <w:rPr>
          <w:snapToGrid w:val="0"/>
        </w:rPr>
        <w:tab/>
        <w:t>Powers of delegation</w:t>
      </w:r>
      <w:bookmarkEnd w:id="20"/>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21" w:name="_Toc154741960"/>
      <w:r>
        <w:rPr>
          <w:rStyle w:val="CharSectno"/>
        </w:rPr>
        <w:t>14</w:t>
      </w:r>
      <w:r>
        <w:rPr>
          <w:snapToGrid w:val="0"/>
        </w:rPr>
        <w:t>.</w:t>
      </w:r>
      <w:r>
        <w:rPr>
          <w:snapToGrid w:val="0"/>
        </w:rPr>
        <w:tab/>
        <w:t>Compensation on statutory vesting</w:t>
      </w:r>
      <w:bookmarkEnd w:id="21"/>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22" w:name="_Toc154741961"/>
      <w:r>
        <w:rPr>
          <w:rStyle w:val="CharPartNo"/>
        </w:rPr>
        <w:lastRenderedPageBreak/>
        <w:t>Part IV</w:t>
      </w:r>
      <w:r>
        <w:rPr>
          <w:rStyle w:val="CharDivNo"/>
        </w:rPr>
        <w:t> </w:t>
      </w:r>
      <w:r>
        <w:t>—</w:t>
      </w:r>
      <w:r>
        <w:rPr>
          <w:rStyle w:val="CharDivText"/>
        </w:rPr>
        <w:t> </w:t>
      </w:r>
      <w:r>
        <w:rPr>
          <w:rStyle w:val="CharPartText"/>
        </w:rPr>
        <w:t>Protection of Aboriginal sites</w:t>
      </w:r>
      <w:bookmarkEnd w:id="22"/>
    </w:p>
    <w:p>
      <w:pPr>
        <w:pStyle w:val="Heading5"/>
        <w:rPr>
          <w:snapToGrid w:val="0"/>
        </w:rPr>
      </w:pPr>
      <w:bookmarkStart w:id="23" w:name="_Toc154741962"/>
      <w:r>
        <w:rPr>
          <w:rStyle w:val="CharSectno"/>
        </w:rPr>
        <w:t>15</w:t>
      </w:r>
      <w:r>
        <w:rPr>
          <w:snapToGrid w:val="0"/>
        </w:rPr>
        <w:t>.</w:t>
      </w:r>
      <w:r>
        <w:rPr>
          <w:snapToGrid w:val="0"/>
        </w:rPr>
        <w:tab/>
        <w:t>Report of findings</w:t>
      </w:r>
      <w:bookmarkEnd w:id="23"/>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24" w:name="_Toc154741963"/>
      <w:r>
        <w:rPr>
          <w:rStyle w:val="CharSectno"/>
        </w:rPr>
        <w:t>16</w:t>
      </w:r>
      <w:r>
        <w:rPr>
          <w:snapToGrid w:val="0"/>
        </w:rPr>
        <w:t>.</w:t>
      </w:r>
      <w:r>
        <w:rPr>
          <w:snapToGrid w:val="0"/>
        </w:rPr>
        <w:tab/>
        <w:t>Excavation of Aboriginal sites</w:t>
      </w:r>
      <w:bookmarkEnd w:id="24"/>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25" w:name="_Toc154741964"/>
      <w:r>
        <w:rPr>
          <w:rStyle w:val="CharSectno"/>
        </w:rPr>
        <w:t>17</w:t>
      </w:r>
      <w:r>
        <w:rPr>
          <w:snapToGrid w:val="0"/>
        </w:rPr>
        <w:t>.</w:t>
      </w:r>
      <w:r>
        <w:rPr>
          <w:snapToGrid w:val="0"/>
        </w:rPr>
        <w:tab/>
        <w:t>Offences relating to Aboriginal sites</w:t>
      </w:r>
      <w:bookmarkEnd w:id="2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keepNext/>
        <w:rPr>
          <w:snapToGrid w:val="0"/>
        </w:rPr>
      </w:pPr>
      <w:r>
        <w:rPr>
          <w:snapToGrid w:val="0"/>
        </w:rPr>
        <w:tab/>
        <w:t>(b)</w:t>
      </w:r>
      <w:r>
        <w:rPr>
          <w:snapToGrid w:val="0"/>
        </w:rPr>
        <w:tab/>
        <w:t xml:space="preserve">in any way alters, damages, removes, destroys, conceals, or who deals with in a manner not sanctioned by </w:t>
      </w:r>
      <w:r>
        <w:rPr>
          <w:snapToGrid w:val="0"/>
        </w:rPr>
        <w:lastRenderedPageBreak/>
        <w:t>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No. 8 of 1980 s. 6; amended: No. 24 of 1995 s. 18.]</w:t>
      </w:r>
    </w:p>
    <w:p>
      <w:pPr>
        <w:pStyle w:val="Heading5"/>
        <w:rPr>
          <w:snapToGrid w:val="0"/>
        </w:rPr>
      </w:pPr>
      <w:bookmarkStart w:id="26" w:name="_Toc154741965"/>
      <w:r>
        <w:rPr>
          <w:rStyle w:val="CharSectno"/>
        </w:rPr>
        <w:t>18</w:t>
      </w:r>
      <w:r>
        <w:rPr>
          <w:snapToGrid w:val="0"/>
        </w:rPr>
        <w:t>.</w:t>
      </w:r>
      <w:r>
        <w:rPr>
          <w:snapToGrid w:val="0"/>
        </w:rPr>
        <w:tab/>
        <w:t>Consent to certain uses</w:t>
      </w:r>
      <w:bookmarkEnd w:id="26"/>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lastRenderedPageBreak/>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Subsection"/>
      </w:pPr>
      <w:r>
        <w:lastRenderedPageBreak/>
        <w:tab/>
        <w:t>(6)</w:t>
      </w:r>
      <w:r>
        <w:tab/>
        <w:t xml:space="preserve">If the owner of any land gives notice to the Committee under subsection (2) during the transitional period and the Minister gives consent under subsection (3)(a) in relation to the notice, it is a condition of the consent that — </w:t>
      </w:r>
    </w:p>
    <w:p>
      <w:pPr>
        <w:pStyle w:val="Indenta"/>
        <w:keepNext/>
      </w:pPr>
      <w:r>
        <w:tab/>
        <w:t>(a)</w:t>
      </w:r>
      <w:r>
        <w:tab/>
        <w:t xml:space="preserve">the consent — </w:t>
      </w:r>
    </w:p>
    <w:p>
      <w:pPr>
        <w:pStyle w:val="Indenti"/>
      </w:pPr>
      <w:r>
        <w:tab/>
        <w:t>(i)</w:t>
      </w:r>
      <w:r>
        <w:tab/>
        <w:t>takes effect on the day after the day on which the owner is informed of the Minister’s decision under subsection (3); and</w:t>
      </w:r>
    </w:p>
    <w:p>
      <w:pPr>
        <w:pStyle w:val="Indenti"/>
      </w:pPr>
      <w:r>
        <w:tab/>
        <w:t>(ii)</w:t>
      </w:r>
      <w:r>
        <w:tab/>
        <w:t>is of effect only for the period of 5 years, or any shorter period that is specified in the consent, beginning on the day on which the consent takes effect;</w:t>
      </w:r>
    </w:p>
    <w:p>
      <w:pPr>
        <w:pStyle w:val="Indenta"/>
      </w:pPr>
      <w:r>
        <w:tab/>
      </w:r>
      <w:r>
        <w:tab/>
        <w:t>and</w:t>
      </w:r>
    </w:p>
    <w:p>
      <w:pPr>
        <w:pStyle w:val="Indenta"/>
      </w:pPr>
      <w:r>
        <w:tab/>
        <w:t>(b)</w:t>
      </w:r>
      <w:r>
        <w:tab/>
        <w:t>the owner must notify the Minister if the owner becomes aware of any new information about Aboriginal cultural heritage in relation to the land the subject of the consent.</w:t>
      </w:r>
    </w:p>
    <w:p>
      <w:pPr>
        <w:pStyle w:val="Subsection"/>
      </w:pPr>
      <w:r>
        <w:tab/>
        <w:t>(6A)</w:t>
      </w:r>
      <w:r>
        <w:tab/>
        <w:t xml:space="preserve">In subsection (6) — </w:t>
      </w:r>
    </w:p>
    <w:p>
      <w:pPr>
        <w:pStyle w:val="Defstart"/>
      </w:pPr>
      <w:r>
        <w:tab/>
      </w:r>
      <w:r>
        <w:rPr>
          <w:rStyle w:val="CharDefText"/>
        </w:rPr>
        <w:t>Aboriginal cultural heritage</w:t>
      </w:r>
      <w:r>
        <w:t xml:space="preserve"> has the meaning given in the Aboriginal Cultural Heritage Act 2021 section 12;</w:t>
      </w:r>
    </w:p>
    <w:p>
      <w:pPr>
        <w:pStyle w:val="Defstart"/>
      </w:pPr>
      <w:r>
        <w:tab/>
      </w:r>
      <w:r>
        <w:rPr>
          <w:rStyle w:val="CharDefText"/>
        </w:rPr>
        <w:t>located</w:t>
      </w:r>
      <w:r>
        <w:t xml:space="preserve"> has the meaning given in the </w:t>
      </w:r>
      <w:r>
        <w:rPr>
          <w:i/>
        </w:rPr>
        <w:t>Aboriginal Cultural Heritage Act 2021</w:t>
      </w:r>
      <w:r>
        <w:t xml:space="preserve"> section 13;</w:t>
      </w:r>
    </w:p>
    <w:p>
      <w:pPr>
        <w:pStyle w:val="Defstart"/>
      </w:pPr>
      <w:r>
        <w:tab/>
      </w:r>
      <w:r>
        <w:rPr>
          <w:rStyle w:val="CharDefText"/>
        </w:rPr>
        <w:t>transitional period</w:t>
      </w:r>
      <w:r>
        <w:t xml:space="preserve"> has the meaning given in the </w:t>
      </w:r>
      <w:r>
        <w:rPr>
          <w:i/>
        </w:rPr>
        <w:t>Aboriginal Cultural Heritage Act 2021</w:t>
      </w:r>
      <w:r>
        <w:t xml:space="preserve"> section 313;</w:t>
      </w:r>
    </w:p>
    <w:p>
      <w:pPr>
        <w:pStyle w:val="Defstart"/>
      </w:pPr>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p>
    <w:p>
      <w:pPr>
        <w:pStyle w:val="Defpara"/>
      </w:pPr>
      <w:r>
        <w:tab/>
        <w:t>(a)</w:t>
      </w:r>
      <w:r>
        <w:tab/>
        <w:t>Aboriginal cultural heritage located in the area; or</w:t>
      </w:r>
    </w:p>
    <w:p>
      <w:pPr>
        <w:pStyle w:val="Defpara"/>
      </w:pPr>
      <w:r>
        <w:tab/>
        <w:t>(b)</w:t>
      </w:r>
      <w:r>
        <w:tab/>
        <w:t>the characteristics of Aboriginal cultural heritage located in the area.</w:t>
      </w:r>
    </w:p>
    <w:p>
      <w:pPr>
        <w:pStyle w:val="Subsection"/>
        <w:rPr>
          <w:snapToGrid w:val="0"/>
        </w:rPr>
      </w:pPr>
      <w:r>
        <w:rPr>
          <w:snapToGrid w:val="0"/>
        </w:rPr>
        <w:lastRenderedPageBreak/>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No. 8 of 1980 s. 6; amended: No. 24 of 1995 s. 19; No. 58 of 1999 s. 39; No. 55 of 2004 s. 5; No. 35 of 2007 s. 89; No. 25 of 2012 s. 203; No. 27 of 2021 s. 340.]</w:t>
      </w:r>
    </w:p>
    <w:p>
      <w:pPr>
        <w:pStyle w:val="Heading5"/>
        <w:rPr>
          <w:snapToGrid w:val="0"/>
        </w:rPr>
      </w:pPr>
      <w:bookmarkStart w:id="27" w:name="_Toc154741966"/>
      <w:r>
        <w:rPr>
          <w:rStyle w:val="CharSectno"/>
        </w:rPr>
        <w:t>19</w:t>
      </w:r>
      <w:r>
        <w:rPr>
          <w:snapToGrid w:val="0"/>
        </w:rPr>
        <w:t>.</w:t>
      </w:r>
      <w:r>
        <w:rPr>
          <w:snapToGrid w:val="0"/>
        </w:rPr>
        <w:tab/>
        <w:t>Protected areas</w:t>
      </w:r>
      <w:bookmarkEnd w:id="27"/>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 xml:space="preserve">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w:t>
      </w:r>
      <w:r>
        <w:rPr>
          <w:snapToGrid w:val="0"/>
        </w:rPr>
        <w:lastRenderedPageBreak/>
        <w:t>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28" w:name="_Toc154741967"/>
      <w:r>
        <w:rPr>
          <w:rStyle w:val="CharSectno"/>
        </w:rPr>
        <w:t>20</w:t>
      </w:r>
      <w:r>
        <w:rPr>
          <w:snapToGrid w:val="0"/>
        </w:rPr>
        <w:t>.</w:t>
      </w:r>
      <w:r>
        <w:rPr>
          <w:snapToGrid w:val="0"/>
        </w:rPr>
        <w:tab/>
        <w:t>Temporarily protected areas</w:t>
      </w:r>
      <w:bookmarkEnd w:id="28"/>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lastRenderedPageBreak/>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29" w:name="_Toc154741968"/>
      <w:r>
        <w:rPr>
          <w:rStyle w:val="CharSectno"/>
        </w:rPr>
        <w:t>21</w:t>
      </w:r>
      <w:r>
        <w:rPr>
          <w:snapToGrid w:val="0"/>
        </w:rPr>
        <w:t>.</w:t>
      </w:r>
      <w:r>
        <w:rPr>
          <w:snapToGrid w:val="0"/>
        </w:rPr>
        <w:tab/>
        <w:t>Objection to declaration</w:t>
      </w:r>
      <w:bookmarkEnd w:id="29"/>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30" w:name="_Toc154741969"/>
      <w:r>
        <w:rPr>
          <w:rStyle w:val="CharSectno"/>
        </w:rPr>
        <w:t>22</w:t>
      </w:r>
      <w:r>
        <w:rPr>
          <w:snapToGrid w:val="0"/>
        </w:rPr>
        <w:t>.</w:t>
      </w:r>
      <w:r>
        <w:rPr>
          <w:snapToGrid w:val="0"/>
        </w:rPr>
        <w:tab/>
        <w:t>Compensation and compulsory acquisition</w:t>
      </w:r>
      <w:bookmarkEnd w:id="30"/>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lastRenderedPageBreak/>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keepLines/>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31" w:name="_Toc154741970"/>
      <w:r>
        <w:rPr>
          <w:rStyle w:val="CharSectno"/>
        </w:rPr>
        <w:t>23</w:t>
      </w:r>
      <w:r>
        <w:rPr>
          <w:snapToGrid w:val="0"/>
        </w:rPr>
        <w:t>.</w:t>
      </w:r>
      <w:r>
        <w:rPr>
          <w:snapToGrid w:val="0"/>
        </w:rPr>
        <w:tab/>
        <w:t>Marking of protected areas</w:t>
      </w:r>
      <w:bookmarkEnd w:id="31"/>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lastRenderedPageBreak/>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32" w:name="_Toc154741971"/>
      <w:r>
        <w:rPr>
          <w:rStyle w:val="CharSectno"/>
        </w:rPr>
        <w:t>24</w:t>
      </w:r>
      <w:r>
        <w:rPr>
          <w:snapToGrid w:val="0"/>
        </w:rPr>
        <w:t>.</w:t>
      </w:r>
      <w:r>
        <w:rPr>
          <w:snapToGrid w:val="0"/>
        </w:rPr>
        <w:tab/>
        <w:t>Notification of changes etc.</w:t>
      </w:r>
      <w:bookmarkEnd w:id="32"/>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33" w:name="_Toc154741972"/>
      <w:r>
        <w:rPr>
          <w:rStyle w:val="CharSectno"/>
        </w:rPr>
        <w:t>25</w:t>
      </w:r>
      <w:r>
        <w:rPr>
          <w:snapToGrid w:val="0"/>
        </w:rPr>
        <w:t>.</w:t>
      </w:r>
      <w:r>
        <w:rPr>
          <w:snapToGrid w:val="0"/>
        </w:rPr>
        <w:tab/>
        <w:t>Variation of Orders in Council</w:t>
      </w:r>
      <w:bookmarkEnd w:id="33"/>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w:t>
      </w:r>
      <w:r>
        <w:rPr>
          <w:snapToGrid w:val="0"/>
          <w:spacing w:val="-4"/>
        </w:rPr>
        <w:lastRenderedPageBreak/>
        <w:t xml:space="preserve">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34" w:name="_Toc154741973"/>
      <w:r>
        <w:rPr>
          <w:rStyle w:val="CharSectno"/>
        </w:rPr>
        <w:t>26</w:t>
      </w:r>
      <w:r>
        <w:rPr>
          <w:snapToGrid w:val="0"/>
        </w:rPr>
        <w:t>.</w:t>
      </w:r>
      <w:r>
        <w:rPr>
          <w:snapToGrid w:val="0"/>
        </w:rPr>
        <w:tab/>
        <w:t>Regulations as to protected areas</w:t>
      </w:r>
      <w:bookmarkEnd w:id="34"/>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35" w:name="_Toc154741974"/>
      <w:r>
        <w:rPr>
          <w:rStyle w:val="CharSectno"/>
        </w:rPr>
        <w:lastRenderedPageBreak/>
        <w:t>27</w:t>
      </w:r>
      <w:r>
        <w:rPr>
          <w:snapToGrid w:val="0"/>
        </w:rPr>
        <w:t>.</w:t>
      </w:r>
      <w:r>
        <w:rPr>
          <w:snapToGrid w:val="0"/>
        </w:rPr>
        <w:tab/>
        <w:t>Covenants</w:t>
      </w:r>
      <w:bookmarkEnd w:id="35"/>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w:t>
      </w:r>
      <w:r>
        <w:rPr>
          <w:snapToGrid w:val="0"/>
        </w:rPr>
        <w:lastRenderedPageBreak/>
        <w:t xml:space="preserve">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36" w:name="_Toc154741975"/>
      <w:r>
        <w:rPr>
          <w:rStyle w:val="CharPartNo"/>
        </w:rPr>
        <w:lastRenderedPageBreak/>
        <w:t>Part V</w:t>
      </w:r>
      <w:r>
        <w:rPr>
          <w:rStyle w:val="CharDivNo"/>
        </w:rPr>
        <w:t> </w:t>
      </w:r>
      <w:r>
        <w:t>—</w:t>
      </w:r>
      <w:r>
        <w:rPr>
          <w:rStyle w:val="CharDivText"/>
        </w:rPr>
        <w:t> </w:t>
      </w:r>
      <w:r>
        <w:rPr>
          <w:rStyle w:val="CharPartText"/>
        </w:rPr>
        <w:t>Aboriginal Cultural Material Committee</w:t>
      </w:r>
      <w:bookmarkEnd w:id="36"/>
    </w:p>
    <w:p>
      <w:pPr>
        <w:pStyle w:val="Heading5"/>
        <w:rPr>
          <w:snapToGrid w:val="0"/>
        </w:rPr>
      </w:pPr>
      <w:bookmarkStart w:id="37" w:name="_Toc154741976"/>
      <w:r>
        <w:rPr>
          <w:rStyle w:val="CharSectno"/>
        </w:rPr>
        <w:t>28</w:t>
      </w:r>
      <w:r>
        <w:rPr>
          <w:snapToGrid w:val="0"/>
        </w:rPr>
        <w:t>.</w:t>
      </w:r>
      <w:r>
        <w:rPr>
          <w:snapToGrid w:val="0"/>
        </w:rPr>
        <w:tab/>
        <w:t>Aboriginal Cultural Material Committee</w:t>
      </w:r>
      <w:bookmarkEnd w:id="37"/>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No. 8 of 1980 s. 9; No. 24 of 1995 s. 29.]</w:t>
      </w:r>
    </w:p>
    <w:p>
      <w:pPr>
        <w:pStyle w:val="Heading5"/>
        <w:rPr>
          <w:snapToGrid w:val="0"/>
        </w:rPr>
      </w:pPr>
      <w:bookmarkStart w:id="38" w:name="_Toc154741977"/>
      <w:r>
        <w:rPr>
          <w:rStyle w:val="CharSectno"/>
        </w:rPr>
        <w:lastRenderedPageBreak/>
        <w:t>29</w:t>
      </w:r>
      <w:r>
        <w:rPr>
          <w:snapToGrid w:val="0"/>
        </w:rPr>
        <w:t>.</w:t>
      </w:r>
      <w:r>
        <w:rPr>
          <w:snapToGrid w:val="0"/>
        </w:rPr>
        <w:tab/>
        <w:t>Ex</w:t>
      </w:r>
      <w:r>
        <w:rPr>
          <w:snapToGrid w:val="0"/>
        </w:rPr>
        <w:noBreakHyphen/>
        <w:t>officio members</w:t>
      </w:r>
      <w:bookmarkEnd w:id="38"/>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No. 126 of 1987 s. 120; No. 31 of 1997 s. 141.]</w:t>
      </w:r>
    </w:p>
    <w:p>
      <w:pPr>
        <w:pStyle w:val="Heading5"/>
        <w:rPr>
          <w:snapToGrid w:val="0"/>
        </w:rPr>
      </w:pPr>
      <w:bookmarkStart w:id="39" w:name="_Toc154741978"/>
      <w:r>
        <w:rPr>
          <w:rStyle w:val="CharSectno"/>
        </w:rPr>
        <w:t>30</w:t>
      </w:r>
      <w:r>
        <w:rPr>
          <w:snapToGrid w:val="0"/>
        </w:rPr>
        <w:t>.</w:t>
      </w:r>
      <w:r>
        <w:rPr>
          <w:snapToGrid w:val="0"/>
        </w:rPr>
        <w:tab/>
        <w:t>Resignation, disqualification and co</w:t>
      </w:r>
      <w:r>
        <w:rPr>
          <w:snapToGrid w:val="0"/>
        </w:rPr>
        <w:noBreakHyphen/>
        <w:t>option</w:t>
      </w:r>
      <w:bookmarkEnd w:id="39"/>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lastRenderedPageBreak/>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No. 24 of 1990 s. 123.]</w:t>
      </w:r>
    </w:p>
    <w:p>
      <w:pPr>
        <w:pStyle w:val="Heading5"/>
        <w:rPr>
          <w:snapToGrid w:val="0"/>
        </w:rPr>
      </w:pPr>
      <w:bookmarkStart w:id="40" w:name="_Toc154741979"/>
      <w:r>
        <w:rPr>
          <w:rStyle w:val="CharSectno"/>
        </w:rPr>
        <w:t>31</w:t>
      </w:r>
      <w:r>
        <w:rPr>
          <w:snapToGrid w:val="0"/>
        </w:rPr>
        <w:t>.</w:t>
      </w:r>
      <w:r>
        <w:rPr>
          <w:snapToGrid w:val="0"/>
        </w:rPr>
        <w:tab/>
        <w:t>Deputies</w:t>
      </w:r>
      <w:bookmarkEnd w:id="40"/>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41" w:name="_Toc154741980"/>
      <w:r>
        <w:rPr>
          <w:rStyle w:val="CharSectno"/>
        </w:rPr>
        <w:t>32</w:t>
      </w:r>
      <w:r>
        <w:rPr>
          <w:snapToGrid w:val="0"/>
        </w:rPr>
        <w:t>.</w:t>
      </w:r>
      <w:r>
        <w:rPr>
          <w:snapToGrid w:val="0"/>
        </w:rPr>
        <w:tab/>
        <w:t>Quorum and meetings</w:t>
      </w:r>
      <w:bookmarkEnd w:id="41"/>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 xml:space="preserve">The Minister or the Chairman may at any time convene a meeting of the Committee, and a meeting shall be convened by the Chairman within 7 days of the receipt by him of a written request </w:t>
      </w:r>
      <w:r>
        <w:rPr>
          <w:snapToGrid w:val="0"/>
          <w:spacing w:val="-4"/>
        </w:rPr>
        <w:lastRenderedPageBreak/>
        <w:t>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42" w:name="_Toc154741981"/>
      <w:r>
        <w:rPr>
          <w:rStyle w:val="CharSectno"/>
        </w:rPr>
        <w:t>33</w:t>
      </w:r>
      <w:r>
        <w:rPr>
          <w:snapToGrid w:val="0"/>
        </w:rPr>
        <w:t>.</w:t>
      </w:r>
      <w:r>
        <w:rPr>
          <w:snapToGrid w:val="0"/>
        </w:rPr>
        <w:tab/>
        <w:t>Records and validity of proceedings</w:t>
      </w:r>
      <w:bookmarkEnd w:id="42"/>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43" w:name="_Toc154741982"/>
      <w:r>
        <w:rPr>
          <w:rStyle w:val="CharSectno"/>
        </w:rPr>
        <w:t>34</w:t>
      </w:r>
      <w:r>
        <w:rPr>
          <w:snapToGrid w:val="0"/>
        </w:rPr>
        <w:t>.</w:t>
      </w:r>
      <w:r>
        <w:rPr>
          <w:snapToGrid w:val="0"/>
        </w:rPr>
        <w:tab/>
        <w:t>Procedure</w:t>
      </w:r>
      <w:bookmarkEnd w:id="43"/>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44" w:name="_Toc154741983"/>
      <w:r>
        <w:rPr>
          <w:rStyle w:val="CharSectno"/>
        </w:rPr>
        <w:lastRenderedPageBreak/>
        <w:t>35</w:t>
      </w:r>
      <w:r>
        <w:rPr>
          <w:snapToGrid w:val="0"/>
        </w:rPr>
        <w:t>.</w:t>
      </w:r>
      <w:r>
        <w:rPr>
          <w:snapToGrid w:val="0"/>
        </w:rPr>
        <w:tab/>
        <w:t>Public Sector Management Act provisions</w:t>
      </w:r>
      <w:bookmarkEnd w:id="44"/>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No. 32 of 1994 s. 3(1).]</w:t>
      </w:r>
    </w:p>
    <w:p>
      <w:pPr>
        <w:pStyle w:val="Heading5"/>
        <w:rPr>
          <w:snapToGrid w:val="0"/>
        </w:rPr>
      </w:pPr>
      <w:bookmarkStart w:id="45" w:name="_Toc154741984"/>
      <w:r>
        <w:rPr>
          <w:rStyle w:val="CharSectno"/>
        </w:rPr>
        <w:t>36</w:t>
      </w:r>
      <w:r>
        <w:rPr>
          <w:snapToGrid w:val="0"/>
        </w:rPr>
        <w:t>.</w:t>
      </w:r>
      <w:r>
        <w:rPr>
          <w:snapToGrid w:val="0"/>
        </w:rPr>
        <w:tab/>
        <w:t>Remuneration etc.</w:t>
      </w:r>
      <w:bookmarkEnd w:id="45"/>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46" w:name="_Toc154741985"/>
      <w:r>
        <w:rPr>
          <w:rStyle w:val="CharSectno"/>
        </w:rPr>
        <w:t>37</w:t>
      </w:r>
      <w:r>
        <w:rPr>
          <w:snapToGrid w:val="0"/>
        </w:rPr>
        <w:t>.</w:t>
      </w:r>
      <w:r>
        <w:rPr>
          <w:snapToGrid w:val="0"/>
        </w:rPr>
        <w:tab/>
        <w:t>Registrar of Aboriginal Sites</w:t>
      </w:r>
      <w:bookmarkEnd w:id="46"/>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47" w:name="_Toc154741986"/>
      <w:r>
        <w:rPr>
          <w:rStyle w:val="CharSectno"/>
        </w:rPr>
        <w:lastRenderedPageBreak/>
        <w:t>38</w:t>
      </w:r>
      <w:r>
        <w:rPr>
          <w:snapToGrid w:val="0"/>
        </w:rPr>
        <w:t>.</w:t>
      </w:r>
      <w:r>
        <w:rPr>
          <w:snapToGrid w:val="0"/>
        </w:rPr>
        <w:tab/>
        <w:t>Register of places and objects</w:t>
      </w:r>
      <w:bookmarkEnd w:id="47"/>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48" w:name="_Toc154741987"/>
      <w:r>
        <w:rPr>
          <w:rStyle w:val="CharSectno"/>
        </w:rPr>
        <w:t>39</w:t>
      </w:r>
      <w:r>
        <w:rPr>
          <w:snapToGrid w:val="0"/>
        </w:rPr>
        <w:t>.</w:t>
      </w:r>
      <w:r>
        <w:rPr>
          <w:snapToGrid w:val="0"/>
        </w:rPr>
        <w:tab/>
        <w:t>Functions of the Committee</w:t>
      </w:r>
      <w:bookmarkEnd w:id="48"/>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lastRenderedPageBreak/>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49" w:name="_Toc154741988"/>
      <w:r>
        <w:rPr>
          <w:rStyle w:val="CharPartNo"/>
        </w:rPr>
        <w:lastRenderedPageBreak/>
        <w:t>Part VI</w:t>
      </w:r>
      <w:r>
        <w:rPr>
          <w:rStyle w:val="CharDivNo"/>
        </w:rPr>
        <w:t> </w:t>
      </w:r>
      <w:r>
        <w:t>—</w:t>
      </w:r>
      <w:r>
        <w:rPr>
          <w:rStyle w:val="CharDivText"/>
        </w:rPr>
        <w:t> </w:t>
      </w:r>
      <w:r>
        <w:rPr>
          <w:rStyle w:val="CharPartText"/>
        </w:rPr>
        <w:t>Protection for Aboriginal objects</w:t>
      </w:r>
      <w:bookmarkEnd w:id="49"/>
    </w:p>
    <w:p>
      <w:pPr>
        <w:pStyle w:val="Heading5"/>
        <w:spacing w:before="180"/>
        <w:rPr>
          <w:snapToGrid w:val="0"/>
        </w:rPr>
      </w:pPr>
      <w:bookmarkStart w:id="50" w:name="_Toc154741989"/>
      <w:r>
        <w:rPr>
          <w:rStyle w:val="CharSectno"/>
        </w:rPr>
        <w:t>39A</w:t>
      </w:r>
      <w:r>
        <w:rPr>
          <w:snapToGrid w:val="0"/>
        </w:rPr>
        <w:t>.</w:t>
      </w:r>
      <w:r>
        <w:rPr>
          <w:snapToGrid w:val="0"/>
        </w:rPr>
        <w:tab/>
        <w:t>Consultation between Minister and Trustees concerning administration of Part VI</w:t>
      </w:r>
      <w:bookmarkEnd w:id="50"/>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rPr>
          <w:rStyle w:val="CharSectno"/>
        </w:rPr>
      </w:pPr>
      <w:bookmarkStart w:id="51" w:name="_Toc154741990"/>
      <w:r>
        <w:rPr>
          <w:rStyle w:val="CharSectno"/>
        </w:rPr>
        <w:t>39B.</w:t>
      </w:r>
      <w:r>
        <w:rPr>
          <w:rStyle w:val="CharSectno"/>
        </w:rPr>
        <w:tab/>
        <w:t>Minister may delegate to Trustees under Part VI</w:t>
      </w:r>
      <w:bookmarkEnd w:id="51"/>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52" w:name="_Toc154741991"/>
      <w:r>
        <w:rPr>
          <w:rStyle w:val="CharSectno"/>
        </w:rPr>
        <w:t>39C</w:t>
      </w:r>
      <w:r>
        <w:rPr>
          <w:snapToGrid w:val="0"/>
        </w:rPr>
        <w:t>.</w:t>
      </w:r>
      <w:r>
        <w:rPr>
          <w:snapToGrid w:val="0"/>
        </w:rPr>
        <w:tab/>
        <w:t>Registrar may act on Minister’s behalf</w:t>
      </w:r>
      <w:bookmarkEnd w:id="52"/>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53" w:name="_Toc154741992"/>
      <w:r>
        <w:rPr>
          <w:rStyle w:val="CharSectno"/>
        </w:rPr>
        <w:t>39D</w:t>
      </w:r>
      <w:r>
        <w:rPr>
          <w:snapToGrid w:val="0"/>
        </w:rPr>
        <w:t>.</w:t>
      </w:r>
      <w:r>
        <w:rPr>
          <w:snapToGrid w:val="0"/>
        </w:rPr>
        <w:tab/>
        <w:t>Minister to consult with Committee</w:t>
      </w:r>
      <w:bookmarkEnd w:id="53"/>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54" w:name="_Toc154741993"/>
      <w:r>
        <w:rPr>
          <w:rStyle w:val="CharSectno"/>
        </w:rPr>
        <w:lastRenderedPageBreak/>
        <w:t>40</w:t>
      </w:r>
      <w:r>
        <w:rPr>
          <w:snapToGrid w:val="0"/>
        </w:rPr>
        <w:t>.</w:t>
      </w:r>
      <w:r>
        <w:rPr>
          <w:snapToGrid w:val="0"/>
        </w:rPr>
        <w:tab/>
        <w:t>Aboriginal cultural material</w:t>
      </w:r>
      <w:bookmarkEnd w:id="54"/>
    </w:p>
    <w:p>
      <w:pPr>
        <w:pStyle w:val="Subsection"/>
        <w:keepNext/>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55" w:name="_Toc154741994"/>
      <w:r>
        <w:rPr>
          <w:rStyle w:val="CharSectno"/>
        </w:rPr>
        <w:t>41</w:t>
      </w:r>
      <w:r>
        <w:rPr>
          <w:snapToGrid w:val="0"/>
        </w:rPr>
        <w:t>.</w:t>
      </w:r>
      <w:r>
        <w:rPr>
          <w:snapToGrid w:val="0"/>
        </w:rPr>
        <w:tab/>
        <w:t>Notification and production of objects</w:t>
      </w:r>
      <w:bookmarkEnd w:id="55"/>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 xml:space="preserve">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w:t>
      </w:r>
      <w:r>
        <w:rPr>
          <w:snapToGrid w:val="0"/>
        </w:rPr>
        <w:lastRenderedPageBreak/>
        <w:t>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56" w:name="_Toc154741995"/>
      <w:r>
        <w:rPr>
          <w:rStyle w:val="CharSectno"/>
        </w:rPr>
        <w:t>42</w:t>
      </w:r>
      <w:r>
        <w:rPr>
          <w:snapToGrid w:val="0"/>
        </w:rPr>
        <w:t>.</w:t>
      </w:r>
      <w:r>
        <w:rPr>
          <w:snapToGrid w:val="0"/>
        </w:rPr>
        <w:tab/>
        <w:t>Retention by Minister</w:t>
      </w:r>
      <w:bookmarkEnd w:id="56"/>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57" w:name="_Toc154741996"/>
      <w:r>
        <w:rPr>
          <w:rStyle w:val="CharSectno"/>
        </w:rPr>
        <w:t>43</w:t>
      </w:r>
      <w:r>
        <w:rPr>
          <w:snapToGrid w:val="0"/>
        </w:rPr>
        <w:t>.</w:t>
      </w:r>
      <w:r>
        <w:rPr>
          <w:snapToGrid w:val="0"/>
        </w:rPr>
        <w:tab/>
        <w:t>Restrictions on dealing with Aboriginal cultural material</w:t>
      </w:r>
      <w:bookmarkEnd w:id="5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keepNext/>
        <w:rPr>
          <w:snapToGrid w:val="0"/>
        </w:rPr>
      </w:pPr>
      <w:r>
        <w:rPr>
          <w:snapToGrid w:val="0"/>
        </w:rPr>
        <w:lastRenderedPageBreak/>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keepNext/>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w:t>
      </w:r>
      <w:r>
        <w:rPr>
          <w:snapToGrid w:val="0"/>
        </w:rPr>
        <w:lastRenderedPageBreak/>
        <w:t xml:space="preserve">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58" w:name="_Toc154741997"/>
      <w:r>
        <w:rPr>
          <w:rStyle w:val="CharSectno"/>
        </w:rPr>
        <w:t>44</w:t>
      </w:r>
      <w:r>
        <w:rPr>
          <w:snapToGrid w:val="0"/>
        </w:rPr>
        <w:t>.</w:t>
      </w:r>
      <w:r>
        <w:rPr>
          <w:snapToGrid w:val="0"/>
        </w:rPr>
        <w:tab/>
        <w:t>Prices to be at local rates</w:t>
      </w:r>
      <w:bookmarkEnd w:id="58"/>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59" w:name="_Toc154741998"/>
      <w:r>
        <w:rPr>
          <w:rStyle w:val="CharSectno"/>
        </w:rPr>
        <w:lastRenderedPageBreak/>
        <w:t>45</w:t>
      </w:r>
      <w:r>
        <w:rPr>
          <w:snapToGrid w:val="0"/>
        </w:rPr>
        <w:t>.</w:t>
      </w:r>
      <w:r>
        <w:rPr>
          <w:snapToGrid w:val="0"/>
        </w:rPr>
        <w:tab/>
        <w:t>Minister may purchase as agent</w:t>
      </w:r>
      <w:bookmarkEnd w:id="59"/>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60" w:name="_Toc154741999"/>
      <w:r>
        <w:rPr>
          <w:rStyle w:val="CharSectno"/>
        </w:rPr>
        <w:t>46</w:t>
      </w:r>
      <w:r>
        <w:rPr>
          <w:snapToGrid w:val="0"/>
        </w:rPr>
        <w:t>.</w:t>
      </w:r>
      <w:r>
        <w:rPr>
          <w:snapToGrid w:val="0"/>
        </w:rPr>
        <w:tab/>
        <w:t>Vesting of objects and inquiries into origin</w:t>
      </w:r>
      <w:bookmarkEnd w:id="60"/>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 xml:space="preserve">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w:t>
      </w:r>
      <w:r>
        <w:rPr>
          <w:snapToGrid w:val="0"/>
        </w:rPr>
        <w:lastRenderedPageBreak/>
        <w:t>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61" w:name="_Toc154742000"/>
      <w:r>
        <w:rPr>
          <w:rStyle w:val="CharSectno"/>
        </w:rPr>
        <w:lastRenderedPageBreak/>
        <w:t>47</w:t>
      </w:r>
      <w:r>
        <w:rPr>
          <w:snapToGrid w:val="0"/>
        </w:rPr>
        <w:t>.</w:t>
      </w:r>
      <w:r>
        <w:rPr>
          <w:snapToGrid w:val="0"/>
        </w:rPr>
        <w:tab/>
        <w:t>Compulsory acquisition of objects</w:t>
      </w:r>
      <w:bookmarkEnd w:id="61"/>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62" w:name="_Toc154742001"/>
      <w:r>
        <w:rPr>
          <w:rStyle w:val="CharSectno"/>
        </w:rPr>
        <w:t>48</w:t>
      </w:r>
      <w:r>
        <w:rPr>
          <w:snapToGrid w:val="0"/>
        </w:rPr>
        <w:t>.</w:t>
      </w:r>
      <w:r>
        <w:rPr>
          <w:snapToGrid w:val="0"/>
        </w:rPr>
        <w:tab/>
        <w:t>Restriction on exhibition of objects</w:t>
      </w:r>
      <w:bookmarkEnd w:id="62"/>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63" w:name="_Toc154742002"/>
      <w:r>
        <w:rPr>
          <w:rStyle w:val="CharSectno"/>
        </w:rPr>
        <w:t>49</w:t>
      </w:r>
      <w:r>
        <w:rPr>
          <w:snapToGrid w:val="0"/>
        </w:rPr>
        <w:t>.</w:t>
      </w:r>
      <w:r>
        <w:rPr>
          <w:snapToGrid w:val="0"/>
        </w:rPr>
        <w:tab/>
        <w:t>Prohibition on publication</w:t>
      </w:r>
      <w:bookmarkEnd w:id="63"/>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lastRenderedPageBreak/>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64" w:name="_Toc154742003"/>
      <w:r>
        <w:rPr>
          <w:rStyle w:val="CharPartNo"/>
        </w:rPr>
        <w:lastRenderedPageBreak/>
        <w:t>Part VII</w:t>
      </w:r>
      <w:r>
        <w:rPr>
          <w:rStyle w:val="CharDivNo"/>
        </w:rPr>
        <w:t> </w:t>
      </w:r>
      <w:r>
        <w:t>—</w:t>
      </w:r>
      <w:r>
        <w:rPr>
          <w:rStyle w:val="CharDivText"/>
        </w:rPr>
        <w:t> </w:t>
      </w:r>
      <w:r>
        <w:rPr>
          <w:rStyle w:val="CharPartText"/>
        </w:rPr>
        <w:t>Enforcement</w:t>
      </w:r>
      <w:bookmarkEnd w:id="64"/>
    </w:p>
    <w:p>
      <w:pPr>
        <w:pStyle w:val="Heading5"/>
        <w:rPr>
          <w:snapToGrid w:val="0"/>
        </w:rPr>
      </w:pPr>
      <w:bookmarkStart w:id="65" w:name="_Toc154742004"/>
      <w:r>
        <w:rPr>
          <w:rStyle w:val="CharSectno"/>
        </w:rPr>
        <w:t>50</w:t>
      </w:r>
      <w:r>
        <w:rPr>
          <w:snapToGrid w:val="0"/>
        </w:rPr>
        <w:t>.</w:t>
      </w:r>
      <w:r>
        <w:rPr>
          <w:snapToGrid w:val="0"/>
        </w:rPr>
        <w:tab/>
        <w:t>Honorary wardens</w:t>
      </w:r>
      <w:bookmarkEnd w:id="65"/>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66" w:name="_Toc154742005"/>
      <w:r>
        <w:rPr>
          <w:rStyle w:val="CharSectno"/>
        </w:rPr>
        <w:t>51</w:t>
      </w:r>
      <w:r>
        <w:rPr>
          <w:snapToGrid w:val="0"/>
        </w:rPr>
        <w:t>.</w:t>
      </w:r>
      <w:r>
        <w:rPr>
          <w:snapToGrid w:val="0"/>
        </w:rPr>
        <w:tab/>
        <w:t>Powers of inspection</w:t>
      </w:r>
      <w:bookmarkEnd w:id="66"/>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keepNext/>
        <w:rPr>
          <w:snapToGrid w:val="0"/>
        </w:rPr>
      </w:pPr>
      <w:r>
        <w:rPr>
          <w:snapToGrid w:val="0"/>
        </w:rPr>
        <w:lastRenderedPageBreak/>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67" w:name="_Toc154742006"/>
      <w:r>
        <w:rPr>
          <w:rStyle w:val="CharSectno"/>
        </w:rPr>
        <w:t>52</w:t>
      </w:r>
      <w:r>
        <w:rPr>
          <w:snapToGrid w:val="0"/>
        </w:rPr>
        <w:t>.</w:t>
      </w:r>
      <w:r>
        <w:rPr>
          <w:snapToGrid w:val="0"/>
        </w:rPr>
        <w:tab/>
        <w:t>Power of officers to represent the Minister</w:t>
      </w:r>
      <w:bookmarkEnd w:id="67"/>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68" w:name="_Toc154742007"/>
      <w:r>
        <w:rPr>
          <w:rStyle w:val="CharSectno"/>
        </w:rPr>
        <w:t>53</w:t>
      </w:r>
      <w:r>
        <w:rPr>
          <w:snapToGrid w:val="0"/>
        </w:rPr>
        <w:t>.</w:t>
      </w:r>
      <w:r>
        <w:rPr>
          <w:snapToGrid w:val="0"/>
        </w:rPr>
        <w:tab/>
        <w:t>Proceedings by the Minister</w:t>
      </w:r>
      <w:bookmarkEnd w:id="68"/>
    </w:p>
    <w:p>
      <w:pPr>
        <w:pStyle w:val="Subsection"/>
        <w:rPr>
          <w:snapToGrid w:val="0"/>
        </w:rPr>
      </w:pPr>
      <w:r>
        <w:rPr>
          <w:snapToGrid w:val="0"/>
        </w:rPr>
        <w:tab/>
      </w:r>
      <w:r>
        <w:rPr>
          <w:snapToGrid w:val="0"/>
        </w:rPr>
        <w:tab/>
        <w:t xml:space="preserve">In any charge against a person under this Act, and in any proceedings instituted in relation to any property vested in the Minister or in the possession, or under the care and control of, the Minister, it is sufficient to state generally that the property in </w:t>
      </w:r>
      <w:r>
        <w:rPr>
          <w:snapToGrid w:val="0"/>
        </w:rPr>
        <w:lastRenderedPageBreak/>
        <w:t>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69" w:name="_Toc154742008"/>
      <w:r>
        <w:rPr>
          <w:rStyle w:val="CharSectno"/>
        </w:rPr>
        <w:t>54</w:t>
      </w:r>
      <w:r>
        <w:rPr>
          <w:snapToGrid w:val="0"/>
        </w:rPr>
        <w:t>.</w:t>
      </w:r>
      <w:r>
        <w:rPr>
          <w:snapToGrid w:val="0"/>
        </w:rPr>
        <w:tab/>
        <w:t>Persons obstructing execution of this Act</w:t>
      </w:r>
      <w:bookmarkEnd w:id="69"/>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70" w:name="_Toc154742009"/>
      <w:r>
        <w:rPr>
          <w:snapToGrid w:val="0"/>
        </w:rPr>
        <w:t>55.</w:t>
      </w:r>
      <w:r>
        <w:rPr>
          <w:snapToGrid w:val="0"/>
        </w:rPr>
        <w:tab/>
        <w:t>Breach of conditions</w:t>
      </w:r>
      <w:bookmarkEnd w:id="70"/>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No. 8 of 1980 s. 11.]</w:t>
      </w:r>
    </w:p>
    <w:p>
      <w:pPr>
        <w:pStyle w:val="Heading5"/>
        <w:spacing w:before="180"/>
        <w:rPr>
          <w:snapToGrid w:val="0"/>
        </w:rPr>
      </w:pPr>
      <w:bookmarkStart w:id="71" w:name="_Toc154742010"/>
      <w:r>
        <w:rPr>
          <w:snapToGrid w:val="0"/>
        </w:rPr>
        <w:t>56.</w:t>
      </w:r>
      <w:r>
        <w:rPr>
          <w:snapToGrid w:val="0"/>
        </w:rPr>
        <w:tab/>
        <w:t>Secrecy</w:t>
      </w:r>
      <w:bookmarkEnd w:id="71"/>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72" w:name="_Toc154742011"/>
      <w:r>
        <w:rPr>
          <w:rStyle w:val="CharSectno"/>
        </w:rPr>
        <w:lastRenderedPageBreak/>
        <w:t>57</w:t>
      </w:r>
      <w:r>
        <w:rPr>
          <w:snapToGrid w:val="0"/>
        </w:rPr>
        <w:t>.</w:t>
      </w:r>
      <w:r>
        <w:rPr>
          <w:snapToGrid w:val="0"/>
        </w:rPr>
        <w:tab/>
        <w:t>Penalties</w:t>
      </w:r>
      <w:bookmarkEnd w:id="72"/>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Ednotesubsection"/>
      </w:pPr>
      <w:r>
        <w:tab/>
        <w:t>[(2)</w:t>
      </w:r>
      <w:r>
        <w:tab/>
        <w:t>deleted]</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 No. 9 of 2023 s. 10.]</w:t>
      </w:r>
    </w:p>
    <w:p>
      <w:pPr>
        <w:pStyle w:val="Heading5"/>
      </w:pPr>
      <w:bookmarkStart w:id="73" w:name="_Toc154742012"/>
      <w:r>
        <w:rPr>
          <w:rStyle w:val="CharSectno"/>
        </w:rPr>
        <w:t>58</w:t>
      </w:r>
      <w:r>
        <w:t>.</w:t>
      </w:r>
      <w:r>
        <w:tab/>
        <w:t>Liability of officers for offence by body corporate</w:t>
      </w:r>
      <w:bookmarkEnd w:id="7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noWrap/>
          </w:tcPr>
          <w:p>
            <w:pPr>
              <w:pStyle w:val="TableNAm"/>
              <w:keepNext/>
            </w:pPr>
            <w:r>
              <w:t>s. 17</w:t>
            </w:r>
          </w:p>
        </w:tc>
        <w:tc>
          <w:tcPr>
            <w:tcW w:w="2566" w:type="dxa"/>
            <w:noWrap/>
          </w:tcPr>
          <w:p>
            <w:pPr>
              <w:pStyle w:val="TableNAm"/>
              <w:keepNext/>
            </w:pPr>
            <w:r>
              <w:t>s. 43(7)</w:t>
            </w:r>
          </w:p>
        </w:tc>
      </w:tr>
      <w:tr>
        <w:trPr>
          <w:cantSplit/>
        </w:trPr>
        <w:tc>
          <w:tcPr>
            <w:tcW w:w="2566" w:type="dxa"/>
            <w:noWrap/>
          </w:tcPr>
          <w:p>
            <w:pPr>
              <w:pStyle w:val="TableNAm"/>
              <w:keepNext/>
            </w:pPr>
            <w:r>
              <w:t>s. 55</w:t>
            </w:r>
          </w:p>
        </w:tc>
        <w:tc>
          <w:tcPr>
            <w:tcW w:w="2566" w:type="dxa"/>
            <w:noWrap/>
          </w:tcPr>
          <w:p>
            <w:pPr>
              <w:pStyle w:val="TableNAm"/>
              <w:keepNext/>
            </w:pPr>
          </w:p>
        </w:tc>
      </w:tr>
    </w:tbl>
    <w:p>
      <w:pPr>
        <w:pStyle w:val="Footnotesection"/>
      </w:pPr>
      <w:r>
        <w:tab/>
        <w:t>[Section 58 inserted: No. 9 of 2023 s. 11.]</w:t>
      </w:r>
    </w:p>
    <w:p>
      <w:pPr>
        <w:pStyle w:val="Heading5"/>
        <w:rPr>
          <w:snapToGrid w:val="0"/>
        </w:rPr>
      </w:pPr>
      <w:bookmarkStart w:id="74" w:name="_Toc154742013"/>
      <w:r>
        <w:rPr>
          <w:rStyle w:val="CharSectno"/>
        </w:rPr>
        <w:t>59</w:t>
      </w:r>
      <w:r>
        <w:rPr>
          <w:snapToGrid w:val="0"/>
        </w:rPr>
        <w:t>.</w:t>
      </w:r>
      <w:r>
        <w:rPr>
          <w:snapToGrid w:val="0"/>
        </w:rPr>
        <w:tab/>
        <w:t>Forfeiture</w:t>
      </w:r>
      <w:bookmarkEnd w:id="74"/>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75" w:name="_Toc154742014"/>
      <w:r>
        <w:rPr>
          <w:rStyle w:val="CharSectno"/>
        </w:rPr>
        <w:t>60</w:t>
      </w:r>
      <w:r>
        <w:rPr>
          <w:snapToGrid w:val="0"/>
        </w:rPr>
        <w:t>.</w:t>
      </w:r>
      <w:r>
        <w:rPr>
          <w:snapToGrid w:val="0"/>
        </w:rPr>
        <w:tab/>
        <w:t>Evidence</w:t>
      </w:r>
      <w:bookmarkEnd w:id="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lastRenderedPageBreak/>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76" w:name="_Toc154742015"/>
      <w:r>
        <w:rPr>
          <w:rStyle w:val="CharSectno"/>
        </w:rPr>
        <w:t>61</w:t>
      </w:r>
      <w:r>
        <w:rPr>
          <w:snapToGrid w:val="0"/>
        </w:rPr>
        <w:t>.</w:t>
      </w:r>
      <w:r>
        <w:rPr>
          <w:snapToGrid w:val="0"/>
        </w:rPr>
        <w:tab/>
        <w:t>Presumption as to notices</w:t>
      </w:r>
      <w:bookmarkEnd w:id="76"/>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77" w:name="_Toc154742016"/>
      <w:r>
        <w:rPr>
          <w:rStyle w:val="CharSectno"/>
        </w:rPr>
        <w:lastRenderedPageBreak/>
        <w:t>62</w:t>
      </w:r>
      <w:r>
        <w:rPr>
          <w:snapToGrid w:val="0"/>
        </w:rPr>
        <w:t>.</w:t>
      </w:r>
      <w:r>
        <w:rPr>
          <w:snapToGrid w:val="0"/>
        </w:rPr>
        <w:tab/>
        <w:t>Special defence of lack of knowledge</w:t>
      </w:r>
      <w:bookmarkEnd w:id="77"/>
    </w:p>
    <w:p>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78" w:name="_Toc154742017"/>
      <w:r>
        <w:rPr>
          <w:rStyle w:val="CharPartNo"/>
        </w:rPr>
        <w:lastRenderedPageBreak/>
        <w:t>Part VIII</w:t>
      </w:r>
      <w:r>
        <w:rPr>
          <w:rStyle w:val="CharDivNo"/>
        </w:rPr>
        <w:t> </w:t>
      </w:r>
      <w:r>
        <w:t>—</w:t>
      </w:r>
      <w:r>
        <w:rPr>
          <w:rStyle w:val="CharDivText"/>
        </w:rPr>
        <w:t> </w:t>
      </w:r>
      <w:r>
        <w:rPr>
          <w:rStyle w:val="CharPartText"/>
        </w:rPr>
        <w:t>General</w:t>
      </w:r>
      <w:bookmarkEnd w:id="78"/>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79" w:name="_Toc154742018"/>
      <w:r>
        <w:rPr>
          <w:rStyle w:val="CharSectno"/>
        </w:rPr>
        <w:t>66</w:t>
      </w:r>
      <w:r>
        <w:t>.</w:t>
      </w:r>
      <w:r>
        <w:tab/>
        <w:t>Authority to perform certain functions in relation to Crown land for purposes of this Act</w:t>
      </w:r>
      <w:bookmarkEnd w:id="79"/>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80" w:name="_Toc154742019"/>
      <w:r>
        <w:rPr>
          <w:rStyle w:val="CharSectno"/>
        </w:rPr>
        <w:t>67</w:t>
      </w:r>
      <w:r>
        <w:rPr>
          <w:snapToGrid w:val="0"/>
        </w:rPr>
        <w:t>.</w:t>
      </w:r>
      <w:r>
        <w:rPr>
          <w:snapToGrid w:val="0"/>
        </w:rPr>
        <w:tab/>
        <w:t>Indemnity</w:t>
      </w:r>
      <w:bookmarkEnd w:id="80"/>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keepNext/>
        <w:rPr>
          <w:snapToGrid w:val="0"/>
        </w:rPr>
      </w:pPr>
      <w:r>
        <w:rPr>
          <w:snapToGrid w:val="0"/>
        </w:rPr>
        <w:lastRenderedPageBreak/>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snapToGrid w:val="0"/>
        </w:rPr>
      </w:pPr>
      <w:bookmarkStart w:id="81" w:name="_Toc154742020"/>
      <w:r>
        <w:rPr>
          <w:rStyle w:val="CharSectno"/>
        </w:rPr>
        <w:t>68</w:t>
      </w:r>
      <w:r>
        <w:rPr>
          <w:snapToGrid w:val="0"/>
        </w:rPr>
        <w:t>.</w:t>
      </w:r>
      <w:r>
        <w:rPr>
          <w:snapToGrid w:val="0"/>
        </w:rPr>
        <w:tab/>
        <w:t>Regulations</w:t>
      </w:r>
      <w:bookmarkEnd w:id="81"/>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No. 24 of 1995 s. 52.]</w:t>
      </w:r>
    </w:p>
    <w:p>
      <w:pPr>
        <w:pStyle w:val="Heading2"/>
      </w:pPr>
      <w:bookmarkStart w:id="82" w:name="_Toc154742021"/>
      <w:r>
        <w:rPr>
          <w:rStyle w:val="CharPartNo"/>
        </w:rPr>
        <w:lastRenderedPageBreak/>
        <w:t>Part 9</w:t>
      </w:r>
      <w:r>
        <w:t> — </w:t>
      </w:r>
      <w:r>
        <w:rPr>
          <w:rStyle w:val="CharPartText"/>
        </w:rPr>
        <w:t xml:space="preserve">Transitional provisions for </w:t>
      </w:r>
      <w:r>
        <w:rPr>
          <w:rStyle w:val="CharPartText"/>
          <w:i/>
          <w:iCs/>
        </w:rPr>
        <w:t>Aboriginal Heritage Legislation Amendment and Repeal Act 2023</w:t>
      </w:r>
      <w:bookmarkEnd w:id="82"/>
    </w:p>
    <w:p>
      <w:pPr>
        <w:pStyle w:val="Footnoteheading"/>
      </w:pPr>
      <w:r>
        <w:tab/>
        <w:t>[Heading inserted: No. 23 of 2023 s. 8.]</w:t>
      </w:r>
    </w:p>
    <w:p>
      <w:pPr>
        <w:pStyle w:val="Heading5"/>
      </w:pPr>
      <w:bookmarkStart w:id="83" w:name="_Toc154742022"/>
      <w:r>
        <w:rPr>
          <w:rStyle w:val="CharSectno"/>
        </w:rPr>
        <w:t>69</w:t>
      </w:r>
      <w:r>
        <w:t>.</w:t>
      </w:r>
      <w:r>
        <w:tab/>
        <w:t>Terms used</w:t>
      </w:r>
      <w:bookmarkEnd w:id="83"/>
    </w:p>
    <w:p>
      <w:pPr>
        <w:pStyle w:val="Subsection"/>
      </w:pPr>
      <w:r>
        <w:tab/>
      </w:r>
      <w:r>
        <w:tab/>
        <w:t xml:space="preserve">In this Part — </w:t>
      </w:r>
    </w:p>
    <w:p>
      <w:pPr>
        <w:pStyle w:val="Defstart"/>
      </w:pPr>
      <w:r>
        <w:tab/>
      </w:r>
      <w:r>
        <w:rPr>
          <w:rStyle w:val="CharDefText"/>
        </w:rPr>
        <w:t>2021 Act</w:t>
      </w:r>
      <w:r>
        <w:t xml:space="preserve"> means the </w:t>
      </w:r>
      <w:r>
        <w:rPr>
          <w:i/>
        </w:rPr>
        <w:t>Aboriginal Cultural Heritage Act 2021</w:t>
      </w:r>
      <w:r>
        <w:t>;</w:t>
      </w:r>
    </w:p>
    <w:p>
      <w:pPr>
        <w:pStyle w:val="Defstart"/>
      </w:pPr>
      <w:r>
        <w:tab/>
      </w:r>
      <w:r>
        <w:rPr>
          <w:rStyle w:val="CharDefText"/>
        </w:rPr>
        <w:t>2023 amendment Act</w:t>
      </w:r>
      <w:r>
        <w:t xml:space="preserve"> means the </w:t>
      </w:r>
      <w:r>
        <w:rPr>
          <w:b/>
          <w:i/>
          <w:noProof/>
        </w:rPr>
        <w:t>Aboriginal Heritage Legislation Amendment and Repeal Act 2023</w:t>
      </w:r>
      <w:r>
        <w:t>;</w:t>
      </w:r>
    </w:p>
    <w:p>
      <w:pPr>
        <w:pStyle w:val="Defstart"/>
      </w:pPr>
      <w:r>
        <w:tab/>
      </w:r>
      <w:r>
        <w:rPr>
          <w:rStyle w:val="CharDefText"/>
        </w:rPr>
        <w:t>transitional regulations</w:t>
      </w:r>
      <w:r>
        <w:t xml:space="preserve"> has the meaning given in section 71(2).</w:t>
      </w:r>
    </w:p>
    <w:p>
      <w:pPr>
        <w:pStyle w:val="Footnotesection"/>
      </w:pPr>
      <w:r>
        <w:tab/>
        <w:t>[Section 69 inserted: No. 23 of 2023 s. 8.]</w:t>
      </w:r>
    </w:p>
    <w:p>
      <w:pPr>
        <w:pStyle w:val="Heading5"/>
      </w:pPr>
      <w:bookmarkStart w:id="84" w:name="_Toc154742023"/>
      <w:r>
        <w:rPr>
          <w:rStyle w:val="CharSectno"/>
        </w:rPr>
        <w:t>70</w:t>
      </w:r>
      <w:r>
        <w:t>.</w:t>
      </w:r>
      <w:r>
        <w:tab/>
        <w:t xml:space="preserve">Application of </w:t>
      </w:r>
      <w:r>
        <w:rPr>
          <w:i/>
          <w:iCs/>
        </w:rPr>
        <w:t>Interpretation Act 1984</w:t>
      </w:r>
      <w:bookmarkEnd w:id="84"/>
    </w:p>
    <w:p>
      <w:pPr>
        <w:pStyle w:val="Subsection"/>
      </w:pPr>
      <w:r>
        <w:tab/>
      </w:r>
      <w:r>
        <w:tab/>
        <w:t xml:space="preserve">The </w:t>
      </w:r>
      <w:r>
        <w:rPr>
          <w:i/>
        </w:rPr>
        <w:t>Interpretation Act 1984</w:t>
      </w:r>
      <w:r>
        <w:t xml:space="preserve"> applies in relation to a repeal or amendment under the 2023 amendment Act subject to this Part and transitional regulations.</w:t>
      </w:r>
    </w:p>
    <w:p>
      <w:pPr>
        <w:pStyle w:val="Footnotesection"/>
      </w:pPr>
      <w:r>
        <w:tab/>
        <w:t>[Section 70 inserted: No. 23 of 2023 s. 8.]</w:t>
      </w:r>
    </w:p>
    <w:p>
      <w:pPr>
        <w:pStyle w:val="Heading5"/>
      </w:pPr>
      <w:bookmarkStart w:id="85" w:name="_Toc154742024"/>
      <w:r>
        <w:rPr>
          <w:rStyle w:val="CharSectno"/>
        </w:rPr>
        <w:t>71</w:t>
      </w:r>
      <w:r>
        <w:t>.</w:t>
      </w:r>
      <w:r>
        <w:tab/>
        <w:t>Transitional regulations</w:t>
      </w:r>
      <w:bookmarkEnd w:id="85"/>
    </w:p>
    <w:p>
      <w:pPr>
        <w:pStyle w:val="Subsection"/>
      </w:pPr>
      <w:r>
        <w:tab/>
        <w:t>(1)</w:t>
      </w:r>
      <w:r>
        <w:tab/>
        <w:t xml:space="preserve">In this section — </w:t>
      </w:r>
    </w:p>
    <w:p>
      <w:pPr>
        <w:pStyle w:val="Defstart"/>
      </w:pPr>
      <w:r>
        <w:tab/>
      </w:r>
      <w:r>
        <w:rPr>
          <w:rStyle w:val="CharDefText"/>
        </w:rPr>
        <w:t>assent day</w:t>
      </w:r>
      <w:r>
        <w:t xml:space="preserve"> means the day on which the 2023 amendment Act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Interpretation Act 1984</w:t>
      </w:r>
      <w:r>
        <w:t xml:space="preserve"> section 41(1)(a);</w:t>
      </w:r>
    </w:p>
    <w:p>
      <w:pPr>
        <w:pStyle w:val="Defstart"/>
      </w:pPr>
      <w:r>
        <w:tab/>
      </w:r>
      <w:r>
        <w:rPr>
          <w:rStyle w:val="CharDefText"/>
        </w:rPr>
        <w:t>specified</w:t>
      </w:r>
      <w:r>
        <w:t xml:space="preserve"> means specified or described in transitional regulations;</w:t>
      </w:r>
    </w:p>
    <w:p>
      <w:pPr>
        <w:pStyle w:val="Defstart"/>
      </w:pPr>
      <w:r>
        <w:rPr>
          <w:b/>
          <w:i/>
        </w:rPr>
        <w:tab/>
      </w:r>
      <w:r>
        <w:rPr>
          <w:rStyle w:val="CharDefText"/>
        </w:rPr>
        <w:t>transitional matter</w:t>
      </w:r>
      <w:r>
        <w:t> —</w:t>
      </w:r>
    </w:p>
    <w:p>
      <w:pPr>
        <w:pStyle w:val="Defpara"/>
      </w:pPr>
      <w:r>
        <w:tab/>
        <w:t>(a)</w:t>
      </w:r>
      <w:r>
        <w:tab/>
        <w:t xml:space="preserve">means a matter or issue of a transitional nature that arises as a result of either or both of the following — </w:t>
      </w:r>
    </w:p>
    <w:p>
      <w:pPr>
        <w:pStyle w:val="Defsubpara"/>
      </w:pPr>
      <w:r>
        <w:tab/>
        <w:t>(i)</w:t>
      </w:r>
      <w:r>
        <w:tab/>
        <w:t>the enactment of the 2023 amendment Act;</w:t>
      </w:r>
    </w:p>
    <w:p>
      <w:pPr>
        <w:pStyle w:val="Defsubpara"/>
      </w:pPr>
      <w:r>
        <w:lastRenderedPageBreak/>
        <w:tab/>
        <w:t>(ii)</w:t>
      </w:r>
      <w:r>
        <w:tab/>
        <w:t>a repeal or amendment under the 2023 amendment Act;</w:t>
      </w:r>
    </w:p>
    <w:p>
      <w:pPr>
        <w:pStyle w:val="Defpara"/>
      </w:pPr>
      <w:r>
        <w:tab/>
      </w:r>
      <w:r>
        <w:tab/>
        <w:t>and</w:t>
      </w:r>
    </w:p>
    <w:p>
      <w:pPr>
        <w:pStyle w:val="Defpara"/>
      </w:pPr>
      <w:r>
        <w:tab/>
        <w:t>(b)</w:t>
      </w:r>
      <w:r>
        <w:tab/>
        <w:t>includes a saving or application matter or issue.</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w:t>
      </w:r>
    </w:p>
    <w:p>
      <w:pPr>
        <w:pStyle w:val="Indenta"/>
      </w:pPr>
      <w:r>
        <w:tab/>
        <w:t>(b)</w:t>
      </w:r>
      <w:r>
        <w:tab/>
        <w:t xml:space="preserve">make any provision that is necessary or convenient in consequence of, or for giving effect to, either or both of the following — </w:t>
      </w:r>
    </w:p>
    <w:p>
      <w:pPr>
        <w:pStyle w:val="Indenti"/>
      </w:pPr>
      <w:r>
        <w:tab/>
        <w:t>(i)</w:t>
      </w:r>
      <w:r>
        <w:tab/>
        <w:t>the enactment of the 2023 amendment Act;</w:t>
      </w:r>
    </w:p>
    <w:p>
      <w:pPr>
        <w:pStyle w:val="Indenti"/>
      </w:pPr>
      <w:r>
        <w:tab/>
        <w:t>(ii)</w:t>
      </w:r>
      <w:r>
        <w:tab/>
        <w:t>a repeal or amendment under the 2023 amendment Act.</w:t>
      </w:r>
    </w:p>
    <w:p>
      <w:pPr>
        <w:pStyle w:val="Subsection"/>
      </w:pPr>
      <w:r>
        <w:tab/>
        <w:t>(3)</w:t>
      </w:r>
      <w:r>
        <w:tab/>
        <w:t xml:space="preserve">Without limiting subsection (2), transitional regulations may do any of the following — </w:t>
      </w:r>
    </w:p>
    <w:p>
      <w:pPr>
        <w:pStyle w:val="Indenta"/>
      </w:pPr>
      <w:r>
        <w:tab/>
        <w:t>(a)</w:t>
      </w:r>
      <w:r>
        <w:tab/>
        <w:t>provide for any specified act or thing done or omitted to be done by, to or in respect of a specified person or body to be taken to have been done or omitted to be done by, to or in respect of another specified person or body;</w:t>
      </w:r>
    </w:p>
    <w:p>
      <w:pPr>
        <w:pStyle w:val="Indenta"/>
      </w:pPr>
      <w:r>
        <w:tab/>
        <w:t>(b)</w:t>
      </w:r>
      <w:r>
        <w:tab/>
        <w:t>provide for any specified act or thing done or omitted to be done under the 2021 Act, or regulations made under the 2021 Act, to be taken to have been done or omitted to be done under this Act or another written law;</w:t>
      </w:r>
    </w:p>
    <w:p>
      <w:pPr>
        <w:pStyle w:val="Indenta"/>
      </w:pPr>
      <w:r>
        <w:tab/>
        <w:t>(c)</w:t>
      </w:r>
      <w:r>
        <w:tab/>
        <w:t>provide for the substitution of a specified person or body for another specified person or body as a party to any proceedings;</w:t>
      </w:r>
    </w:p>
    <w:p>
      <w:pPr>
        <w:pStyle w:val="Indenta"/>
      </w:pPr>
      <w:r>
        <w:tab/>
        <w:t>(d)</w:t>
      </w:r>
      <w:r>
        <w:tab/>
        <w:t>provide for proceedings and remedies that might have been commenced by, or available to or against, a specified person or body to be commenced by, or to be available to or against, another specified person or body;</w:t>
      </w:r>
    </w:p>
    <w:p>
      <w:pPr>
        <w:pStyle w:val="Indenta"/>
      </w:pPr>
      <w:r>
        <w:lastRenderedPageBreak/>
        <w:tab/>
        <w:t>(e)</w:t>
      </w:r>
      <w:r>
        <w:tab/>
        <w:t>provide for the transfer of, or the creation of interests in, specified property, rights or liabilities;</w:t>
      </w:r>
    </w:p>
    <w:p>
      <w:pPr>
        <w:pStyle w:val="Indenta"/>
      </w:pPr>
      <w:r>
        <w:tab/>
        <w:t>(f)</w:t>
      </w:r>
      <w:r>
        <w:tab/>
        <w:t>provide for the modification of specified agreements or other instruments;</w:t>
      </w:r>
    </w:p>
    <w:p>
      <w:pPr>
        <w:pStyle w:val="Indenta"/>
      </w:pPr>
      <w:r>
        <w:tab/>
        <w:t>(g)</w:t>
      </w:r>
      <w:r>
        <w:tab/>
        <w:t>provide for a specified person or body to take possession of books, documents or other records, however compiled or stored, that are or were in the possession of another specified person or body;</w:t>
      </w:r>
    </w:p>
    <w:p>
      <w:pPr>
        <w:pStyle w:val="Indenta"/>
      </w:pPr>
      <w:r>
        <w:tab/>
        <w:t>(h)</w:t>
      </w:r>
      <w:r>
        <w:tab/>
        <w:t xml:space="preserve">provide for officers of the Department to be able to exercise powers under the </w:t>
      </w:r>
      <w:r>
        <w:rPr>
          <w:i/>
        </w:rPr>
        <w:t>Criminal Investigation Act 2006</w:t>
      </w:r>
      <w:r>
        <w:t>;</w:t>
      </w:r>
    </w:p>
    <w:p>
      <w:pPr>
        <w:pStyle w:val="Indenta"/>
      </w:pPr>
      <w:r>
        <w:tab/>
        <w:t>(i)</w:t>
      </w:r>
      <w:r>
        <w:tab/>
        <w:t>provide for the 2021 Act, or a specified provision of the 2021 Act, to continue to apply (with or without specified modifications) to, or in relation to, a specified matter or thing as if the 2021 Act had not been repealed;</w:t>
      </w:r>
    </w:p>
    <w:p>
      <w:pPr>
        <w:pStyle w:val="Indenta"/>
      </w:pPr>
      <w:r>
        <w:tab/>
        <w:t>(j)</w:t>
      </w:r>
      <w:r>
        <w:tab/>
        <w:t>provide for regulations made under the 2021 Act, or a specified provision of regulations made under the 2021 Act, to continue to apply (with or without specified modifications) to, or in relation to, a specified matter or thing as if the regulations had not been repealed;</w:t>
      </w:r>
    </w:p>
    <w:p>
      <w:pPr>
        <w:pStyle w:val="Indenta"/>
      </w:pPr>
      <w:r>
        <w:tab/>
        <w:t>(k)</w:t>
      </w:r>
      <w:r>
        <w:tab/>
        <w:t xml:space="preserve">deal with any incidental or supplementary matters or issues relating to a provision of this Part or transitional regulations, including by making provisions that do any of the following — </w:t>
      </w:r>
    </w:p>
    <w:p>
      <w:pPr>
        <w:pStyle w:val="Indenti"/>
      </w:pPr>
      <w:r>
        <w:tab/>
        <w:t>(i)</w:t>
      </w:r>
      <w:r>
        <w:tab/>
        <w:t>require, or provide for, a specified person or body to enter into an agreement with, or execute an instrument in favour of, another specified person or body;</w:t>
      </w:r>
    </w:p>
    <w:p>
      <w:pPr>
        <w:pStyle w:val="Indenti"/>
      </w:pPr>
      <w:r>
        <w:tab/>
        <w:t>(ii)</w:t>
      </w:r>
      <w:r>
        <w:tab/>
        <w:t>require, or provide for, a specified person or body to register or record a document or transaction in a specified register;</w:t>
      </w:r>
    </w:p>
    <w:p>
      <w:pPr>
        <w:pStyle w:val="Indenti"/>
      </w:pPr>
      <w:r>
        <w:tab/>
        <w:t>(iii)</w:t>
      </w:r>
      <w:r>
        <w:tab/>
        <w:t>require, or provide for, a specified person or body otherwise to maintain, modify or make an entry in a specified register;</w:t>
      </w:r>
    </w:p>
    <w:p>
      <w:pPr>
        <w:pStyle w:val="Indenti"/>
      </w:pPr>
      <w:r>
        <w:lastRenderedPageBreak/>
        <w:tab/>
        <w:t>(iv)</w:t>
      </w:r>
      <w:r>
        <w:tab/>
        <w:t>provide for enforcement by way of civil proceedings for an injunction, or for any other appropriate remedy or relief, in the Supreme Court or any other court.</w:t>
      </w:r>
    </w:p>
    <w:p>
      <w:pPr>
        <w:pStyle w:val="Subsection"/>
      </w:pPr>
      <w:r>
        <w:tab/>
        <w:t>(4)</w:t>
      </w:r>
      <w:r>
        <w:tab/>
        <w:t xml:space="preserve">Transitional regulations may provide that specified provisions of this Act (including this Part but excluding this section) or another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(5)</w:t>
      </w:r>
      <w:r>
        <w:tab/>
        <w:t>If transitional regulations provide that a specified state of affairs is taken to have existed, or not to have existed, on and after a day that is earlier than publication day but not earlier than assent day, the transitional regulations have effect according to their terms.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an omission made, before publication day.</w:t>
      </w:r>
    </w:p>
    <w:p>
      <w:pPr>
        <w:pStyle w:val="Footnotesection"/>
      </w:pPr>
      <w:r>
        <w:tab/>
        <w:t>[Section 71 inserted: No. 23 of 2023 s.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86" w:name="_Toc154742025"/>
      <w:r>
        <w:lastRenderedPageBreak/>
        <w:t>Notes</w:t>
      </w:r>
      <w:bookmarkEnd w:id="86"/>
    </w:p>
    <w:p>
      <w:pPr>
        <w:pStyle w:val="nStatement"/>
      </w:pPr>
      <w:r>
        <w:t xml:space="preserve">This is a compilation of the </w:t>
      </w:r>
      <w:r>
        <w:rPr>
          <w:i/>
          <w:noProof/>
        </w:rPr>
        <w:t>Aboriginal Heritage Act 1972</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pPr>
        <w:pStyle w:val="nHeading3"/>
      </w:pPr>
      <w:bookmarkStart w:id="87" w:name="_Toc154742026"/>
      <w:r>
        <w:t>Compilation table</w:t>
      </w:r>
      <w:bookmarkEnd w:id="8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Aboriginal Heritage Act 1972</w:t>
            </w:r>
          </w:p>
        </w:tc>
        <w:tc>
          <w:tcPr>
            <w:tcW w:w="1134" w:type="dxa"/>
          </w:tcPr>
          <w:p>
            <w:pPr>
              <w:pStyle w:val="nTable"/>
              <w:spacing w:after="40"/>
            </w:pPr>
            <w:r>
              <w:t>53 of 1972</w:t>
            </w:r>
          </w:p>
        </w:tc>
        <w:tc>
          <w:tcPr>
            <w:tcW w:w="1134" w:type="dxa"/>
          </w:tcPr>
          <w:p>
            <w:pPr>
              <w:pStyle w:val="nTable"/>
              <w:spacing w:after="40"/>
            </w:pPr>
            <w:r>
              <w:t>2 Oct 1972</w:t>
            </w:r>
          </w:p>
        </w:tc>
        <w:tc>
          <w:tcPr>
            <w:tcW w:w="2580"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Aboriginal Heritage Amendment Act (No. 2) 1980</w:t>
            </w:r>
          </w:p>
        </w:tc>
        <w:tc>
          <w:tcPr>
            <w:tcW w:w="1134" w:type="dxa"/>
          </w:tcPr>
          <w:p>
            <w:pPr>
              <w:pStyle w:val="nTable"/>
              <w:spacing w:after="40"/>
            </w:pPr>
            <w:r>
              <w:t>8 of 1980</w:t>
            </w:r>
          </w:p>
        </w:tc>
        <w:tc>
          <w:tcPr>
            <w:tcW w:w="1134" w:type="dxa"/>
          </w:tcPr>
          <w:p>
            <w:pPr>
              <w:pStyle w:val="nTable"/>
              <w:spacing w:after="40"/>
            </w:pPr>
            <w:r>
              <w:t>23 Sep 1980</w:t>
            </w:r>
          </w:p>
        </w:tc>
        <w:tc>
          <w:tcPr>
            <w:tcW w:w="2580"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ind w:right="-29"/>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(Land Administration) Act 1987</w:t>
            </w:r>
            <w:r>
              <w:t xml:space="preserve"> Pt. XIV</w:t>
            </w:r>
          </w:p>
        </w:tc>
        <w:tc>
          <w:tcPr>
            <w:tcW w:w="1134" w:type="dxa"/>
          </w:tcPr>
          <w:p>
            <w:pPr>
              <w:pStyle w:val="nTable"/>
              <w:spacing w:after="40"/>
            </w:pPr>
            <w:r>
              <w:t>126 of 1987</w:t>
            </w:r>
          </w:p>
        </w:tc>
        <w:tc>
          <w:tcPr>
            <w:tcW w:w="1134" w:type="dxa"/>
          </w:tcPr>
          <w:p>
            <w:pPr>
              <w:pStyle w:val="nTable"/>
              <w:spacing w:after="40"/>
            </w:pPr>
            <w:r>
              <w:t>31 Dec 1987</w:t>
            </w:r>
          </w:p>
        </w:tc>
        <w:tc>
          <w:tcPr>
            <w:tcW w:w="2580"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80"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(Public Sector Management) Act 1994</w:t>
            </w:r>
            <w:r>
              <w:t xml:space="preserve"> s. 3(1)</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Cs/>
                <w:vertAlign w:val="superscript"/>
              </w:rPr>
            </w:pPr>
            <w:r>
              <w:rPr>
                <w:i/>
              </w:rPr>
              <w:t>Aboriginal Heritage Amendment Act 1995</w:t>
            </w:r>
            <w:r>
              <w:rPr>
                <w:iCs/>
                <w:vertAlign w:val="superscript"/>
              </w:rPr>
              <w:t> 2, 3</w:t>
            </w:r>
          </w:p>
        </w:tc>
        <w:tc>
          <w:tcPr>
            <w:tcW w:w="1134" w:type="dxa"/>
          </w:tcPr>
          <w:p>
            <w:pPr>
              <w:pStyle w:val="nTable"/>
              <w:spacing w:after="40"/>
            </w:pPr>
            <w:r>
              <w:t>24 of 1995</w:t>
            </w:r>
          </w:p>
        </w:tc>
        <w:tc>
          <w:tcPr>
            <w:tcW w:w="1134" w:type="dxa"/>
          </w:tcPr>
          <w:p>
            <w:pPr>
              <w:pStyle w:val="nTable"/>
              <w:spacing w:after="40"/>
            </w:pPr>
            <w:r>
              <w:t>30 Jun 1995</w:t>
            </w:r>
          </w:p>
        </w:tc>
        <w:tc>
          <w:tcPr>
            <w:tcW w:w="2580"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Sentencing (Consequential Provisions) Act 1995</w:t>
            </w:r>
            <w:r>
              <w:t xml:space="preserve"> Pt. 3 and s. 147</w:t>
            </w:r>
          </w:p>
        </w:tc>
        <w:tc>
          <w:tcPr>
            <w:tcW w:w="1134" w:type="dxa"/>
          </w:tcPr>
          <w:p>
            <w:pPr>
              <w:pStyle w:val="nTable"/>
              <w:spacing w:after="40"/>
            </w:pPr>
            <w:r>
              <w:t>78 of 1995</w:t>
            </w:r>
          </w:p>
        </w:tc>
        <w:tc>
          <w:tcPr>
            <w:tcW w:w="1134" w:type="dxa"/>
          </w:tcPr>
          <w:p>
            <w:pPr>
              <w:pStyle w:val="nTable"/>
              <w:spacing w:after="40"/>
            </w:pPr>
            <w:r>
              <w:t>16 Jan 1996</w:t>
            </w:r>
          </w:p>
        </w:tc>
        <w:tc>
          <w:tcPr>
            <w:tcW w:w="2580"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lastRenderedPageBreak/>
              <w:t>Acts Amendment (Land Administration) Act 1997</w:t>
            </w:r>
            <w:r>
              <w:t xml:space="preserve"> Pt. 3 and s. 141</w:t>
            </w:r>
          </w:p>
        </w:tc>
        <w:tc>
          <w:tcPr>
            <w:tcW w:w="1134" w:type="dxa"/>
          </w:tcPr>
          <w:p>
            <w:pPr>
              <w:pStyle w:val="nTable"/>
              <w:spacing w:after="40"/>
            </w:pPr>
            <w:r>
              <w:t>31 of 1997</w:t>
            </w:r>
          </w:p>
        </w:tc>
        <w:tc>
          <w:tcPr>
            <w:tcW w:w="1134" w:type="dxa"/>
          </w:tcPr>
          <w:p>
            <w:pPr>
              <w:pStyle w:val="nTable"/>
              <w:spacing w:after="40"/>
            </w:pPr>
            <w:r>
              <w:t>3 Oct 1997</w:t>
            </w:r>
          </w:p>
        </w:tc>
        <w:tc>
          <w:tcPr>
            <w:tcW w:w="258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Gas Corporation (Business Disposal) Act 1999</w:t>
            </w:r>
            <w:r>
              <w:t xml:space="preserve"> s. 39</w:t>
            </w:r>
          </w:p>
        </w:tc>
        <w:tc>
          <w:tcPr>
            <w:tcW w:w="1134" w:type="dxa"/>
          </w:tcPr>
          <w:p>
            <w:pPr>
              <w:pStyle w:val="nTable"/>
              <w:spacing w:after="40"/>
            </w:pPr>
            <w:r>
              <w:t>58 of 1999</w:t>
            </w:r>
          </w:p>
        </w:tc>
        <w:tc>
          <w:tcPr>
            <w:tcW w:w="1134" w:type="dxa"/>
          </w:tcPr>
          <w:p>
            <w:pPr>
              <w:pStyle w:val="nTable"/>
              <w:spacing w:after="40"/>
            </w:pPr>
            <w:r>
              <w:t>24 Dec 1999</w:t>
            </w:r>
          </w:p>
        </w:tc>
        <w:tc>
          <w:tcPr>
            <w:tcW w:w="2580"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Sentencing Legislation Amendment and Repeal Act 2003 </w:t>
            </w:r>
            <w:r>
              <w:t>s. 35</w:t>
            </w:r>
          </w:p>
        </w:tc>
        <w:tc>
          <w:tcPr>
            <w:tcW w:w="1134" w:type="dxa"/>
          </w:tcPr>
          <w:p>
            <w:pPr>
              <w:pStyle w:val="nTable"/>
              <w:spacing w:after="40"/>
            </w:pPr>
            <w:r>
              <w:t>50 of 2003</w:t>
            </w:r>
          </w:p>
        </w:tc>
        <w:tc>
          <w:tcPr>
            <w:tcW w:w="1134" w:type="dxa"/>
          </w:tcPr>
          <w:p>
            <w:pPr>
              <w:pStyle w:val="nTable"/>
              <w:spacing w:after="40"/>
            </w:pPr>
            <w:r>
              <w:t>9 Jul 2003</w:t>
            </w:r>
          </w:p>
        </w:tc>
        <w:tc>
          <w:tcPr>
            <w:tcW w:w="2580"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80"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80"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80"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34" w:type="dxa"/>
          </w:tcPr>
          <w:p>
            <w:pPr>
              <w:pStyle w:val="nTable"/>
              <w:spacing w:after="40"/>
            </w:pPr>
            <w:r>
              <w:t>8 of 2010</w:t>
            </w:r>
          </w:p>
        </w:tc>
        <w:tc>
          <w:tcPr>
            <w:tcW w:w="1134" w:type="dxa"/>
          </w:tcPr>
          <w:p>
            <w:pPr>
              <w:pStyle w:val="nTable"/>
              <w:spacing w:after="40"/>
            </w:pPr>
            <w:r>
              <w:t>3 Jun 2010</w:t>
            </w:r>
          </w:p>
        </w:tc>
        <w:tc>
          <w:tcPr>
            <w:tcW w:w="2580"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34" w:type="dxa"/>
          </w:tcPr>
          <w:p>
            <w:pPr>
              <w:pStyle w:val="nTable"/>
              <w:spacing w:after="40"/>
            </w:pPr>
            <w:r>
              <w:rPr>
                <w:snapToGrid w:val="0"/>
              </w:rPr>
              <w:t>25 of 2012</w:t>
            </w:r>
          </w:p>
        </w:tc>
        <w:tc>
          <w:tcPr>
            <w:tcW w:w="1134" w:type="dxa"/>
          </w:tcPr>
          <w:p>
            <w:pPr>
              <w:pStyle w:val="nTable"/>
              <w:spacing w:after="40"/>
            </w:pPr>
            <w:r>
              <w:t>3 Sep 2012</w:t>
            </w:r>
          </w:p>
        </w:tc>
        <w:tc>
          <w:tcPr>
            <w:tcW w:w="2580" w:type="dxa"/>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15</w:t>
            </w:r>
          </w:p>
        </w:tc>
        <w:tc>
          <w:tcPr>
            <w:tcW w:w="1134" w:type="dxa"/>
            <w:tcBorders>
              <w:top w:val="nil"/>
              <w:bottom w:val="nil"/>
            </w:tcBorders>
          </w:tcPr>
          <w:p>
            <w:pPr>
              <w:pStyle w:val="nTable"/>
              <w:spacing w:after="40"/>
              <w:rPr>
                <w:snapToGrid w:val="0"/>
              </w:rPr>
            </w:pPr>
            <w:r>
              <w:t>27 of 2021</w:t>
            </w:r>
          </w:p>
        </w:tc>
        <w:tc>
          <w:tcPr>
            <w:tcW w:w="1134" w:type="dxa"/>
            <w:tcBorders>
              <w:top w:val="nil"/>
              <w:bottom w:val="nil"/>
            </w:tcBorders>
          </w:tcPr>
          <w:p>
            <w:pPr>
              <w:pStyle w:val="nTable"/>
              <w:spacing w:after="40"/>
            </w:pPr>
            <w:r>
              <w:t>22 Dec 2021</w:t>
            </w:r>
          </w:p>
        </w:tc>
        <w:tc>
          <w:tcPr>
            <w:tcW w:w="2580" w:type="dxa"/>
            <w:tcBorders>
              <w:top w:val="nil"/>
              <w:bottom w:val="nil"/>
            </w:tcBorders>
          </w:tcPr>
          <w:p>
            <w:pPr>
              <w:pStyle w:val="nTable"/>
              <w:spacing w:after="40"/>
              <w:rPr>
                <w:snapToGrid w:val="0"/>
              </w:rPr>
            </w:pPr>
            <w:r>
              <w:t>Pt. 15 (other than Div. 3): 23 Dec 2021 (see s. 2(b));</w:t>
            </w:r>
            <w:r>
              <w:br/>
              <w:t>Pt. 15 Div. 3: 1 Jul 2023 (see s. 2(e) and SL 2023/40 cl. 2(b))</w:t>
            </w:r>
          </w:p>
        </w:tc>
      </w:tr>
      <w:tr>
        <w:trPr>
          <w:cantSplit/>
        </w:trPr>
        <w:tc>
          <w:tcPr>
            <w:tcW w:w="2240" w:type="dxa"/>
            <w:tcBorders>
              <w:top w:val="nil"/>
              <w:bottom w:val="nil"/>
            </w:tcBorders>
          </w:tcPr>
          <w:p>
            <w:pPr>
              <w:pStyle w:val="nTable"/>
              <w:spacing w:after="40"/>
            </w:pPr>
            <w:r>
              <w:rPr>
                <w:i/>
              </w:rPr>
              <w:t>Directors’ Liability Reform Act 2023</w:t>
            </w:r>
            <w:r>
              <w:t xml:space="preserve"> Pt. 3 Div. 2</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80" w:type="dxa"/>
            <w:tcBorders>
              <w:top w:val="nil"/>
              <w:bottom w:val="nil"/>
            </w:tcBorders>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tcPr>
          <w:p>
            <w:pPr>
              <w:pStyle w:val="nTable"/>
              <w:spacing w:after="40"/>
            </w:pPr>
            <w:r>
              <w:rPr>
                <w:i/>
              </w:rPr>
              <w:lastRenderedPageBreak/>
              <w:t>Aboriginal Heritage Legislation Amendment and Repeal Act 2023</w:t>
            </w:r>
            <w:r>
              <w:t xml:space="preserve"> Pt. 3 Div. 1</w:t>
            </w:r>
          </w:p>
        </w:tc>
        <w:tc>
          <w:tcPr>
            <w:tcW w:w="1134" w:type="dxa"/>
            <w:tcBorders>
              <w:bottom w:val="single" w:sz="4" w:space="0" w:color="auto"/>
            </w:tcBorders>
          </w:tcPr>
          <w:p>
            <w:pPr>
              <w:pStyle w:val="nTable"/>
              <w:spacing w:after="40"/>
            </w:pPr>
            <w:r>
              <w:t>23 of 2023</w:t>
            </w:r>
          </w:p>
        </w:tc>
        <w:tc>
          <w:tcPr>
            <w:tcW w:w="1134" w:type="dxa"/>
            <w:tcBorders>
              <w:bottom w:val="single" w:sz="4" w:space="0" w:color="auto"/>
            </w:tcBorders>
          </w:tcPr>
          <w:p>
            <w:pPr>
              <w:pStyle w:val="nTable"/>
              <w:spacing w:after="40"/>
              <w:rPr>
                <w:highlight w:val="yellow"/>
              </w:rPr>
            </w:pPr>
            <w:r>
              <w:t>24 Oct 2023</w:t>
            </w:r>
          </w:p>
        </w:tc>
        <w:tc>
          <w:tcPr>
            <w:tcW w:w="2580" w:type="dxa"/>
            <w:tcBorders>
              <w:bottom w:val="single" w:sz="4" w:space="0" w:color="auto"/>
            </w:tcBorders>
          </w:tcPr>
          <w:p>
            <w:pPr>
              <w:pStyle w:val="nTable"/>
              <w:spacing w:after="40"/>
              <w:rPr>
                <w:highlight w:val="yellow"/>
              </w:rPr>
            </w:pPr>
            <w:r>
              <w:t>25 Oct 2023 (see s. 2(b))</w:t>
            </w:r>
          </w:p>
        </w:tc>
      </w:tr>
    </w:tbl>
    <w:p>
      <w:pPr>
        <w:pStyle w:val="nHeading3"/>
      </w:pPr>
      <w:bookmarkStart w:id="88" w:name="_Toc154742027"/>
      <w:r>
        <w:t>Uncommenced provisions table</w:t>
      </w:r>
      <w:bookmarkEnd w:id="8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Aboriginal Cultural Heritage Act 2021</w:t>
            </w:r>
            <w:r>
              <w:t xml:space="preserve"> s. 310 </w:t>
            </w:r>
          </w:p>
        </w:tc>
        <w:tc>
          <w:tcPr>
            <w:tcW w:w="1134" w:type="dxa"/>
            <w:tcBorders>
              <w:bottom w:val="nil"/>
            </w:tcBorders>
          </w:tcPr>
          <w:p>
            <w:pPr>
              <w:pStyle w:val="nTable"/>
              <w:spacing w:after="40"/>
            </w:pPr>
            <w:r>
              <w:t>27 of 2021</w:t>
            </w:r>
          </w:p>
        </w:tc>
        <w:tc>
          <w:tcPr>
            <w:tcW w:w="1134" w:type="dxa"/>
            <w:tcBorders>
              <w:bottom w:val="nil"/>
            </w:tcBorders>
          </w:tcPr>
          <w:p>
            <w:pPr>
              <w:pStyle w:val="nTable"/>
              <w:spacing w:after="40"/>
            </w:pPr>
            <w:r>
              <w:t>22 Dec 2021</w:t>
            </w:r>
          </w:p>
        </w:tc>
        <w:tc>
          <w:tcPr>
            <w:tcW w:w="2552" w:type="dxa"/>
            <w:tcBorders>
              <w:bottom w:val="nil"/>
            </w:tcBorders>
          </w:tcPr>
          <w:p>
            <w:pPr>
              <w:pStyle w:val="nTable"/>
              <w:spacing w:after="40"/>
            </w:pPr>
            <w:r>
              <w:t>1 Jan 2024 (see s. 2(d))</w:t>
            </w:r>
          </w:p>
        </w:tc>
      </w:tr>
      <w:tr>
        <w:tc>
          <w:tcPr>
            <w:tcW w:w="2268" w:type="dxa"/>
            <w:tcBorders>
              <w:top w:val="nil"/>
            </w:tcBorders>
          </w:tcPr>
          <w:p>
            <w:pPr>
              <w:pStyle w:val="nTable"/>
              <w:spacing w:after="40"/>
              <w:rPr>
                <w:i/>
              </w:rPr>
            </w:pPr>
            <w:r>
              <w:rPr>
                <w:i/>
              </w:rPr>
              <w:t>Aboriginal Heritage Legislation Amendment and Repeal Act 2023</w:t>
            </w:r>
            <w:r>
              <w:t xml:space="preserve"> Pt. 3 Div. 2</w:t>
            </w:r>
          </w:p>
        </w:tc>
        <w:tc>
          <w:tcPr>
            <w:tcW w:w="1134" w:type="dxa"/>
            <w:tcBorders>
              <w:top w:val="nil"/>
            </w:tcBorders>
          </w:tcPr>
          <w:p>
            <w:pPr>
              <w:pStyle w:val="nTable"/>
              <w:spacing w:after="40"/>
            </w:pPr>
            <w:r>
              <w:t>23 of 2023</w:t>
            </w:r>
          </w:p>
        </w:tc>
        <w:tc>
          <w:tcPr>
            <w:tcW w:w="1134" w:type="dxa"/>
            <w:tcBorders>
              <w:top w:val="nil"/>
            </w:tcBorders>
          </w:tcPr>
          <w:p>
            <w:pPr>
              <w:pStyle w:val="nTable"/>
              <w:spacing w:after="40"/>
            </w:pPr>
            <w:r>
              <w:t>24 Oct 2023</w:t>
            </w:r>
          </w:p>
        </w:tc>
        <w:tc>
          <w:tcPr>
            <w:tcW w:w="2552" w:type="dxa"/>
            <w:tcBorders>
              <w:top w:val="nil"/>
            </w:tcBorders>
          </w:tcPr>
          <w:p>
            <w:pPr>
              <w:pStyle w:val="nTable"/>
              <w:spacing w:after="40"/>
            </w:pPr>
            <w:r>
              <w:t>15 Nov 2023 (see s. 2(d) and SL 2023/161 cl. 2)</w:t>
            </w:r>
          </w:p>
        </w:tc>
      </w:tr>
    </w:tbl>
    <w:p>
      <w:pPr>
        <w:pStyle w:val="nHeading3"/>
      </w:pPr>
      <w:bookmarkStart w:id="89" w:name="_Toc154742028"/>
      <w:r>
        <w:t>Other notes</w:t>
      </w:r>
      <w:bookmarkEnd w:id="89"/>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lastRenderedPageBreak/>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had not come into operation when it was repealed by the </w:t>
      </w:r>
      <w:r>
        <w:rPr>
          <w:i/>
          <w:iCs/>
          <w:snapToGrid w:val="0"/>
        </w:rPr>
        <w:t>Criminal Law and Evidence Amendment Act 2008</w:t>
      </w:r>
      <w:r>
        <w:rPr>
          <w:snapToGrid w:val="0"/>
        </w:rPr>
        <w:t xml:space="preserve"> s. 77(13).</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91" w:name="_Toc154742029"/>
      <w:r>
        <w:rPr>
          <w:sz w:val="28"/>
        </w:rPr>
        <w:lastRenderedPageBreak/>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2021 Act</w:t>
      </w:r>
      <w:r>
        <w:tab/>
        <w:t>69</w:t>
      </w:r>
    </w:p>
    <w:p>
      <w:pPr>
        <w:pStyle w:val="DefinedTerms"/>
      </w:pPr>
      <w:r>
        <w:t>2023 amendment Act</w:t>
      </w:r>
      <w:r>
        <w:tab/>
        <w:t>69</w:t>
      </w:r>
    </w:p>
    <w:p>
      <w:pPr>
        <w:pStyle w:val="DefinedTerms"/>
      </w:pPr>
      <w:r>
        <w:t>Aboriginal</w:t>
      </w:r>
      <w:r>
        <w:tab/>
        <w:t>4</w:t>
      </w:r>
    </w:p>
    <w:p>
      <w:pPr>
        <w:pStyle w:val="DefinedTerms"/>
      </w:pPr>
      <w:r>
        <w:t>Aboriginal cultural heritage</w:t>
      </w:r>
      <w:r>
        <w:tab/>
        <w:t>18(6A)</w:t>
      </w:r>
    </w:p>
    <w:p>
      <w:pPr>
        <w:pStyle w:val="DefinedTerms"/>
      </w:pPr>
      <w:r>
        <w:t>Aboriginal cultural material</w:t>
      </w:r>
      <w:r>
        <w:tab/>
        <w:t>4</w:t>
      </w:r>
    </w:p>
    <w:p>
      <w:pPr>
        <w:pStyle w:val="DefinedTerms"/>
      </w:pPr>
      <w:r>
        <w:t>Aboriginal site</w:t>
      </w:r>
      <w:r>
        <w:tab/>
        <w:t>4</w:t>
      </w:r>
    </w:p>
    <w:p>
      <w:pPr>
        <w:pStyle w:val="DefinedTerms"/>
      </w:pPr>
      <w:r>
        <w:t>assent day</w:t>
      </w:r>
      <w:r>
        <w:tab/>
        <w:t>71(1)</w:t>
      </w:r>
    </w:p>
    <w:p>
      <w:pPr>
        <w:pStyle w:val="DefinedTerms"/>
      </w:pPr>
      <w:r>
        <w:t>Committee</w:t>
      </w:r>
      <w:r>
        <w:tab/>
        <w:t>4</w:t>
      </w:r>
    </w:p>
    <w:p>
      <w:pPr>
        <w:pStyle w:val="DefinedTerms"/>
      </w:pPr>
      <w:r>
        <w:t>Department</w:t>
      </w:r>
      <w:r>
        <w:tab/>
        <w:t>4</w:t>
      </w:r>
    </w:p>
    <w:p>
      <w:pPr>
        <w:pStyle w:val="DefinedTerms"/>
      </w:pPr>
      <w:r>
        <w:t>Director</w:t>
      </w:r>
      <w:r>
        <w:tab/>
        <w:t>4</w:t>
      </w:r>
    </w:p>
    <w:p>
      <w:pPr>
        <w:pStyle w:val="DefinedTerms"/>
      </w:pPr>
      <w:r>
        <w:t>located</w:t>
      </w:r>
      <w:r>
        <w:tab/>
        <w:t>18(6A)</w:t>
      </w:r>
    </w:p>
    <w:p>
      <w:pPr>
        <w:pStyle w:val="DefinedTerms"/>
      </w:pPr>
      <w:r>
        <w:t>Minister for Lands</w:t>
      </w:r>
      <w:r>
        <w:tab/>
        <w:t>66(1)</w:t>
      </w:r>
    </w:p>
    <w:p>
      <w:pPr>
        <w:pStyle w:val="DefinedTerms"/>
      </w:pPr>
      <w:r>
        <w:t>Museum</w:t>
      </w:r>
      <w:r>
        <w:tab/>
        <w:t>4</w:t>
      </w:r>
    </w:p>
    <w:p>
      <w:pPr>
        <w:pStyle w:val="DefinedTerms"/>
      </w:pPr>
      <w:r>
        <w:t>new information about Aboriginal cultural heritage</w:t>
      </w:r>
      <w:r>
        <w:tab/>
        <w:t>18(6A)</w:t>
      </w:r>
    </w:p>
    <w:p>
      <w:pPr>
        <w:pStyle w:val="DefinedTerms"/>
      </w:pPr>
      <w:r>
        <w:t>person of Aboriginal descent</w:t>
      </w:r>
      <w:r>
        <w:tab/>
        <w:t>4</w:t>
      </w:r>
    </w:p>
    <w:p>
      <w:pPr>
        <w:pStyle w:val="DefinedTerms"/>
      </w:pPr>
      <w:r>
        <w:t>proceedings under this Act</w:t>
      </w:r>
      <w:r>
        <w:tab/>
        <w:t>4</w:t>
      </w:r>
    </w:p>
    <w:p>
      <w:pPr>
        <w:pStyle w:val="DefinedTerms"/>
      </w:pPr>
      <w:r>
        <w:t>protected area</w:t>
      </w:r>
      <w:r>
        <w:tab/>
        <w:t>4</w:t>
      </w:r>
    </w:p>
    <w:p>
      <w:pPr>
        <w:pStyle w:val="DefinedTerms"/>
      </w:pPr>
      <w:r>
        <w:t>publication day</w:t>
      </w:r>
      <w:r>
        <w:tab/>
        <w:t>71(1)</w:t>
      </w:r>
    </w:p>
    <w:p>
      <w:pPr>
        <w:pStyle w:val="DefinedTerms"/>
      </w:pPr>
      <w:r>
        <w:t>Registrar</w:t>
      </w:r>
      <w:r>
        <w:tab/>
        <w:t>4</w:t>
      </w:r>
    </w:p>
    <w:p>
      <w:pPr>
        <w:pStyle w:val="DefinedTerms"/>
      </w:pPr>
      <w:r>
        <w:t>specified</w:t>
      </w:r>
      <w:r>
        <w:tab/>
        <w:t>71(1)</w:t>
      </w:r>
    </w:p>
    <w:p>
      <w:pPr>
        <w:pStyle w:val="DefinedTerms"/>
      </w:pPr>
      <w:r>
        <w:t>temporarily protected area</w:t>
      </w:r>
      <w:r>
        <w:tab/>
        <w:t>4</w:t>
      </w:r>
    </w:p>
    <w:p>
      <w:pPr>
        <w:pStyle w:val="DefinedTerms"/>
      </w:pPr>
      <w:r>
        <w:t>the owner of any land</w:t>
      </w:r>
      <w:r>
        <w:tab/>
        <w:t>18(1)</w:t>
      </w:r>
    </w:p>
    <w:p>
      <w:pPr>
        <w:pStyle w:val="DefinedTerms"/>
      </w:pPr>
      <w:r>
        <w:t>the Trustees</w:t>
      </w:r>
      <w:r>
        <w:tab/>
        <w:t>4</w:t>
      </w:r>
    </w:p>
    <w:p>
      <w:pPr>
        <w:pStyle w:val="DefinedTerms"/>
      </w:pPr>
      <w:r>
        <w:t>traditional custodian</w:t>
      </w:r>
      <w:r>
        <w:tab/>
        <w:t>4</w:t>
      </w:r>
    </w:p>
    <w:p>
      <w:pPr>
        <w:pStyle w:val="DefinedTerms"/>
      </w:pPr>
      <w:r>
        <w:t>transitional matter</w:t>
      </w:r>
      <w:r>
        <w:tab/>
        <w:t>71(1)</w:t>
      </w:r>
    </w:p>
    <w:p>
      <w:pPr>
        <w:pStyle w:val="DefinedTerms"/>
      </w:pPr>
      <w:r>
        <w:t>transitional period</w:t>
      </w:r>
      <w:r>
        <w:tab/>
        <w:t>18(6A)</w:t>
      </w:r>
    </w:p>
    <w:p>
      <w:pPr>
        <w:pStyle w:val="DefinedTerms"/>
      </w:pPr>
      <w:r>
        <w:t>transitional regulations</w:t>
      </w:r>
      <w:r>
        <w:tab/>
        <w:t>69, 71(2)</w:t>
      </w:r>
    </w:p>
    <w:p>
      <w:pPr>
        <w:pStyle w:val="DefinedTerms"/>
      </w:pPr>
      <w:r>
        <w:t>transition day</w:t>
      </w:r>
      <w:r>
        <w:tab/>
        <w:t>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2737"/>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01912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20928_GUID" w:val="2a9fd8bc-7e88-46bd-b4c2-1fff896e9b4a"/>
    <w:docVar w:name="WAFER_2023102712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20238_GUID" w:val="65882d8b-2237-4be8-9e2c-299f7452f316"/>
    <w:docVar w:name="WAFER_2023122116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37_GUID" w:val="29bc00cc-44d7-4787-af52-198dc526c1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14610</Words>
  <Characters>68960</Characters>
  <Application>Microsoft Office Word</Application>
  <DocSecurity>0</DocSecurity>
  <Lines>1814</Lines>
  <Paragraphs>949</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82621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1972 - 04-k0-02</dc:title>
  <dc:subject/>
  <dc:creator/>
  <cp:keywords/>
  <dc:description/>
  <cp:lastModifiedBy>Master Repository Process</cp:lastModifiedBy>
  <cp:revision>4</cp:revision>
  <cp:lastPrinted>2008-03-04T06:08:00Z</cp:lastPrinted>
  <dcterms:created xsi:type="dcterms:W3CDTF">2023-12-29T03:32:00Z</dcterms:created>
  <dcterms:modified xsi:type="dcterms:W3CDTF">2023-12-29T03:32:00Z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AsAtDate">
    <vt:lpwstr>25 Oct 2023</vt:lpwstr>
  </property>
  <property fmtid="{D5CDD505-2E9C-101B-9397-08002B2CF9AE}" pid="8" name="Suffix">
    <vt:lpwstr>04-k0-02</vt:lpwstr>
  </property>
  <property fmtid="{D5CDD505-2E9C-101B-9397-08002B2CF9AE}" pid="9" name="Official">
    <vt:lpwstr/>
  </property>
  <property fmtid="{D5CDD505-2E9C-101B-9397-08002B2CF9AE}" pid="10" name="CommencementDate">
    <vt:lpwstr>20231025</vt:lpwstr>
  </property>
  <property fmtid="{D5CDD505-2E9C-101B-9397-08002B2CF9AE}" pid="11" name="CommencementYear">
    <vt:lpwstr>2023</vt:lpwstr>
  </property>
</Properties>
</file>