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_Toc200372840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_Toc200372841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_Toc200372842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_Toc200372843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_Toc200372844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_Toc200372845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_Toc200372848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_Toc200372849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_Toc200372850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_Toc200372851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_Toc200372853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_Toc200372854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_Toc200372855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_Toc200372856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_Toc200372857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_Toc200372858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_Toc200372859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_Toc200372861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_Toc200372862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_Toc200372863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_Toc200372864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_Toc200372867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2M</w:t>
      </w:r>
      <w:r>
        <w:rPr>
          <w:snapToGrid w:val="0"/>
        </w:rPr>
        <w:tab/>
        <w:t>Offender to be present for sentencing</w:t>
      </w:r>
      <w:r>
        <w:tab/>
      </w:r>
      <w:r>
        <w:fldChar w:fldCharType="begin"/>
      </w:r>
      <w:r>
        <w:instrText xml:space="preserve"> PAGEREF _Toc200372869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_Toc200372870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_Toc200372871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_Toc200372872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_Toc200372873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_Toc200372874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_Toc200372876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_Toc200372877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_Toc200372878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_Toc200372879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_Toc200372881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_Toc200372882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_Toc200372883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_Toc200372884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_Toc200372886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_Toc200372887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_Toc200372888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_Toc200372889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_Toc200372891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_Toc200372892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_Toc200372893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_Toc200372896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_Toc200372897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_Toc200372898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_Toc200372899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_Toc200372900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_Toc200372901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_Toc200372902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_Toc200372903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_Toc200372904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_Toc200372905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_Toc200372906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_Toc200372907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_Toc200372909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_Toc200372910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_Toc200372911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_Toc200372912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_Toc200372913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_Toc200372914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2M</w:t>
      </w:r>
      <w:r>
        <w:rPr>
          <w:snapToGrid w:val="0"/>
        </w:rPr>
        <w:tab/>
        <w:t>Explanation of sentence</w:t>
      </w:r>
      <w:r>
        <w:tab/>
      </w:r>
      <w:r>
        <w:fldChar w:fldCharType="begin"/>
      </w:r>
      <w:r>
        <w:instrText xml:space="preserve"> PAGEREF _Toc200372916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_Toc200372917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_Toc200372918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_Toc200372919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_Toc200372920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_Toc200372921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_Toc200372923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_Toc200372924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_Toc200372925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_Toc200372926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_Toc200372927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_Toc200372928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_Toc200372929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_Toc200372931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_Toc200372933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_Toc200372934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_Toc200372935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_Toc200372936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_Toc200372937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_Toc200372938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_Toc200372940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_Toc200372941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_Toc200372942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_Toc200372943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_Toc200372944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_Toc200372945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_Toc200372946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_Toc200372947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_Toc200372948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_Toc200372949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_Toc200372951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_Toc200372952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_Toc200372953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_Toc200372954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_Toc200372955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_Toc200372957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_Toc200372958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_Toc200372959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_Toc200372960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_Toc200372961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_Toc200372962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_Toc200372963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_Toc200372964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_Toc200372966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_Toc200372967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_Toc200372968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_Toc200372969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_Toc200372970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_Toc200372971 \h </w:instrText>
      </w:r>
      <w:r>
        <w:fldChar w:fldCharType="separate"/>
      </w:r>
      <w:r>
        <w:t>90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_Toc200372972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_Toc200372973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_Toc200372974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_Toc200372976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_Toc200372977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_Toc200372978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_Toc200372979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_Toc200372980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_Toc200372983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_Toc200372984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_Toc200372985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_Toc200372986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_Toc200372987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_Toc200372988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_Toc200372989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_Toc200372990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_Toc200372992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_Toc200372993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_Toc200372994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_Toc200372996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_Toc200372997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_Toc200372998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_Toc200372999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_Toc200373000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_Toc200373001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_Toc200373002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_Toc200373004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_Toc200373005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_Toc200373006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_Toc200373007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_Toc200373008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_Toc200373011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_Toc200373013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_Toc200373014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_Toc200373015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_Toc200373016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_Toc200373017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_Toc200373019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_Toc200373020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_Toc200373021 \h </w:instrText>
      </w:r>
      <w:r>
        <w:fldChar w:fldCharType="separate"/>
      </w:r>
      <w:r>
        <w:t>133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_Toc200373022 \h </w:instrText>
      </w:r>
      <w:r>
        <w:fldChar w:fldCharType="separate"/>
      </w:r>
      <w:r>
        <w:t>135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_Toc200373023 \h </w:instrText>
      </w:r>
      <w:r>
        <w:fldChar w:fldCharType="separate"/>
      </w:r>
      <w:r>
        <w:t>136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_Toc200373024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_Toc200373026 \h </w:instrText>
      </w:r>
      <w:r>
        <w:fldChar w:fldCharType="separate"/>
      </w:r>
      <w:r>
        <w:t>137</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_Toc200373027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_Toc200373029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_Toc200373030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_Toc200373031 \h </w:instrText>
      </w:r>
      <w:r>
        <w:fldChar w:fldCharType="separate"/>
      </w:r>
      <w:r>
        <w:t>141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_Toc200373032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_Toc200373035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_Toc200373036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_Toc200373037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_Toc200373039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_Toc200373040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_Toc200373041 \h </w:instrText>
      </w:r>
      <w:r>
        <w:fldChar w:fldCharType="separate"/>
      </w:r>
      <w:r>
        <w:t>145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_Toc200373042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_Toc200373045 \h </w:instrText>
      </w:r>
      <w:r>
        <w:fldChar w:fldCharType="separate"/>
      </w:r>
      <w:r>
        <w:t>149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_Toc200373046 \h </w:instrText>
      </w:r>
      <w:r>
        <w:fldChar w:fldCharType="separate"/>
      </w:r>
      <w:r>
        <w:t>149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_Toc200373047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_Toc200373048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_Toc200373049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_Toc200373050 \h </w:instrText>
      </w:r>
      <w:r>
        <w:fldChar w:fldCharType="separate"/>
      </w:r>
      <w:r>
        <w:t>151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_Toc200373051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_Toc200373052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_Toc200373054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_Toc200373055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_Toc200373056 \h </w:instrText>
      </w:r>
      <w:r>
        <w:fldChar w:fldCharType="separate"/>
      </w:r>
      <w:r>
        <w:t>153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_Toc200373057 \h </w:instrText>
      </w:r>
      <w:r>
        <w:fldChar w:fldCharType="separate"/>
      </w:r>
      <w:r>
        <w:t>154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_Toc200373058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_Toc200373060 \h </w:instrText>
      </w:r>
      <w:r>
        <w:fldChar w:fldCharType="separate"/>
      </w:r>
      <w:r>
        <w:t>155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_Toc200373061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_Toc200373062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_Toc200373063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_Toc200373066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_Toc200373068 \h </w:instrText>
      </w:r>
      <w:r>
        <w:fldChar w:fldCharType="separate"/>
      </w:r>
      <w:r>
        <w:t>158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_Toc200373069 \h </w:instrText>
      </w:r>
      <w:r>
        <w:fldChar w:fldCharType="separate"/>
      </w:r>
      <w:r>
        <w:t>159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_Toc200373070 \h </w:instrText>
      </w:r>
      <w:r>
        <w:fldChar w:fldCharType="separate"/>
      </w:r>
      <w:r>
        <w:t>159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_Toc200373071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_Toc200373073 \h </w:instrText>
      </w:r>
      <w:r>
        <w:fldChar w:fldCharType="separate"/>
      </w:r>
      <w:r>
        <w:t>159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_Toc200373074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_Toc200373075 \h </w:instrText>
      </w:r>
      <w:r>
        <w:fldChar w:fldCharType="separate"/>
      </w:r>
      <w:r>
        <w:t>162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_Toc200373076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_Toc200373079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_Toc200373081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_Toc200373082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_Toc200373084 \h </w:instrText>
      </w:r>
      <w:r>
        <w:fldChar w:fldCharType="separate"/>
      </w:r>
      <w:r>
        <w:t>167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_Toc200373085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_Toc200373086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_Toc200373088 \h </w:instrText>
      </w:r>
      <w:r>
        <w:fldChar w:fldCharType="separate"/>
      </w:r>
      <w:r>
        <w:t>171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_Toc200373089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_Toc200373090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_Toc200373092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_Toc200373093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_Toc200373094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_Toc200373096 \h </w:instrText>
      </w:r>
      <w:r>
        <w:fldChar w:fldCharType="separate"/>
      </w:r>
      <w:r>
        <w:t>176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_Toc200373097 \h </w:instrText>
      </w:r>
      <w:r>
        <w:fldChar w:fldCharType="separate"/>
      </w:r>
      <w:r>
        <w:t>176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_Toc200373098 \h </w:instrText>
      </w:r>
      <w:r>
        <w:fldChar w:fldCharType="separate"/>
      </w:r>
      <w:r>
        <w:t>176</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_Toc200373099 \h </w:instrText>
      </w:r>
      <w:r>
        <w:fldChar w:fldCharType="separate"/>
      </w:r>
      <w:r>
        <w:t>177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_Toc200373100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_Toc200373101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_Toc200373103 \h </w:instrText>
      </w:r>
      <w:r>
        <w:fldChar w:fldCharType="separate"/>
      </w:r>
      <w:r>
        <w:t>179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_Toc200373104 \h </w:instrText>
      </w:r>
      <w:r>
        <w:fldChar w:fldCharType="separate"/>
      </w:r>
      <w:r>
        <w:t>179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_Toc200373105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_Toc200373107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_Toc200373108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_Toc200373109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_Toc200373110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_Toc200373111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_Toc200373112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_Toc200373114 \h </w:instrText>
      </w:r>
      <w:r>
        <w:fldChar w:fldCharType="separate"/>
      </w:r>
      <w:r>
        <w:t>184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_Toc200373115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_Toc200373116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_Toc200373117 \h </w:instrText>
      </w:r>
      <w:r>
        <w:fldChar w:fldCharType="separate"/>
      </w:r>
      <w:r>
        <w:t>185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_Toc200373118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_Toc200373119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_Toc200373120 \h </w:instrText>
      </w:r>
      <w:r>
        <w:fldChar w:fldCharType="separate"/>
      </w:r>
      <w:r>
        <w:t>186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_Toc200373121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_Toc200373122 \h </w:instrText>
      </w:r>
      <w:r>
        <w:fldChar w:fldCharType="separate"/>
      </w:r>
      <w:r>
        <w:t>186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_Toc200373123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_Toc200373125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_Toc200373126 \h </w:instrText>
      </w:r>
      <w:r>
        <w:fldChar w:fldCharType="separate"/>
      </w:r>
      <w:r>
        <w:t>188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_Toc200373127 \h </w:instrText>
      </w:r>
      <w:r>
        <w:fldChar w:fldCharType="separate"/>
      </w:r>
      <w:r>
        <w:t>189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_Toc200373128 \h </w:instrText>
      </w:r>
      <w:r>
        <w:fldChar w:fldCharType="separate"/>
      </w:r>
      <w:r>
        <w:t>189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_Toc200373129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_Toc200373135 \h </w:instrText>
      </w:r>
      <w:r>
        <w:fldChar w:fldCharType="separate"/>
      </w:r>
      <w:r>
        <w:t>205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_Toc200373136 \h </w:instrText>
      </w:r>
      <w:r>
        <w:fldChar w:fldCharType="separate"/>
      </w:r>
      <w:r>
        <w:t>213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_Toc200373137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200372839"/>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284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20037284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200372842"/>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200372843"/>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200372844"/>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lastRenderedPageBreak/>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lastRenderedPageBreak/>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lastRenderedPageBreak/>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8" w:name="_Toc200372845"/>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200372846"/>
      <w:r>
        <w:rPr>
          <w:rStyle w:val="CharPartNo"/>
        </w:rPr>
        <w:lastRenderedPageBreak/>
        <w:t>Part 2</w:t>
      </w:r>
      <w:r>
        <w:t> — </w:t>
      </w:r>
      <w:r>
        <w:rPr>
          <w:rStyle w:val="CharPartText"/>
        </w:rPr>
        <w:t>General matters</w:t>
      </w:r>
      <w:bookmarkEnd w:id="9"/>
    </w:p>
    <w:p>
      <w:pPr>
        <w:pStyle w:val="Heading3"/>
      </w:pPr>
      <w:bookmarkStart w:id="10" w:name="_Toc200372847"/>
      <w:r>
        <w:rPr>
          <w:rStyle w:val="CharDivNo"/>
        </w:rPr>
        <w:t>Division 1</w:t>
      </w:r>
      <w:r>
        <w:rPr>
          <w:snapToGrid w:val="0"/>
        </w:rPr>
        <w:t> — </w:t>
      </w:r>
      <w:r>
        <w:rPr>
          <w:rStyle w:val="CharDivText"/>
        </w:rPr>
        <w:t>Sentencing principles</w:t>
      </w:r>
      <w:bookmarkEnd w:id="10"/>
    </w:p>
    <w:p>
      <w:pPr>
        <w:pStyle w:val="Heading5"/>
        <w:rPr>
          <w:snapToGrid w:val="0"/>
        </w:rPr>
      </w:pPr>
      <w:bookmarkStart w:id="11" w:name="_Toc200372848"/>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200372849"/>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200372850"/>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4" w:name="_Toc200372851"/>
      <w:r>
        <w:rPr>
          <w:rStyle w:val="CharSectno"/>
        </w:rPr>
        <w:lastRenderedPageBreak/>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200372852"/>
      <w:r>
        <w:rPr>
          <w:rStyle w:val="CharDivNo"/>
        </w:rPr>
        <w:lastRenderedPageBreak/>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200372853"/>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200372854"/>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200372855"/>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200372856"/>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lastRenderedPageBreak/>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lastRenderedPageBreak/>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200372857"/>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200372858"/>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2" w:name="_Toc200372859"/>
      <w:r>
        <w:rPr>
          <w:rStyle w:val="CharSectno"/>
        </w:rPr>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lastRenderedPageBreak/>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200372860"/>
      <w:r>
        <w:rPr>
          <w:rStyle w:val="CharDivNo"/>
        </w:rPr>
        <w:t>Division 2</w:t>
      </w:r>
      <w:r>
        <w:rPr>
          <w:snapToGrid w:val="0"/>
        </w:rPr>
        <w:t> — </w:t>
      </w:r>
      <w:r>
        <w:rPr>
          <w:rStyle w:val="CharDivText"/>
        </w:rPr>
        <w:t>Miscellaneous</w:t>
      </w:r>
      <w:bookmarkEnd w:id="23"/>
    </w:p>
    <w:p>
      <w:pPr>
        <w:pStyle w:val="Heading5"/>
        <w:rPr>
          <w:snapToGrid w:val="0"/>
        </w:rPr>
      </w:pPr>
      <w:bookmarkStart w:id="24" w:name="_Toc200372861"/>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 xml:space="preserve">If the statutory penalty for an offence specifies a minimum and a maximum penalty, the penalty to be imposed for the offence </w:t>
      </w:r>
      <w:r>
        <w:rPr>
          <w:snapToGrid w:val="0"/>
        </w:rPr>
        <w:lastRenderedPageBreak/>
        <w:t>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25" w:name="_Toc200372862"/>
      <w:r>
        <w:rPr>
          <w:rStyle w:val="CharSectno"/>
        </w:rPr>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200372863"/>
      <w:r>
        <w:rPr>
          <w:rStyle w:val="CharSectno"/>
        </w:rPr>
        <w:lastRenderedPageBreak/>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200372864"/>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200372865"/>
      <w:r>
        <w:rPr>
          <w:rStyle w:val="CharPartNo"/>
        </w:rPr>
        <w:lastRenderedPageBreak/>
        <w:t>Part 3</w:t>
      </w:r>
      <w:r>
        <w:t> — </w:t>
      </w:r>
      <w:r>
        <w:rPr>
          <w:rStyle w:val="CharPartText"/>
        </w:rPr>
        <w:t>Matters preliminary to sentencing</w:t>
      </w:r>
      <w:bookmarkEnd w:id="28"/>
    </w:p>
    <w:p>
      <w:pPr>
        <w:pStyle w:val="Heading3"/>
      </w:pPr>
      <w:bookmarkStart w:id="29" w:name="_Toc200372866"/>
      <w:r>
        <w:rPr>
          <w:rStyle w:val="CharDivNo"/>
        </w:rPr>
        <w:t>Division 1</w:t>
      </w:r>
      <w:r>
        <w:rPr>
          <w:snapToGrid w:val="0"/>
        </w:rPr>
        <w:t> — </w:t>
      </w:r>
      <w:r>
        <w:rPr>
          <w:rStyle w:val="CharDivText"/>
        </w:rPr>
        <w:t>Preliminary</w:t>
      </w:r>
      <w:bookmarkEnd w:id="29"/>
    </w:p>
    <w:p>
      <w:pPr>
        <w:pStyle w:val="Heading5"/>
        <w:rPr>
          <w:snapToGrid w:val="0"/>
        </w:rPr>
      </w:pPr>
      <w:bookmarkStart w:id="30" w:name="_Toc200372867"/>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200372868"/>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200372869"/>
      <w:r>
        <w:rPr>
          <w:rStyle w:val="CharSectno"/>
        </w:rPr>
        <w:t>14</w:t>
      </w:r>
      <w:r>
        <w:rPr>
          <w:snapToGrid w:val="0"/>
        </w:rPr>
        <w:t>. </w:t>
      </w:r>
      <w:r>
        <w:rPr>
          <w:vertAlign w:val="superscript"/>
        </w:rPr>
        <w:t>2M</w:t>
      </w:r>
      <w:r>
        <w:rPr>
          <w:snapToGrid w:val="0"/>
        </w:rPr>
        <w:tab/>
        <w:t>Offender to be present for sentencing</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200372870"/>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lastRenderedPageBreak/>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34" w:name="_Toc200372871"/>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200372872"/>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 xml:space="preserve">of property legitimately owned </w:t>
      </w:r>
      <w:r>
        <w:rPr>
          <w:snapToGrid w:val="0"/>
        </w:rPr>
        <w:lastRenderedPageBreak/>
        <w:t>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200372873"/>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200372874"/>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200372875"/>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200372876"/>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200372877"/>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200372878"/>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200372879"/>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200372880"/>
      <w:r>
        <w:rPr>
          <w:rStyle w:val="CharDivNo"/>
        </w:rPr>
        <w:t>Division 4</w:t>
      </w:r>
      <w:r>
        <w:rPr>
          <w:snapToGrid w:val="0"/>
        </w:rPr>
        <w:t> — </w:t>
      </w:r>
      <w:r>
        <w:rPr>
          <w:rStyle w:val="CharDivText"/>
        </w:rPr>
        <w:t>Information about victims etc.</w:t>
      </w:r>
      <w:bookmarkEnd w:id="43"/>
    </w:p>
    <w:p>
      <w:pPr>
        <w:pStyle w:val="Heading5"/>
      </w:pPr>
      <w:bookmarkStart w:id="44" w:name="_Toc200372881"/>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lastRenderedPageBreak/>
        <w:tab/>
        <w:t>[Section 23A inserted: No. 45 of 2016 s. 53.]</w:t>
      </w:r>
    </w:p>
    <w:p>
      <w:pPr>
        <w:pStyle w:val="Heading5"/>
        <w:rPr>
          <w:snapToGrid w:val="0"/>
        </w:rPr>
      </w:pPr>
      <w:bookmarkStart w:id="45" w:name="_Toc200372882"/>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200372883"/>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200372884"/>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48" w:name="_Toc200372885"/>
      <w:r>
        <w:rPr>
          <w:rStyle w:val="CharDivNo"/>
        </w:rPr>
        <w:lastRenderedPageBreak/>
        <w:t>Division 5</w:t>
      </w:r>
      <w:r>
        <w:rPr>
          <w:snapToGrid w:val="0"/>
        </w:rPr>
        <w:t> — </w:t>
      </w:r>
      <w:r>
        <w:rPr>
          <w:rStyle w:val="CharDivText"/>
        </w:rPr>
        <w:t>Mediation</w:t>
      </w:r>
      <w:bookmarkEnd w:id="48"/>
    </w:p>
    <w:p>
      <w:pPr>
        <w:pStyle w:val="Heading5"/>
        <w:rPr>
          <w:snapToGrid w:val="0"/>
        </w:rPr>
      </w:pPr>
      <w:bookmarkStart w:id="49" w:name="_Toc200372886"/>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200372887"/>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200372888"/>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200372889"/>
      <w:r>
        <w:rPr>
          <w:rStyle w:val="CharSectno"/>
        </w:rPr>
        <w:lastRenderedPageBreak/>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200372890"/>
      <w:r>
        <w:rPr>
          <w:rStyle w:val="CharDivNo"/>
        </w:rPr>
        <w:t>Division 6</w:t>
      </w:r>
      <w:r>
        <w:rPr>
          <w:snapToGrid w:val="0"/>
        </w:rPr>
        <w:t> — </w:t>
      </w:r>
      <w:r>
        <w:rPr>
          <w:rStyle w:val="CharDivText"/>
        </w:rPr>
        <w:t>Other pending charges</w:t>
      </w:r>
      <w:bookmarkEnd w:id="53"/>
    </w:p>
    <w:p>
      <w:pPr>
        <w:pStyle w:val="Heading5"/>
        <w:rPr>
          <w:snapToGrid w:val="0"/>
        </w:rPr>
      </w:pPr>
      <w:bookmarkStart w:id="54" w:name="_Toc200372891"/>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200372892"/>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200372893"/>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lastRenderedPageBreak/>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200372894"/>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200372895"/>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200372896"/>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200372897"/>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200372898"/>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200372899"/>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200372900"/>
      <w:r>
        <w:rPr>
          <w:rStyle w:val="CharSectno"/>
        </w:rPr>
        <w:t>33E</w:t>
      </w:r>
      <w:r>
        <w:t>.</w:t>
      </w:r>
      <w:r>
        <w:tab/>
        <w:t>PSO, primary requirements of</w:t>
      </w:r>
      <w:bookmarkEnd w:id="63"/>
    </w:p>
    <w:p>
      <w:pPr>
        <w:pStyle w:val="Subsection"/>
      </w:pPr>
      <w:r>
        <w:tab/>
      </w:r>
      <w:r>
        <w:tab/>
        <w:t>Every PSO must contain at least one of these primary requirements —</w:t>
      </w:r>
    </w:p>
    <w:p>
      <w:pPr>
        <w:pStyle w:val="Indenta"/>
      </w:pPr>
      <w:r>
        <w:lastRenderedPageBreak/>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200372901"/>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lastRenderedPageBreak/>
        <w:tab/>
        <w:t>(6)</w:t>
      </w:r>
      <w:r>
        <w:tab/>
        <w:t>A supervision requirement ceases to be in force when the PSO ceases to be in force.</w:t>
      </w:r>
    </w:p>
    <w:p>
      <w:pPr>
        <w:pStyle w:val="Footnotesection"/>
      </w:pPr>
      <w:r>
        <w:tab/>
        <w:t>[Section 33F inserted: No. 50 of 2003 s. 6.]</w:t>
      </w:r>
    </w:p>
    <w:p>
      <w:pPr>
        <w:pStyle w:val="Heading5"/>
      </w:pPr>
      <w:bookmarkStart w:id="65" w:name="_Toc200372902"/>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lastRenderedPageBreak/>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200372903"/>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 xml:space="preserve">The term of a curfew is concurrent with the term of any other curfew requirement applicable to the offender under another </w:t>
      </w:r>
      <w:r>
        <w:lastRenderedPageBreak/>
        <w:t>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lastRenderedPageBreak/>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67" w:name="_Toc200372904"/>
      <w:r>
        <w:rPr>
          <w:rStyle w:val="CharSectno"/>
        </w:rPr>
        <w:t>33HA</w:t>
      </w:r>
      <w:r>
        <w:t>.</w:t>
      </w:r>
      <w:r>
        <w:tab/>
        <w:t>Electronic monitoring requirement</w:t>
      </w:r>
      <w:bookmarkEnd w:id="6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68" w:name="_Toc200372905"/>
      <w:r>
        <w:rPr>
          <w:rStyle w:val="CharSectno"/>
        </w:rPr>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200372906"/>
      <w:r>
        <w:rPr>
          <w:rStyle w:val="CharSectno"/>
        </w:rPr>
        <w:lastRenderedPageBreak/>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200372907"/>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200372908"/>
      <w:r>
        <w:rPr>
          <w:rStyle w:val="CharDivNo"/>
        </w:rPr>
        <w:lastRenderedPageBreak/>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200372909"/>
      <w:r>
        <w:rPr>
          <w:rStyle w:val="CharSectno"/>
        </w:rPr>
        <w:t>33L</w:t>
      </w:r>
      <w:r>
        <w:t>.</w:t>
      </w:r>
      <w:r>
        <w:tab/>
        <w:t>Term used: requirement</w:t>
      </w:r>
      <w:bookmarkEnd w:id="7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200372910"/>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lastRenderedPageBreak/>
        <w:tab/>
        <w:t>[Section 33M inserted: No. 50 of 2003 s. 6; amended: No. 59 of 2004 s. 141.]</w:t>
      </w:r>
    </w:p>
    <w:p>
      <w:pPr>
        <w:pStyle w:val="Heading5"/>
      </w:pPr>
      <w:bookmarkStart w:id="74" w:name="_Toc200372911"/>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lastRenderedPageBreak/>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200372912"/>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200372913"/>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lastRenderedPageBreak/>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200372914"/>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200372915"/>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200372916"/>
      <w:r>
        <w:rPr>
          <w:rStyle w:val="CharSectno"/>
        </w:rPr>
        <w:t>34</w:t>
      </w:r>
      <w:r>
        <w:rPr>
          <w:snapToGrid w:val="0"/>
        </w:rPr>
        <w:t>. </w:t>
      </w:r>
      <w:r>
        <w:rPr>
          <w:snapToGrid w:val="0"/>
          <w:vertAlign w:val="superscript"/>
        </w:rPr>
        <w:t>2M</w:t>
      </w:r>
      <w:r>
        <w:rPr>
          <w:snapToGrid w:val="0"/>
        </w:rPr>
        <w:tab/>
        <w:t>Explanation of sentence</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200372917"/>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200372918"/>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200372919"/>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200372920"/>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200372921"/>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200372922"/>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200372923"/>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200372924"/>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200372925"/>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200372926"/>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200372927"/>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lastRenderedPageBreak/>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200372928"/>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200372929"/>
      <w:r>
        <w:rPr>
          <w:rStyle w:val="CharSectno"/>
        </w:rPr>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lastRenderedPageBreak/>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lastRenderedPageBreak/>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93" w:name="_Toc200372930"/>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200372931"/>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200372932"/>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200372933"/>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200372934"/>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200372935"/>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200372936"/>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200372937"/>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200372938"/>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200372939"/>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200372940"/>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200372941"/>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05" w:name="_Toc200372942"/>
      <w:r>
        <w:rPr>
          <w:rStyle w:val="CharSectno"/>
        </w:rPr>
        <w:t>55</w:t>
      </w:r>
      <w:r>
        <w:rPr>
          <w:snapToGrid w:val="0"/>
        </w:rPr>
        <w:t>.</w:t>
      </w:r>
      <w:r>
        <w:rPr>
          <w:snapToGrid w:val="0"/>
        </w:rPr>
        <w:tab/>
        <w:t>Apportionment of fine between joint offenders</w:t>
      </w:r>
      <w:bookmarkEnd w:id="105"/>
    </w:p>
    <w:p>
      <w:pPr>
        <w:pStyle w:val="Subsection"/>
        <w:spacing w:before="120"/>
        <w:rPr>
          <w:snapToGrid w:val="0"/>
        </w:rPr>
      </w:pPr>
      <w:r>
        <w:rPr>
          <w:snapToGrid w:val="0"/>
        </w:rPr>
        <w:lastRenderedPageBreak/>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200372943"/>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200372944"/>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200372945"/>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200372946"/>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200372947"/>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200372948"/>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lastRenderedPageBreak/>
        <w:tab/>
        <w:t>[Section 59 amended: Gazette 3 Mar 2000 p. 1015; Act No. 3 of 2008 s. 18.]</w:t>
      </w:r>
    </w:p>
    <w:p>
      <w:pPr>
        <w:pStyle w:val="Heading5"/>
        <w:rPr>
          <w:snapToGrid w:val="0"/>
        </w:rPr>
      </w:pPr>
      <w:bookmarkStart w:id="112" w:name="_Toc200372949"/>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lastRenderedPageBreak/>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200372950"/>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200372951"/>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200372952"/>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200372953"/>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200372954"/>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200372955"/>
      <w:r>
        <w:rPr>
          <w:rStyle w:val="CharSectno"/>
        </w:rPr>
        <w:t>60E</w:t>
      </w:r>
      <w:r>
        <w:t>.</w:t>
      </w:r>
      <w:r>
        <w:tab/>
        <w:t>How re</w:t>
      </w:r>
      <w:r>
        <w:noBreakHyphen/>
        <w:t>offender to be dealt with</w:t>
      </w:r>
      <w:bookmarkEnd w:id="118"/>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lastRenderedPageBreak/>
        <w:tab/>
        <w:t>[Section 60E inserted: No. 45 of 2016 s. 52.]</w:t>
      </w:r>
    </w:p>
    <w:p>
      <w:pPr>
        <w:pStyle w:val="Heading2"/>
      </w:pPr>
      <w:bookmarkStart w:id="119" w:name="_Toc200372956"/>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200372957"/>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200372958"/>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200372959"/>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200372960"/>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200372961"/>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200372962"/>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200372963"/>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200372964"/>
      <w:r>
        <w:rPr>
          <w:rStyle w:val="CharSectno"/>
        </w:rPr>
        <w:t>67A</w:t>
      </w:r>
      <w:r>
        <w:t>.</w:t>
      </w:r>
      <w:r>
        <w:tab/>
        <w:t>Electronic monitoring requirement</w:t>
      </w:r>
      <w:bookmarkEnd w:id="12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8" w:name="_Toc200372965"/>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200372966"/>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200372967"/>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200372968"/>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200372969"/>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200372970"/>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200372971"/>
      <w:r>
        <w:rPr>
          <w:rStyle w:val="CharSectno"/>
        </w:rPr>
        <w:t>73</w:t>
      </w:r>
      <w:r>
        <w:rPr>
          <w:snapToGrid w:val="0"/>
        </w:rPr>
        <w:t>.</w:t>
      </w:r>
      <w:r>
        <w:rPr>
          <w:snapToGrid w:val="0"/>
        </w:rPr>
        <w:tab/>
        <w:t>Programme requirement</w:t>
      </w:r>
      <w:bookmarkEnd w:id="13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200372972"/>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200372973"/>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37" w:name="_Toc200372974"/>
      <w:r>
        <w:rPr>
          <w:rStyle w:val="CharSectno"/>
        </w:rPr>
        <w:t>76A</w:t>
      </w:r>
      <w:r>
        <w:t>.</w:t>
      </w:r>
      <w:r>
        <w:tab/>
        <w:t>Electronic monitoring requirement</w:t>
      </w:r>
      <w:bookmarkEnd w:id="13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38" w:name="_Toc200372975"/>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200372976"/>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200372977"/>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200372978"/>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200372979"/>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lastRenderedPageBreak/>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lastRenderedPageBreak/>
        <w:tab/>
        <w:t>[Section 79 inserted: No. 84 of 2004 s. 58; amended: No. 65 of 2006 s. 49.]</w:t>
      </w:r>
    </w:p>
    <w:p>
      <w:pPr>
        <w:pStyle w:val="Heading5"/>
        <w:spacing w:before="600"/>
        <w:rPr>
          <w:snapToGrid w:val="0"/>
        </w:rPr>
      </w:pPr>
      <w:bookmarkStart w:id="143" w:name="_Toc200372980"/>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lastRenderedPageBreak/>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200372981"/>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200372982"/>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200372983"/>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200372984"/>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200372985"/>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200372986"/>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200372987"/>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200372988"/>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200372989"/>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lastRenderedPageBreak/>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153" w:name="_Toc200372990"/>
      <w:r>
        <w:rPr>
          <w:rStyle w:val="CharSectno"/>
        </w:rPr>
        <w:lastRenderedPageBreak/>
        <w:t>84CA</w:t>
      </w:r>
      <w:r>
        <w:t>.</w:t>
      </w:r>
      <w:r>
        <w:tab/>
        <w:t>Electronic monitoring requirement</w:t>
      </w:r>
      <w:bookmarkEnd w:id="153"/>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154" w:name="_Toc200372991"/>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200372992"/>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200372993"/>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200372994"/>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200372995"/>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200372996"/>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200372997"/>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200372998"/>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200372999"/>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63" w:name="_Toc200373000"/>
      <w:r>
        <w:rPr>
          <w:rStyle w:val="CharSectno"/>
        </w:rPr>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200373001"/>
      <w:r>
        <w:rPr>
          <w:rStyle w:val="CharSectno"/>
        </w:rPr>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200373002"/>
      <w:r>
        <w:rPr>
          <w:rStyle w:val="CharSectno"/>
        </w:rPr>
        <w:lastRenderedPageBreak/>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200373003"/>
      <w:r>
        <w:rPr>
          <w:rStyle w:val="CharDivNo"/>
        </w:rPr>
        <w:t>Division 4</w:t>
      </w:r>
      <w:r>
        <w:t> — </w:t>
      </w:r>
      <w:r>
        <w:rPr>
          <w:rStyle w:val="CharDivText"/>
        </w:rPr>
        <w:t>Functions of speciality courts as to CSI</w:t>
      </w:r>
      <w:bookmarkEnd w:id="166"/>
    </w:p>
    <w:p>
      <w:pPr>
        <w:pStyle w:val="Footnoteheading"/>
      </w:pPr>
      <w:r>
        <w:tab/>
        <w:t>[Heading inserted: No. 27 of 2004 s. 5.]</w:t>
      </w:r>
    </w:p>
    <w:p>
      <w:pPr>
        <w:pStyle w:val="Heading5"/>
      </w:pPr>
      <w:bookmarkStart w:id="167" w:name="_Toc200373004"/>
      <w:r>
        <w:rPr>
          <w:rStyle w:val="CharSectno"/>
        </w:rPr>
        <w:t>84N</w:t>
      </w:r>
      <w:r>
        <w:t>.</w:t>
      </w:r>
      <w:r>
        <w:tab/>
        <w:t>Application of this Division</w:t>
      </w:r>
      <w:bookmarkEnd w:id="16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200373005"/>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200373006"/>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200373007"/>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200373008"/>
      <w:r>
        <w:rPr>
          <w:rStyle w:val="CharSectno"/>
        </w:rPr>
        <w:t>84R</w:t>
      </w:r>
      <w:r>
        <w:t>.</w:t>
      </w:r>
      <w:r>
        <w:tab/>
        <w:t>Speciality court to deal with proceedings for breaches</w:t>
      </w:r>
      <w:bookmarkEnd w:id="17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200373009"/>
      <w:r>
        <w:rPr>
          <w:rStyle w:val="CharPartNo"/>
        </w:rPr>
        <w:lastRenderedPageBreak/>
        <w:t>Part 13</w:t>
      </w:r>
      <w:r>
        <w:t> — </w:t>
      </w:r>
      <w:r>
        <w:rPr>
          <w:rStyle w:val="CharPartText"/>
        </w:rPr>
        <w:t>Imprisonment</w:t>
      </w:r>
      <w:bookmarkEnd w:id="172"/>
    </w:p>
    <w:p>
      <w:pPr>
        <w:pStyle w:val="Heading3"/>
        <w:spacing w:before="180"/>
      </w:pPr>
      <w:bookmarkStart w:id="173" w:name="_Toc200373010"/>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200373011"/>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200373012"/>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200373013"/>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200373014"/>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200373015"/>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9" w:name="_Toc200373016"/>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200373017"/>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200373018"/>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200373019"/>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200373020"/>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lastRenderedPageBreak/>
        <w:tab/>
        <w:t>[Section 94A inserted: No. 32 of 2015 s. 6.]</w:t>
      </w:r>
    </w:p>
    <w:p>
      <w:pPr>
        <w:pStyle w:val="Heading5"/>
      </w:pPr>
      <w:bookmarkStart w:id="184" w:name="_Toc200373021"/>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w:t>
      </w:r>
      <w:r>
        <w:lastRenderedPageBreak/>
        <w:t>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200373022"/>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200373023"/>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200373024"/>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200373025"/>
      <w:r>
        <w:rPr>
          <w:rStyle w:val="CharDivNo"/>
        </w:rPr>
        <w:t>Division 4</w:t>
      </w:r>
      <w:r>
        <w:rPr>
          <w:snapToGrid w:val="0"/>
        </w:rPr>
        <w:t> — </w:t>
      </w:r>
      <w:r>
        <w:rPr>
          <w:rStyle w:val="CharDivText"/>
        </w:rPr>
        <w:t>Miscellaneous</w:t>
      </w:r>
      <w:bookmarkEnd w:id="188"/>
    </w:p>
    <w:p>
      <w:pPr>
        <w:pStyle w:val="Heading5"/>
        <w:rPr>
          <w:snapToGrid w:val="0"/>
        </w:rPr>
      </w:pPr>
      <w:bookmarkStart w:id="189" w:name="_Toc200373026"/>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200373027"/>
      <w:r>
        <w:rPr>
          <w:rStyle w:val="CharSectno"/>
        </w:rPr>
        <w:t>97A</w:t>
      </w:r>
      <w:r>
        <w:t>.</w:t>
      </w:r>
      <w:r>
        <w:tab/>
        <w:t xml:space="preserve">Declaration of serious violent offence for purposes of </w:t>
      </w:r>
      <w:r>
        <w:rPr>
          <w:i/>
        </w:rPr>
        <w:t>Sentence Administration Act 2003</w:t>
      </w:r>
      <w: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lastRenderedPageBreak/>
        <w:tab/>
        <w:t>[Section 97A inserted: No. 45 of 2016 s. 20; amended: No. 6 of 2017 s. 12(2)-(4); No. 29 of 2020 s. 120(2) and (3); No. 30 of 2020 s. 24.]</w:t>
      </w:r>
    </w:p>
    <w:p>
      <w:pPr>
        <w:pStyle w:val="Heading2"/>
      </w:pPr>
      <w:bookmarkStart w:id="191" w:name="_Toc200373028"/>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200373029"/>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200373030"/>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200373031"/>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200373032"/>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200373033"/>
      <w:r>
        <w:rPr>
          <w:rStyle w:val="CharPartNo"/>
        </w:rPr>
        <w:lastRenderedPageBreak/>
        <w:t>Part 15</w:t>
      </w:r>
      <w:r>
        <w:t> — </w:t>
      </w:r>
      <w:r>
        <w:rPr>
          <w:rStyle w:val="CharPartText"/>
        </w:rPr>
        <w:t>Other orders forming part of a sentence</w:t>
      </w:r>
      <w:bookmarkEnd w:id="196"/>
    </w:p>
    <w:p>
      <w:pPr>
        <w:pStyle w:val="Heading3"/>
      </w:pPr>
      <w:bookmarkStart w:id="197" w:name="_Toc200373034"/>
      <w:r>
        <w:rPr>
          <w:rStyle w:val="CharDivNo"/>
        </w:rPr>
        <w:t>Division 1</w:t>
      </w:r>
      <w:r>
        <w:rPr>
          <w:snapToGrid w:val="0"/>
        </w:rPr>
        <w:t> — </w:t>
      </w:r>
      <w:r>
        <w:rPr>
          <w:rStyle w:val="CharDivText"/>
        </w:rPr>
        <w:t>General matters</w:t>
      </w:r>
      <w:bookmarkEnd w:id="197"/>
    </w:p>
    <w:p>
      <w:pPr>
        <w:pStyle w:val="Heading5"/>
        <w:rPr>
          <w:snapToGrid w:val="0"/>
        </w:rPr>
      </w:pPr>
      <w:bookmarkStart w:id="198" w:name="_Toc200373035"/>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200373036"/>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200373037"/>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200373038"/>
      <w:r>
        <w:rPr>
          <w:rStyle w:val="CharDivNo"/>
        </w:rPr>
        <w:t>Division 2</w:t>
      </w:r>
      <w:r>
        <w:rPr>
          <w:snapToGrid w:val="0"/>
        </w:rPr>
        <w:t> — </w:t>
      </w:r>
      <w:r>
        <w:rPr>
          <w:rStyle w:val="CharDivText"/>
        </w:rPr>
        <w:t>Disqualification orders</w:t>
      </w:r>
      <w:bookmarkEnd w:id="201"/>
    </w:p>
    <w:p>
      <w:pPr>
        <w:pStyle w:val="Heading5"/>
        <w:rPr>
          <w:snapToGrid w:val="0"/>
        </w:rPr>
      </w:pPr>
      <w:bookmarkStart w:id="202" w:name="_Toc200373039"/>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200373040"/>
      <w:r>
        <w:rPr>
          <w:rStyle w:val="CharSectno"/>
        </w:rPr>
        <w:t>106</w:t>
      </w:r>
      <w:r>
        <w:rPr>
          <w:snapToGrid w:val="0"/>
        </w:rPr>
        <w:t>.</w:t>
      </w:r>
      <w:r>
        <w:rPr>
          <w:snapToGrid w:val="0"/>
        </w:rPr>
        <w:tab/>
        <w:t>Firearms licence etc. disqualification</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04" w:name="_Toc200373041"/>
      <w:r>
        <w:rPr>
          <w:rStyle w:val="CharSectno"/>
        </w:rPr>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05" w:name="_Toc200373042"/>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lastRenderedPageBreak/>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200373043"/>
      <w:r>
        <w:rPr>
          <w:rStyle w:val="CharPartNo"/>
        </w:rPr>
        <w:lastRenderedPageBreak/>
        <w:t>Part 16</w:t>
      </w:r>
      <w:r>
        <w:t> — </w:t>
      </w:r>
      <w:r>
        <w:rPr>
          <w:rStyle w:val="CharPartText"/>
        </w:rPr>
        <w:t>Reparation orders</w:t>
      </w:r>
      <w:bookmarkEnd w:id="206"/>
    </w:p>
    <w:p>
      <w:pPr>
        <w:pStyle w:val="Heading3"/>
      </w:pPr>
      <w:bookmarkStart w:id="207" w:name="_Toc200373044"/>
      <w:r>
        <w:rPr>
          <w:rStyle w:val="CharDivNo"/>
        </w:rPr>
        <w:t>Division 1</w:t>
      </w:r>
      <w:r>
        <w:rPr>
          <w:snapToGrid w:val="0"/>
        </w:rPr>
        <w:t> — </w:t>
      </w:r>
      <w:r>
        <w:rPr>
          <w:rStyle w:val="CharDivText"/>
        </w:rPr>
        <w:t>General matters</w:t>
      </w:r>
      <w:bookmarkEnd w:id="207"/>
    </w:p>
    <w:p>
      <w:pPr>
        <w:pStyle w:val="Heading5"/>
        <w:rPr>
          <w:snapToGrid w:val="0"/>
        </w:rPr>
      </w:pPr>
      <w:bookmarkStart w:id="208" w:name="_Toc200373045"/>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200373046"/>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200373047"/>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200373048"/>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200373049"/>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200373050"/>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200373051"/>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200373052"/>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200373053"/>
      <w:r>
        <w:rPr>
          <w:rStyle w:val="CharDivNo"/>
        </w:rPr>
        <w:t>Division 2</w:t>
      </w:r>
      <w:r>
        <w:rPr>
          <w:snapToGrid w:val="0"/>
        </w:rPr>
        <w:t> — </w:t>
      </w:r>
      <w:r>
        <w:rPr>
          <w:rStyle w:val="CharDivText"/>
        </w:rPr>
        <w:t>Compensation order</w:t>
      </w:r>
      <w:bookmarkEnd w:id="216"/>
    </w:p>
    <w:p>
      <w:pPr>
        <w:pStyle w:val="Heading5"/>
        <w:rPr>
          <w:snapToGrid w:val="0"/>
        </w:rPr>
      </w:pPr>
      <w:bookmarkStart w:id="217" w:name="_Toc200373054"/>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200373055"/>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200373056"/>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200373057"/>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200373058"/>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200373059"/>
      <w:r>
        <w:rPr>
          <w:rStyle w:val="CharDivNo"/>
        </w:rPr>
        <w:t>Division 3</w:t>
      </w:r>
      <w:r>
        <w:rPr>
          <w:snapToGrid w:val="0"/>
        </w:rPr>
        <w:t> — </w:t>
      </w:r>
      <w:r>
        <w:rPr>
          <w:rStyle w:val="CharDivText"/>
        </w:rPr>
        <w:t>Restitution order</w:t>
      </w:r>
      <w:bookmarkEnd w:id="222"/>
    </w:p>
    <w:p>
      <w:pPr>
        <w:pStyle w:val="Heading5"/>
        <w:rPr>
          <w:snapToGrid w:val="0"/>
        </w:rPr>
      </w:pPr>
      <w:bookmarkStart w:id="223" w:name="_Toc200373060"/>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200373061"/>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200373062"/>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200373063"/>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200373064"/>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200373065"/>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200373066"/>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200373067"/>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20037306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200373069"/>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200373070"/>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200373071"/>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200373072"/>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200373073"/>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237" w:name="_Toc200373074"/>
      <w:r>
        <w:rPr>
          <w:rStyle w:val="CharSectno"/>
        </w:rPr>
        <w:t>124E</w:t>
      </w:r>
      <w:r>
        <w:t>.</w:t>
      </w:r>
      <w:r>
        <w:tab/>
        <w:t>Serial family violence offenders</w:t>
      </w:r>
      <w:bookmarkEnd w:id="237"/>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238" w:name="_Toc200373075"/>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200373076"/>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240" w:name="_Toc200373077"/>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200373078"/>
      <w:r>
        <w:rPr>
          <w:rStyle w:val="CharDivNo"/>
        </w:rPr>
        <w:t>Division 1</w:t>
      </w:r>
      <w:r>
        <w:rPr>
          <w:snapToGrid w:val="0"/>
        </w:rPr>
        <w:t> — </w:t>
      </w:r>
      <w:r>
        <w:rPr>
          <w:rStyle w:val="CharDivText"/>
        </w:rPr>
        <w:t>Preliminary</w:t>
      </w:r>
      <w:bookmarkEnd w:id="241"/>
    </w:p>
    <w:p>
      <w:pPr>
        <w:pStyle w:val="Heading5"/>
        <w:rPr>
          <w:snapToGrid w:val="0"/>
        </w:rPr>
      </w:pPr>
      <w:bookmarkStart w:id="242" w:name="_Toc200373079"/>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200373080"/>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200373081"/>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200373082"/>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lastRenderedPageBreak/>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20037308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200373084"/>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lastRenderedPageBreak/>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200373085"/>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lastRenderedPageBreak/>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lastRenderedPageBreak/>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200373086"/>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200373087"/>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200373088"/>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252" w:name="_Toc200373089"/>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200373090"/>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200373091"/>
      <w:r>
        <w:rPr>
          <w:rStyle w:val="CharDivNo"/>
        </w:rPr>
        <w:t>Division 5</w:t>
      </w:r>
      <w:r>
        <w:rPr>
          <w:snapToGrid w:val="0"/>
        </w:rPr>
        <w:t> — </w:t>
      </w:r>
      <w:r>
        <w:rPr>
          <w:rStyle w:val="CharDivText"/>
        </w:rPr>
        <w:t>Miscellaneous</w:t>
      </w:r>
      <w:bookmarkEnd w:id="254"/>
    </w:p>
    <w:p>
      <w:pPr>
        <w:pStyle w:val="Heading5"/>
        <w:rPr>
          <w:snapToGrid w:val="0"/>
        </w:rPr>
      </w:pPr>
      <w:bookmarkStart w:id="255" w:name="_Toc200373092"/>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200373093"/>
      <w:r>
        <w:rPr>
          <w:rStyle w:val="CharSectno"/>
        </w:rPr>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200373094"/>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200373095"/>
      <w:r>
        <w:rPr>
          <w:rStyle w:val="CharDivNo"/>
        </w:rPr>
        <w:lastRenderedPageBreak/>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200373096"/>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200373097"/>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200373098"/>
      <w:r>
        <w:rPr>
          <w:rStyle w:val="CharSectno"/>
        </w:rPr>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200373099"/>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200373100"/>
      <w:r>
        <w:rPr>
          <w:rStyle w:val="CharSectno"/>
        </w:rPr>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200373101"/>
      <w:r>
        <w:rPr>
          <w:rStyle w:val="CharSectno"/>
        </w:rPr>
        <w:t>136F</w:t>
      </w:r>
      <w:r>
        <w:t>.</w:t>
      </w:r>
      <w:r>
        <w:tab/>
        <w:t>Court to deal with proceedings for breaches</w:t>
      </w:r>
      <w:bookmarkEnd w:id="26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lastRenderedPageBreak/>
        <w:tab/>
        <w:t>[Section 136F inserted: No. 45 of 2016 s. 77.]</w:t>
      </w:r>
    </w:p>
    <w:p>
      <w:pPr>
        <w:pStyle w:val="Heading2"/>
      </w:pPr>
      <w:bookmarkStart w:id="265" w:name="_Toc200373102"/>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200373103"/>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200373104"/>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200373105"/>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200373106"/>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200373107"/>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200373108"/>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200373109"/>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200373110"/>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200373111"/>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200373112"/>
      <w:r>
        <w:rPr>
          <w:rStyle w:val="CharSectno"/>
        </w:rPr>
        <w:t>142</w:t>
      </w:r>
      <w:r>
        <w:rPr>
          <w:snapToGrid w:val="0"/>
        </w:rPr>
        <w:t>.</w:t>
      </w:r>
      <w:r>
        <w:rPr>
          <w:snapToGrid w:val="0"/>
        </w:rPr>
        <w:tab/>
        <w:t>Strict security life imprisonment, exercise of Prerogative in case of</w:t>
      </w:r>
      <w:bookmarkEnd w:id="27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200373113"/>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200373114"/>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200373115"/>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200373116"/>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200373117"/>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200373118"/>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200373119"/>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200373120"/>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200373121"/>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285" w:name="_Toc200373122"/>
      <w:r>
        <w:rPr>
          <w:rStyle w:val="CharSectno"/>
        </w:rPr>
        <w:t>148</w:t>
      </w:r>
      <w:r>
        <w:rPr>
          <w:snapToGrid w:val="0"/>
        </w:rPr>
        <w:t>.</w:t>
      </w:r>
      <w:r>
        <w:rPr>
          <w:snapToGrid w:val="0"/>
        </w:rPr>
        <w:tab/>
        <w:t>Regulations</w:t>
      </w:r>
      <w:bookmarkEnd w:id="285"/>
    </w:p>
    <w:p>
      <w:pPr>
        <w:pStyle w:val="Subsection"/>
        <w:rPr>
          <w:snapToGrid w:val="0"/>
        </w:rPr>
      </w:pPr>
      <w:r>
        <w:rPr>
          <w:snapToGrid w:val="0"/>
        </w:rPr>
        <w:lastRenderedPageBreak/>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200373123"/>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200373124"/>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200373125"/>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200373126"/>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200373127"/>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200373128"/>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200373129"/>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200373130"/>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200373131"/>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295" w:name="_Toc200373132"/>
      <w:r>
        <w:rPr>
          <w:rStyle w:val="CharSDivNo"/>
        </w:rPr>
        <w:t>Part 2</w:t>
      </w:r>
      <w:r>
        <w:t> — </w:t>
      </w:r>
      <w:r>
        <w:rPr>
          <w:rStyle w:val="CharSDivText"/>
        </w:rPr>
        <w:t>Relevant simple offences</w:t>
      </w:r>
      <w:bookmarkEnd w:id="29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297" w:name="_Toc200373133"/>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Aboriginal Cultural Heritage Act 2021</w:t>
            </w:r>
          </w:p>
        </w:tc>
        <w:tc>
          <w:tcPr>
            <w:tcW w:w="4649" w:type="dxa"/>
          </w:tcPr>
          <w:p>
            <w:pPr>
              <w:pStyle w:val="yTableNAm"/>
            </w:pPr>
            <w:r>
              <w:t>Aboriginal Cultural Heritage Compensation Fund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200373134"/>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200373135"/>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single" w:sz="4" w:space="0" w:color="auto"/>
              <w:right w:val="nil"/>
            </w:tcBorders>
          </w:tcPr>
          <w:p>
            <w:pPr>
              <w:pStyle w:val="nTable"/>
              <w:keepLines/>
              <w:spacing w:after="40"/>
            </w:pPr>
            <w:r>
              <w:t>44 of 2022</w:t>
            </w:r>
          </w:p>
        </w:tc>
        <w:tc>
          <w:tcPr>
            <w:tcW w:w="1134" w:type="dxa"/>
            <w:tcBorders>
              <w:top w:val="nil"/>
              <w:left w:val="nil"/>
              <w:bottom w:val="single" w:sz="4" w:space="0" w:color="auto"/>
              <w:right w:val="nil"/>
            </w:tcBorders>
          </w:tcPr>
          <w:p>
            <w:pPr>
              <w:pStyle w:val="nTable"/>
              <w:keepLines/>
              <w:spacing w:after="40"/>
            </w:pPr>
            <w:r>
              <w:t>1 Dec 2022</w:t>
            </w:r>
          </w:p>
        </w:tc>
        <w:tc>
          <w:tcPr>
            <w:tcW w:w="2553" w:type="dxa"/>
            <w:tcBorders>
              <w:top w:val="nil"/>
              <w:left w:val="nil"/>
              <w:bottom w:val="single" w:sz="4" w:space="0" w:color="auto"/>
            </w:tcBorders>
          </w:tcPr>
          <w:p>
            <w:pPr>
              <w:pStyle w:val="nTable"/>
              <w:keepLines/>
              <w:spacing w:after="40"/>
              <w:rPr>
                <w:noProof/>
                <w:snapToGrid w:val="0"/>
              </w:rPr>
            </w:pPr>
            <w:r>
              <w:rPr>
                <w:snapToGrid w:val="0"/>
              </w:rPr>
              <w:t>24 Dec 2022 (see s. 2(b) and SL 2022/216 cl. 2)</w:t>
            </w:r>
          </w:p>
        </w:tc>
      </w:tr>
    </w:tbl>
    <w:p>
      <w:pPr>
        <w:pStyle w:val="nHeading3"/>
        <w:keepLines/>
      </w:pPr>
      <w:bookmarkStart w:id="300" w:name="_Toc200373136"/>
      <w:r>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723"/>
        </w:trPr>
        <w:tc>
          <w:tcPr>
            <w:tcW w:w="2255" w:type="dxa"/>
            <w:gridSpan w:val="2"/>
            <w:tcBorders>
              <w:top w:val="nil"/>
              <w:bottom w:val="nil"/>
              <w:right w:val="nil"/>
            </w:tcBorders>
          </w:tcPr>
          <w:p>
            <w:pPr>
              <w:pStyle w:val="nTable"/>
              <w:keepLines/>
              <w:spacing w:after="40"/>
              <w:rPr>
                <w:iCs/>
                <w:snapToGrid w:val="0"/>
              </w:rPr>
            </w:pPr>
            <w:r>
              <w:rPr>
                <w:i/>
                <w:snapToGrid w:val="0"/>
              </w:rPr>
              <w:t>Aboriginal Heritage Legislation Amendment and Repeal Act 2023</w:t>
            </w:r>
            <w:r>
              <w:rPr>
                <w:iCs/>
                <w:snapToGrid w:val="0"/>
              </w:rPr>
              <w:t xml:space="preserve"> s. 33</w:t>
            </w:r>
          </w:p>
        </w:tc>
        <w:tc>
          <w:tcPr>
            <w:tcW w:w="1134" w:type="dxa"/>
            <w:gridSpan w:val="2"/>
            <w:tcBorders>
              <w:top w:val="nil"/>
              <w:left w:val="nil"/>
              <w:bottom w:val="nil"/>
              <w:right w:val="nil"/>
            </w:tcBorders>
          </w:tcPr>
          <w:p>
            <w:pPr>
              <w:pStyle w:val="nTable"/>
              <w:keepLines/>
              <w:spacing w:after="40"/>
            </w:pPr>
            <w:r>
              <w:t>23 of 2023</w:t>
            </w:r>
          </w:p>
        </w:tc>
        <w:tc>
          <w:tcPr>
            <w:tcW w:w="1134" w:type="dxa"/>
            <w:gridSpan w:val="2"/>
            <w:tcBorders>
              <w:top w:val="nil"/>
              <w:left w:val="nil"/>
              <w:bottom w:val="nil"/>
              <w:right w:val="nil"/>
            </w:tcBorders>
          </w:tcPr>
          <w:p>
            <w:pPr>
              <w:pStyle w:val="nTable"/>
              <w:keepLines/>
              <w:spacing w:after="40"/>
            </w:pPr>
            <w:r>
              <w:t>24 Oct 2023</w:t>
            </w:r>
          </w:p>
        </w:tc>
        <w:tc>
          <w:tcPr>
            <w:tcW w:w="2552" w:type="dxa"/>
            <w:tcBorders>
              <w:top w:val="nil"/>
              <w:left w:val="nil"/>
              <w:bottom w:val="nil"/>
            </w:tcBorders>
          </w:tcPr>
          <w:p>
            <w:pPr>
              <w:pStyle w:val="nTable"/>
              <w:keepLines/>
              <w:spacing w:after="40"/>
              <w:rPr>
                <w:noProof/>
                <w:snapToGrid w:val="0"/>
              </w:rPr>
            </w:pPr>
            <w:r>
              <w:rPr>
                <w:noProof/>
                <w:snapToGrid w:val="0"/>
              </w:rPr>
              <w:t>15 Nov 2023 (see s. 2(d) and SL 2023/161 cl. 2)</w:t>
            </w:r>
          </w:p>
        </w:tc>
      </w:tr>
      <w:tr>
        <w:trPr>
          <w:gridBefore w:val="1"/>
          <w:wBefore w:w="7" w:type="dxa"/>
          <w:cantSplit/>
          <w:trHeight w:val="1026"/>
        </w:trPr>
        <w:tc>
          <w:tcPr>
            <w:tcW w:w="2255" w:type="dxa"/>
            <w:gridSpan w:val="2"/>
            <w:tcBorders>
              <w:top w:val="nil"/>
              <w:bottom w:val="single" w:sz="4" w:space="0" w:color="auto"/>
              <w:right w:val="nil"/>
            </w:tcBorders>
          </w:tcPr>
          <w:p>
            <w:pPr>
              <w:pStyle w:val="nTable"/>
              <w:keepLines/>
              <w:spacing w:after="40"/>
              <w:rPr>
                <w:iCs/>
                <w:snapToGrid w:val="0"/>
              </w:rPr>
            </w:pPr>
            <w:r>
              <w:rPr>
                <w:i/>
                <w:snapToGrid w:val="0"/>
              </w:rPr>
              <w:t>Marine Safety (Domestic Commercial Vessel National Law Application) Act 2023</w:t>
            </w:r>
            <w:r>
              <w:rPr>
                <w:iCs/>
                <w:snapToGrid w:val="0"/>
              </w:rPr>
              <w:t xml:space="preserve"> Pt. 10 Div. 6</w:t>
            </w:r>
          </w:p>
        </w:tc>
        <w:tc>
          <w:tcPr>
            <w:tcW w:w="1134" w:type="dxa"/>
            <w:gridSpan w:val="2"/>
            <w:tcBorders>
              <w:top w:val="nil"/>
              <w:left w:val="nil"/>
              <w:bottom w:val="single" w:sz="4" w:space="0" w:color="auto"/>
              <w:right w:val="nil"/>
            </w:tcBorders>
          </w:tcPr>
          <w:p>
            <w:pPr>
              <w:pStyle w:val="nTable"/>
              <w:keepLines/>
              <w:spacing w:after="40"/>
            </w:pPr>
            <w:r>
              <w:t>24 of 2023</w:t>
            </w:r>
          </w:p>
        </w:tc>
        <w:tc>
          <w:tcPr>
            <w:tcW w:w="1134" w:type="dxa"/>
            <w:gridSpan w:val="2"/>
            <w:tcBorders>
              <w:top w:val="nil"/>
              <w:left w:val="nil"/>
              <w:bottom w:val="single" w:sz="4" w:space="0" w:color="auto"/>
              <w:right w:val="nil"/>
            </w:tcBorders>
          </w:tcPr>
          <w:p>
            <w:pPr>
              <w:pStyle w:val="nTable"/>
              <w:keepLines/>
              <w:spacing w:after="40"/>
            </w:pPr>
            <w:r>
              <w:t>24 Oct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2(b))</w:t>
            </w:r>
          </w:p>
        </w:tc>
      </w:tr>
    </w:tbl>
    <w:p>
      <w:pPr>
        <w:pStyle w:val="nHeading3"/>
        <w:keepNext w:val="0"/>
      </w:pPr>
      <w:bookmarkStart w:id="301" w:name="_Toc200373137"/>
      <w:r>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w:t>
      </w:r>
      <w:r>
        <w:lastRenderedPageBreak/>
        <w:t>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lastRenderedPageBreak/>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 xml:space="preserve">If immediately before commencement a person is subject to a fixed term that is not a parole term and to which the old provisions apply, then on and after commencement the old provisions </w:t>
      </w:r>
      <w:r>
        <w:lastRenderedPageBreak/>
        <w:t>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lastRenderedPageBreak/>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 xml:space="preserve">If immediately before commencement a person is subject to a parole order, a home detention order, or a work release order, </w:t>
      </w:r>
      <w:r>
        <w:lastRenderedPageBreak/>
        <w:t>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 xml:space="preserve">a reference in the repealed Act </w:t>
      </w:r>
      <w:r>
        <w:lastRenderedPageBreak/>
        <w:t>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lastRenderedPageBreak/>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w:t>
      </w:r>
      <w:r>
        <w:lastRenderedPageBreak/>
        <w:t xml:space="preserve">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lastRenderedPageBreak/>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200373138"/>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CDAA6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B6840F6" w14:textId="69CD5D38" w:rsidR="00405F36" w:rsidRDefault="00405F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90CEE5" w14:textId="77777777" w:rsidR="00405F36" w:rsidRDefault="00405F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5E0382" w14:textId="638D59C2" w:rsidR="00405F36" w:rsidRDefault="00405F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8B93D4F" w14:textId="77777777" w:rsidR="00405F36" w:rsidRDefault="00405F3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10-q0-02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15"/>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2271414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15_GUID" w:val="5a90361f-4b34-41eb-8992-cd076078c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56704</Words>
  <Characters>262540</Characters>
  <Application>Microsoft Office Word</Application>
  <DocSecurity>0</DocSecurity>
  <Lines>7721</Lines>
  <Paragraphs>4626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1995 - 10-q0-02</dc:title>
  <dc:subject/>
  <dc:creator/>
  <cp:keywords/>
  <dc:description/>
  <cp:lastModifiedBy>Master Repository Process</cp:lastModifiedBy>
  <cp:revision>4</cp:revision>
  <cp:lastPrinted>2019-06-26T03:44:00Z</cp:lastPrinted>
  <dcterms:created xsi:type="dcterms:W3CDTF">2025-06-09T06:47:00Z</dcterms:created>
  <dcterms:modified xsi:type="dcterms:W3CDTF">2025-06-09T06:47:00Z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24 Oct 2023</vt:lpwstr>
  </property>
  <property fmtid="{D5CDD505-2E9C-101B-9397-08002B2CF9AE}" pid="8" name="Suffix">
    <vt:lpwstr>10-q0-02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AsAt">
    <vt:filetime>2023-10-23T16:00:00Z</vt:filetime>
  </property>
  <property fmtid="{D5CDD505-2E9C-101B-9397-08002B2CF9AE}" pid="12" name="CommencementYear">
    <vt:lpwstr>2023</vt:lpwstr>
  </property>
</Properties>
</file>