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pPr>
      <w:r>
        <w:t>Workers’ Compensation and Injury Management (Acts of Terrorism) Act 2001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(Acts of Terrorism) (Final Day) Regulations 2002</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433"/>
      </w:pPr>
      <w:r>
        <w:fldChar w:fldCharType="begin"/>
      </w:r>
      <w:r>
        <w:instrText xml:space="preserve"> STYLEREF "Name Of Act/Reg"</w:instrText>
      </w:r>
      <w:r>
        <w:fldChar w:fldCharType="separate"/>
      </w:r>
      <w:r>
        <w:rPr>
          <w:noProof/>
        </w:rPr>
        <w:t>Workers’ Compensation and Injury Management (Acts of Terrorism) (Final Day)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_Toc161750262 \h </w:instrText>
      </w:r>
      <w:r>
        <w:fldChar w:fldCharType="separate"/>
      </w:r>
      <w:r>
        <w:t>1</w:t>
      </w:r>
      <w:r>
        <w:fldChar w:fldCharType="end"/>
      </w:r>
    </w:p>
    <w:p>
      <w:pPr>
        <w:pStyle w:val="TOC8"/>
        <w:rPr>
          <w:rFonts w:asciiTheme="minorHAnsi" w:eastAsiaTheme="minorEastAsia" w:hAnsiTheme="minorHAnsi" w:cstheme="minorBidi"/>
          <w:szCs w:val="22"/>
        </w:rPr>
      </w:pPr>
      <w:r>
        <w:t>2.</w:t>
      </w:r>
      <w:r>
        <w:tab/>
        <w:t>Final day prescribed (section 3)</w:t>
      </w:r>
      <w:r>
        <w:tab/>
      </w:r>
      <w:r>
        <w:fldChar w:fldCharType="begin"/>
      </w:r>
      <w:r>
        <w:instrText xml:space="preserve"> PAGEREF _Toc161750263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_Toc161750265 \h </w:instrText>
      </w:r>
      <w:r>
        <w:fldChar w:fldCharType="separate"/>
      </w:r>
      <w:r>
        <w:t>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_Toc161750266 \h </w:instrText>
      </w:r>
      <w:r>
        <w:fldChar w:fldCharType="separate"/>
      </w:r>
      <w:r>
        <w:t>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_Toc161750267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Workers’ Compensation and Injury Management (Acts of Terrorism) Act 2001</w:t>
      </w:r>
      <w:r>
        <w:rPr>
          <w:vertAlign w:val="superscript"/>
        </w:rPr>
        <w:t> 1</w:t>
      </w:r>
    </w:p>
    <w:p>
      <w:pPr>
        <w:pStyle w:val="NameofActReg"/>
      </w:pPr>
      <w:r>
        <w:t>Workers’ Compensation and Injury Management (Acts of Terrorism) (Final Day) Regulations 2002</w:t>
      </w:r>
    </w:p>
    <w:p>
      <w:pPr>
        <w:pStyle w:val="Heading5"/>
      </w:pPr>
      <w:bookmarkStart w:id="2" w:name="_Toc161750262"/>
      <w:r>
        <w:rPr>
          <w:rStyle w:val="CharSectno"/>
        </w:rPr>
        <w:t>1</w:t>
      </w:r>
      <w:r>
        <w:t>.</w:t>
      </w:r>
      <w:r>
        <w:tab/>
        <w:t>Citation</w:t>
      </w:r>
      <w:bookmarkEnd w:id="2"/>
    </w:p>
    <w:p>
      <w:pPr>
        <w:pStyle w:val="Subsection"/>
        <w:ind w:right="282"/>
      </w:pPr>
      <w:r>
        <w:tab/>
      </w:r>
      <w:r>
        <w:tab/>
      </w:r>
      <w:r>
        <w:rPr>
          <w:spacing w:val="-2"/>
        </w:rPr>
        <w:t>These</w:t>
      </w:r>
      <w:r>
        <w:t xml:space="preserve"> </w:t>
      </w:r>
      <w:r>
        <w:rPr>
          <w:spacing w:val="-2"/>
        </w:rPr>
        <w:t>regulations</w:t>
      </w:r>
      <w:r>
        <w:t xml:space="preserve"> may be cited as the </w:t>
      </w:r>
      <w:r>
        <w:rPr>
          <w:i/>
        </w:rPr>
        <w:t xml:space="preserve">Workers’ Compensation and </w:t>
      </w:r>
      <w:r>
        <w:rPr>
          <w:i/>
          <w:iCs/>
        </w:rPr>
        <w:t>Injury Management</w:t>
      </w:r>
      <w:r>
        <w:rPr>
          <w:i/>
        </w:rPr>
        <w:t xml:space="preserve"> (Acts of Terrorism) (Final Day) Regulations 2002</w:t>
      </w:r>
      <w:r>
        <w:t>.</w:t>
      </w:r>
    </w:p>
    <w:p>
      <w:pPr>
        <w:pStyle w:val="Footnotesection"/>
        <w:rPr>
          <w:i w:val="0"/>
        </w:rPr>
      </w:pPr>
      <w:r>
        <w:tab/>
        <w:t>[Regulation 1 amended: Gazette 25 Nov 2005 p. 5691.]</w:t>
      </w:r>
    </w:p>
    <w:p>
      <w:pPr>
        <w:pStyle w:val="Heading5"/>
      </w:pPr>
      <w:bookmarkStart w:id="3" w:name="_Toc161750263"/>
      <w:r>
        <w:rPr>
          <w:rStyle w:val="CharSectno"/>
        </w:rPr>
        <w:t>2</w:t>
      </w:r>
      <w:r>
        <w:t>.</w:t>
      </w:r>
      <w:r>
        <w:tab/>
        <w:t>Final day prescribed (section 3)</w:t>
      </w:r>
      <w:bookmarkEnd w:id="3"/>
    </w:p>
    <w:p>
      <w:pPr>
        <w:pStyle w:val="Subsection"/>
      </w:pPr>
      <w:r>
        <w:tab/>
      </w:r>
      <w:r>
        <w:tab/>
        <w:t xml:space="preserve">For the purposes of paragraph (b) of the definition of </w:t>
      </w:r>
      <w:r>
        <w:rPr>
          <w:b/>
          <w:bCs/>
          <w:i/>
          <w:iCs/>
        </w:rPr>
        <w:t>final day</w:t>
      </w:r>
      <w:r>
        <w:t xml:space="preserve"> in section 3 of the Act, the final day is 31 December 2026.</w:t>
      </w:r>
    </w:p>
    <w:p>
      <w:pPr>
        <w:pStyle w:val="Footnotesection"/>
      </w:pPr>
      <w:r>
        <w:tab/>
        <w:t>[Regulation 2 inserted: Gazette 12 Sep 2003 p. 4083; amended: Gazette 25 Nov 2005 p. 5691; 6 Jan 2009 p. 15; 27 Apr 2012 p. 1769; 17 Jan 2014 p. 56; 14 Oct 2016 p. 4644; 22 Feb 2019 p. 394; SL 2022/11 r. 4.]</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4" w:name="_Toc161750264"/>
      <w:r>
        <w:lastRenderedPageBreak/>
        <w:t>Notes</w:t>
      </w:r>
      <w:bookmarkEnd w:id="4"/>
    </w:p>
    <w:p>
      <w:pPr>
        <w:pStyle w:val="nStatement"/>
      </w:pPr>
      <w:r>
        <w:t xml:space="preserve">This is a compilation of the </w:t>
      </w:r>
      <w:r>
        <w:rPr>
          <w:i/>
          <w:noProof/>
        </w:rPr>
        <w:t>Workers’ Compensation and Injury Management (Acts of Terrorism) (Final Day) Regulations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 w:name="_Toc161750265"/>
      <w:r>
        <w:t>Compilation table</w:t>
      </w:r>
      <w:bookmarkEnd w:id="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iCs/>
              </w:rPr>
            </w:pPr>
            <w:r>
              <w:rPr>
                <w:i/>
              </w:rPr>
              <w:t>Workers’ Compensation and Rehabilitation (Acts of Terrorism) (Final Day) Regulations 2002</w:t>
            </w:r>
            <w:r>
              <w:rPr>
                <w:iCs/>
              </w:rPr>
              <w:t xml:space="preserve"> </w:t>
            </w:r>
            <w:r>
              <w:rPr>
                <w:iCs/>
                <w:vertAlign w:val="superscript"/>
              </w:rPr>
              <w:t>2</w:t>
            </w:r>
          </w:p>
        </w:tc>
        <w:tc>
          <w:tcPr>
            <w:tcW w:w="1276" w:type="dxa"/>
            <w:tcBorders>
              <w:top w:val="single" w:sz="8" w:space="0" w:color="auto"/>
            </w:tcBorders>
          </w:tcPr>
          <w:p>
            <w:pPr>
              <w:pStyle w:val="nTable"/>
              <w:spacing w:after="40"/>
            </w:pPr>
            <w:r>
              <w:t>3 Dec 2002 p. 5714</w:t>
            </w:r>
          </w:p>
        </w:tc>
        <w:tc>
          <w:tcPr>
            <w:tcW w:w="2693" w:type="dxa"/>
            <w:tcBorders>
              <w:top w:val="single" w:sz="8" w:space="0" w:color="auto"/>
            </w:tcBorders>
          </w:tcPr>
          <w:p>
            <w:pPr>
              <w:pStyle w:val="nTable"/>
              <w:spacing w:after="40"/>
            </w:pPr>
            <w:r>
              <w:t>3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(Acts of Terrorism) (Final Day) Amendment Regulations 2003</w:t>
            </w:r>
          </w:p>
        </w:tc>
        <w:tc>
          <w:tcPr>
            <w:tcW w:w="1276" w:type="dxa"/>
          </w:tcPr>
          <w:p>
            <w:pPr>
              <w:pStyle w:val="nTable"/>
              <w:spacing w:after="40"/>
            </w:pPr>
            <w:r>
              <w:t>12 Sep 2003 p. 4082</w:t>
            </w:r>
            <w:r>
              <w:noBreakHyphen/>
              <w:t>3</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(Acts of Terrorism) (Final Day) Amendment Regulations 2005</w:t>
            </w:r>
          </w:p>
        </w:tc>
        <w:tc>
          <w:tcPr>
            <w:tcW w:w="1276" w:type="dxa"/>
          </w:tcPr>
          <w:p>
            <w:pPr>
              <w:pStyle w:val="nTable"/>
              <w:spacing w:after="40"/>
            </w:pPr>
            <w:r>
              <w:t>25 Nov 2005 p. 5691</w:t>
            </w:r>
          </w:p>
        </w:tc>
        <w:tc>
          <w:tcPr>
            <w:tcW w:w="2693" w:type="dxa"/>
          </w:tcPr>
          <w:p>
            <w:pPr>
              <w:pStyle w:val="nTable"/>
              <w:spacing w:after="40"/>
            </w:pPr>
            <w:r>
              <w:t>25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Injury Management (Acts of Terrorism) (Final Day) Amendment Regulations 2008</w:t>
            </w:r>
          </w:p>
        </w:tc>
        <w:tc>
          <w:tcPr>
            <w:tcW w:w="1276" w:type="dxa"/>
          </w:tcPr>
          <w:p>
            <w:pPr>
              <w:pStyle w:val="nTable"/>
              <w:spacing w:after="40"/>
            </w:pPr>
            <w:r>
              <w:t>6 Jan 2009 p. 15</w:t>
            </w:r>
          </w:p>
        </w:tc>
        <w:tc>
          <w:tcPr>
            <w:tcW w:w="2693" w:type="dxa"/>
          </w:tcPr>
          <w:p>
            <w:pPr>
              <w:pStyle w:val="nTable"/>
              <w:spacing w:after="40"/>
            </w:pPr>
            <w:r>
              <w:rPr>
                <w:snapToGrid w:val="0"/>
                <w:spacing w:val="-2"/>
              </w:rPr>
              <w:t>r. 1 and 2: 6 Jan 2009 (see r. 2(a));</w:t>
            </w:r>
            <w:r>
              <w:rPr>
                <w:snapToGrid w:val="0"/>
                <w:spacing w:val="-2"/>
              </w:rPr>
              <w:br/>
              <w:t>Regulations other than r. 1 and 2: 7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noProof/>
                <w:snapToGrid w:val="0"/>
              </w:rPr>
              <w:t>Workers’ Compensation and Injury Management (Acts of Terrorism) (Final Day) Regulations 2002</w:t>
            </w:r>
            <w:r>
              <w:rPr>
                <w:b/>
                <w:bCs/>
                <w:snapToGrid w:val="0"/>
                <w:spacing w:val="-2"/>
              </w:rPr>
              <w:t xml:space="preserve"> as at 27 Feb 2009</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Injury Management (Acts of Terrorism) (Final Day) Amendment Regulations 2012</w:t>
            </w:r>
          </w:p>
        </w:tc>
        <w:tc>
          <w:tcPr>
            <w:tcW w:w="1276" w:type="dxa"/>
          </w:tcPr>
          <w:p>
            <w:pPr>
              <w:pStyle w:val="nTable"/>
              <w:spacing w:after="40"/>
            </w:pPr>
            <w:r>
              <w:t>27 Apr 2012 p. 1768</w:t>
            </w:r>
            <w:r>
              <w:noBreakHyphen/>
              <w:t>9</w:t>
            </w:r>
          </w:p>
        </w:tc>
        <w:tc>
          <w:tcPr>
            <w:tcW w:w="2693" w:type="dxa"/>
          </w:tcPr>
          <w:p>
            <w:pPr>
              <w:pStyle w:val="nTable"/>
              <w:spacing w:after="40"/>
            </w:pPr>
            <w:r>
              <w:rPr>
                <w:snapToGrid w:val="0"/>
                <w:spacing w:val="-2"/>
              </w:rPr>
              <w:t>r. 1 and 2: 27 Apr 2012 (see r. 2(a));</w:t>
            </w:r>
            <w:r>
              <w:rPr>
                <w:snapToGrid w:val="0"/>
                <w:spacing w:val="-2"/>
              </w:rPr>
              <w:br/>
              <w:t>Regulations other than r. 1 and 2: 28 Apr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Injury Management (Acts of Terrorism) (Final Day) Amendment Regulations 2013</w:t>
            </w:r>
          </w:p>
        </w:tc>
        <w:tc>
          <w:tcPr>
            <w:tcW w:w="1276" w:type="dxa"/>
          </w:tcPr>
          <w:p>
            <w:pPr>
              <w:pStyle w:val="nTable"/>
              <w:spacing w:after="40"/>
            </w:pPr>
            <w:r>
              <w:t>17 Jan 2014 p. 56</w:t>
            </w:r>
          </w:p>
        </w:tc>
        <w:tc>
          <w:tcPr>
            <w:tcW w:w="2693" w:type="dxa"/>
          </w:tcPr>
          <w:p>
            <w:pPr>
              <w:pStyle w:val="nTable"/>
              <w:spacing w:after="40"/>
              <w:rPr>
                <w:snapToGrid w:val="0"/>
                <w:spacing w:val="-2"/>
              </w:rPr>
            </w:pPr>
            <w:r>
              <w:rPr>
                <w:snapToGrid w:val="0"/>
                <w:spacing w:val="-2"/>
              </w:rPr>
              <w:t>r. 1 and 2: 17 Jan 2014 (see r. 2(a));</w:t>
            </w:r>
            <w:r>
              <w:rPr>
                <w:snapToGrid w:val="0"/>
                <w:spacing w:val="-2"/>
              </w:rPr>
              <w:br/>
              <w:t>Regulations other than r. 1 and 2: 18 Jan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Injury Management (Acts of Terrorism) (Final Day) Amendment Regulations 2016</w:t>
            </w:r>
          </w:p>
        </w:tc>
        <w:tc>
          <w:tcPr>
            <w:tcW w:w="1276" w:type="dxa"/>
          </w:tcPr>
          <w:p>
            <w:pPr>
              <w:pStyle w:val="nTable"/>
              <w:spacing w:after="40"/>
            </w:pPr>
            <w:r>
              <w:t>14 Oct 2016 p. 4643-4</w:t>
            </w:r>
          </w:p>
        </w:tc>
        <w:tc>
          <w:tcPr>
            <w:tcW w:w="2693" w:type="dxa"/>
          </w:tcPr>
          <w:p>
            <w:pPr>
              <w:pStyle w:val="nTable"/>
              <w:spacing w:after="40"/>
              <w:rPr>
                <w:snapToGrid w:val="0"/>
                <w:spacing w:val="-2"/>
              </w:rPr>
            </w:pPr>
            <w:r>
              <w:rPr>
                <w:snapToGrid w:val="0"/>
                <w:spacing w:val="-2"/>
              </w:rPr>
              <w:t>r. 1 and 2: 14 Oct 2016 (see r. 2(a));</w:t>
            </w:r>
            <w:r>
              <w:rPr>
                <w:snapToGrid w:val="0"/>
                <w:spacing w:val="-2"/>
              </w:rPr>
              <w:br/>
              <w:t>Regulations other than r. 1 and 2: 15 Oct 2016 (see r. 2(b))</w:t>
            </w:r>
          </w:p>
        </w:tc>
      </w:tr>
      <w:tr>
        <w:tc>
          <w:tcPr>
            <w:tcW w:w="3119" w:type="dxa"/>
            <w:tcBorders>
              <w:top w:val="nil"/>
              <w:bottom w:val="single" w:sz="4" w:space="0" w:color="auto"/>
            </w:tcBorders>
          </w:tcPr>
          <w:p>
            <w:pPr>
              <w:pStyle w:val="nTable"/>
              <w:spacing w:after="40"/>
              <w:rPr>
                <w:i/>
              </w:rPr>
            </w:pPr>
            <w:r>
              <w:rPr>
                <w:i/>
              </w:rPr>
              <w:t xml:space="preserve">Workers’ Compensation and Injury Management (Acts of Terrorism) </w:t>
            </w:r>
            <w:r>
              <w:rPr>
                <w:i/>
              </w:rPr>
              <w:lastRenderedPageBreak/>
              <w:t>(Final Day) Amendment Regulations 2019</w:t>
            </w:r>
          </w:p>
        </w:tc>
        <w:tc>
          <w:tcPr>
            <w:tcW w:w="1276" w:type="dxa"/>
            <w:tcBorders>
              <w:top w:val="nil"/>
              <w:bottom w:val="single" w:sz="4" w:space="0" w:color="auto"/>
            </w:tcBorders>
          </w:tcPr>
          <w:p>
            <w:pPr>
              <w:pStyle w:val="nTable"/>
              <w:spacing w:after="40"/>
            </w:pPr>
            <w:r>
              <w:lastRenderedPageBreak/>
              <w:t>22 Feb 2019 p. 394</w:t>
            </w:r>
          </w:p>
        </w:tc>
        <w:tc>
          <w:tcPr>
            <w:tcW w:w="2693" w:type="dxa"/>
            <w:tcBorders>
              <w:top w:val="nil"/>
              <w:bottom w:val="single" w:sz="4" w:space="0" w:color="auto"/>
            </w:tcBorders>
          </w:tcPr>
          <w:p>
            <w:pPr>
              <w:pStyle w:val="nTable"/>
              <w:spacing w:after="40"/>
              <w:rPr>
                <w:snapToGrid w:val="0"/>
                <w:spacing w:val="-2"/>
              </w:rPr>
            </w:pPr>
            <w:r>
              <w:rPr>
                <w:snapToGrid w:val="0"/>
                <w:spacing w:val="-2"/>
              </w:rPr>
              <w:t>r. 1 and 2: 22 Feb 2019 (see r. 2(a));</w:t>
            </w:r>
            <w:r>
              <w:rPr>
                <w:snapToGrid w:val="0"/>
                <w:spacing w:val="-2"/>
              </w:rPr>
              <w:br/>
            </w:r>
            <w:r>
              <w:rPr>
                <w:snapToGrid w:val="0"/>
                <w:spacing w:val="-2"/>
              </w:rPr>
              <w:lastRenderedPageBreak/>
              <w:t>Regulations other than r. 1 and 2: 23 Feb 2019 (see r. 2(b))</w:t>
            </w:r>
          </w:p>
        </w:tc>
      </w:tr>
      <w:tr>
        <w:tblPrEx>
          <w:tblBorders>
            <w:top w:val="none" w:sz="0" w:space="0" w:color="auto"/>
            <w:bottom w:val="none" w:sz="0" w:space="0" w:color="auto"/>
            <w:insideH w:val="none" w:sz="0" w:space="0" w:color="auto"/>
          </w:tblBorders>
        </w:tblPrEx>
        <w:tc>
          <w:tcPr>
            <w:tcW w:w="3119" w:type="dxa"/>
            <w:tcBorders>
              <w:top w:val="single" w:sz="4" w:space="0" w:color="auto"/>
              <w:bottom w:val="single" w:sz="4" w:space="0" w:color="auto"/>
            </w:tcBorders>
          </w:tcPr>
          <w:p>
            <w:pPr>
              <w:pStyle w:val="nTable"/>
              <w:spacing w:after="40"/>
              <w:rPr>
                <w:i/>
              </w:rPr>
            </w:pPr>
            <w:r>
              <w:rPr>
                <w:i/>
              </w:rPr>
              <w:lastRenderedPageBreak/>
              <w:t>Workers' Compensation and Injury Management (Acts of Terrorism) (Final Day) Amendment Regulations 2022</w:t>
            </w:r>
          </w:p>
        </w:tc>
        <w:tc>
          <w:tcPr>
            <w:tcW w:w="1276" w:type="dxa"/>
            <w:tcBorders>
              <w:top w:val="single" w:sz="4" w:space="0" w:color="auto"/>
              <w:bottom w:val="single" w:sz="4" w:space="0" w:color="auto"/>
            </w:tcBorders>
          </w:tcPr>
          <w:p>
            <w:pPr>
              <w:pStyle w:val="nTable"/>
              <w:spacing w:after="40"/>
            </w:pPr>
            <w:r>
              <w:t>SL 2022/11 11 Feb 2022</w:t>
            </w:r>
          </w:p>
        </w:tc>
        <w:tc>
          <w:tcPr>
            <w:tcW w:w="2693" w:type="dxa"/>
            <w:tcBorders>
              <w:top w:val="single" w:sz="4" w:space="0" w:color="auto"/>
              <w:bottom w:val="single" w:sz="4" w:space="0" w:color="auto"/>
            </w:tcBorders>
          </w:tcPr>
          <w:p>
            <w:pPr>
              <w:pStyle w:val="nTable"/>
              <w:spacing w:after="40"/>
              <w:rPr>
                <w:snapToGrid w:val="0"/>
                <w:spacing w:val="-2"/>
              </w:rPr>
            </w:pPr>
            <w:r>
              <w:rPr>
                <w:snapToGrid w:val="0"/>
                <w:spacing w:val="-2"/>
              </w:rPr>
              <w:t>r. 1 and 2: 11 Feb 2022 (see r. 2(a));</w:t>
            </w:r>
            <w:r>
              <w:rPr>
                <w:snapToGrid w:val="0"/>
                <w:spacing w:val="-2"/>
              </w:rPr>
              <w:br/>
              <w:t>Regulations other than r. 1 and 2: 12 Feb 2022 (see r. 2(b))</w:t>
            </w:r>
          </w:p>
        </w:tc>
      </w:tr>
    </w:tbl>
    <w:p>
      <w:pPr>
        <w:pStyle w:val="nHeading3"/>
      </w:pPr>
      <w:bookmarkStart w:id="6" w:name="_Toc161750266"/>
      <w:r>
        <w:t>Uncommenced provisions table</w:t>
      </w:r>
      <w:bookmarkEnd w:id="6"/>
    </w:p>
    <w:p>
      <w:pPr>
        <w:pStyle w:val="nStatement"/>
        <w:keepNext/>
        <w:spacing w:after="240"/>
      </w:pPr>
      <w:r>
        <w:t xml:space="preserve">To view the text of the uncommenced provisions see </w:t>
      </w:r>
      <w:r>
        <w:rPr>
          <w:i/>
          <w:iCs/>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Workers Compensation and Injury Management Act 2023</w:t>
            </w:r>
            <w:r>
              <w:rPr>
                <w:iCs/>
              </w:rPr>
              <w:t xml:space="preserve"> s. 623 assented to 24 Oct 2023</w:t>
            </w:r>
          </w:p>
        </w:tc>
        <w:tc>
          <w:tcPr>
            <w:tcW w:w="2693" w:type="dxa"/>
          </w:tcPr>
          <w:p>
            <w:pPr>
              <w:pStyle w:val="nTable"/>
              <w:spacing w:after="40"/>
            </w:pPr>
            <w:r>
              <w:t>1 Jul 2024 (see s. 2(d) and SL 2024/34 cl. 2)</w:t>
            </w:r>
          </w:p>
        </w:tc>
      </w:tr>
    </w:tbl>
    <w:p>
      <w:pPr>
        <w:pStyle w:val="nHeading3"/>
      </w:pPr>
      <w:bookmarkStart w:id="7" w:name="_Toc161750267"/>
      <w:r>
        <w:t>Other notes</w:t>
      </w:r>
      <w:bookmarkEnd w:id="7"/>
    </w:p>
    <w:p>
      <w:pPr>
        <w:pStyle w:val="nNote"/>
        <w:keepNext/>
        <w:keepLines/>
        <w:spacing w:beforeLines="120" w:before="288"/>
      </w:pPr>
      <w:r>
        <w:rPr>
          <w:vertAlign w:val="superscript"/>
        </w:rPr>
        <w:t>1</w:t>
      </w:r>
      <w:r>
        <w:tab/>
        <w:t xml:space="preserve">Formerly referred to the </w:t>
      </w:r>
      <w:r>
        <w:rPr>
          <w:i/>
          <w:iCs/>
        </w:rPr>
        <w:t>Workers’ Compensation and Rehabilitation (Acts of Terrorism) Act 2001</w:t>
      </w:r>
      <w:r>
        <w:t xml:space="preserve"> the short title of which was changed to the </w:t>
      </w:r>
      <w:r>
        <w:rPr>
          <w:i/>
          <w:iCs/>
        </w:rPr>
        <w:t>Workers’ Compensation and Injury Management (Acts of Terrorism) Act 2001</w:t>
      </w:r>
      <w:r>
        <w:t xml:space="preserve"> by the </w:t>
      </w:r>
      <w:r>
        <w:rPr>
          <w:i/>
          <w:iCs/>
          <w:snapToGrid w:val="0"/>
          <w:sz w:val="19"/>
        </w:rPr>
        <w:t>Workers’ Compensation Reform Act 2004 s</w:t>
      </w:r>
      <w:r>
        <w:t>. 171(2).</w:t>
      </w:r>
    </w:p>
    <w:p>
      <w:pPr>
        <w:pStyle w:val="nNote"/>
        <w:keepNext/>
        <w:spacing w:beforeLines="120" w:before="288"/>
        <w:rPr>
          <w:iCs/>
        </w:rPr>
      </w:pPr>
      <w:r>
        <w:rPr>
          <w:vertAlign w:val="superscript"/>
        </w:rPr>
        <w:t>2</w:t>
      </w:r>
      <w:r>
        <w:tab/>
        <w:t xml:space="preserve">Now known as the </w:t>
      </w:r>
      <w:r>
        <w:rPr>
          <w:i/>
          <w:iCs/>
        </w:rPr>
        <w:t>Workers’ Compensation and Injury Management (Acts of Terrorism) (Final Day</w:t>
      </w:r>
      <w:r>
        <w:rPr>
          <w:i/>
        </w:rPr>
        <w:t>) Regulations 2002</w:t>
      </w:r>
      <w:r>
        <w:rPr>
          <w:iCs/>
        </w:rPr>
        <w:t>; citation changed (see note under r. 1).</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799294"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1EA05D7" w14:textId="3C0A52C1" w:rsidR="0013480E" w:rsidRDefault="000915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7D33">
                        <w:rPr>
                          <w:sz w:val="16"/>
                        </w:rPr>
                        <w:t>2023</w:t>
                      </w:r>
                      <w:r>
                        <w:rPr>
                          <w:sz w:val="16"/>
                        </w:rPr>
                        <w:fldChar w:fldCharType="end"/>
                      </w:r>
                      <w:r>
                        <w:rPr>
                          <w:sz w:val="16"/>
                        </w:rPr>
                        <w:t>.</w:t>
                      </w:r>
                    </w:p>
                    <w:p w14:paraId="49EEE98A" w14:textId="77777777" w:rsidR="0013480E" w:rsidRDefault="000915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822434" w14:textId="1DE9EDAF" w:rsidR="0013480E" w:rsidRDefault="000915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7D33">
                        <w:rPr>
                          <w:sz w:val="16"/>
                        </w:rPr>
                        <w:t>2023</w:t>
                      </w:r>
                      <w:r>
                        <w:rPr>
                          <w:sz w:val="16"/>
                        </w:rPr>
                        <w:fldChar w:fldCharType="end"/>
                      </w:r>
                      <w:r>
                        <w:rPr>
                          <w:sz w:val="16"/>
                        </w:rPr>
                        <w:t>.</w:t>
                      </w:r>
                    </w:p>
                    <w:p w14:paraId="34B3CD43" w14:textId="77777777" w:rsidR="0013480E" w:rsidRDefault="0009153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(Final Day)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(Final Day)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(Final Day)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(Final Day)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(Final Day)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(Final Day)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 w:name="Compilation"/>
    <w:bookmarkEnd w:id="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 w:name="Coversheet"/>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0CF6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7E77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7AA51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5A28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02AA2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2E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ECD9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F216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98AD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4035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24E55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53921"/>
    <w:docVar w:name="WAFER_20140116101652" w:val="RemoveTocBookmarks,RemoveUnusedBookmarks,RemoveLanguageTags,UsedStyles,ResetPageSize,UpdateArrangement"/>
    <w:docVar w:name="WAFER_20140116101652_GUID" w:val="df3b904c-988a-4aa8-80dd-898d90d3083a"/>
    <w:docVar w:name="WAFER_20140116103227" w:val="RemoveTocBookmarks,RunningHeaders"/>
    <w:docVar w:name="WAFER_20140116103227_GUID" w:val="5e46b46c-3d92-467f-b426-46a697b9d86d"/>
    <w:docVar w:name="WAFER_20150722095042" w:val="ResetPageSize,UpdateArrangement,UpdateNTable"/>
    <w:docVar w:name="WAFER_20150722095042_GUID" w:val="3a951530-e35d-4d84-9d1c-3940bedf6638"/>
    <w:docVar w:name="WAFER_20151112114037" w:val="UpdateStyles,UsedStyles"/>
    <w:docVar w:name="WAFER_20151112114037_GUID" w:val="6333ff5d-8c1d-468a-8e2d-cc47938f0d40"/>
    <w:docVar w:name="WAFER_20190221154934" w:val="RemoveTocBookmarks,RemoveUnusedBookmarks,RemoveLanguageTags,UsedStyles,ResetPageSize"/>
    <w:docVar w:name="WAFER_20190221154934_GUID" w:val="fd053ac7-9d55-419e-bf06-2c09a9ce9d59"/>
    <w:docVar w:name="WAFER_20220208135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08135400_GUID" w:val="cacea7aa-1ffe-4030-9b65-14a0d95424f9"/>
    <w:docVar w:name="WAFER_20231025161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5161950_GUID" w:val="5d46b714-1580-4ca2-aeae-944f96e88f44"/>
    <w:docVar w:name="WAFER_20231229094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37_GUID" w:val="38dbf231-d1cf-4328-b6c6-2a0719dcafae"/>
    <w:docVar w:name="WAFER_20240315092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008_GUID" w:val="2bc3eeb1-d8cb-4fbe-8971-59c2689f5b97"/>
    <w:docVar w:name="WAFER_20240318153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921_GUID" w:val="957248d2-face-4e7c-8177-d3685cfc81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9F38EE65-8F81-4D89-B6C8-869C650E9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4017</Characters>
  <Application>Microsoft Office Word</Application>
  <DocSecurity>0</DocSecurity>
  <Lines>174</Lines>
  <Paragraphs>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(Final Day) Regulations 2002 - 01-g0-02</dc:title>
  <dc:subject/>
  <dc:creator/>
  <cp:keywords/>
  <dc:description/>
  <cp:lastModifiedBy>Master Repository Process</cp:lastModifiedBy>
  <cp:revision>4</cp:revision>
  <cp:lastPrinted>2009-02-26T02:24:00Z</cp:lastPrinted>
  <dcterms:created xsi:type="dcterms:W3CDTF">2025-05-28T05:06:00Z</dcterms:created>
  <dcterms:modified xsi:type="dcterms:W3CDTF">2025-05-28T05:06:00Z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December 2002 p. 5714</vt:lpwstr>
  </property>
  <property fmtid="{D5CDD505-2E9C-101B-9397-08002B2CF9AE}" pid="3" name="DocumentType">
    <vt:lpwstr>Reg</vt:lpwstr>
  </property>
  <property fmtid="{D5CDD505-2E9C-101B-9397-08002B2CF9AE}" pid="4" name="OwlsUID">
    <vt:i4>4120</vt:i4>
  </property>
  <property fmtid="{D5CDD505-2E9C-101B-9397-08002B2CF9AE}" pid="5" name="ReprintNo">
    <vt:lpwstr>1</vt:lpwstr>
  </property>
  <property fmtid="{D5CDD505-2E9C-101B-9397-08002B2CF9AE}" pid="6" name="AsAtDate">
    <vt:lpwstr>24 Oct 2023</vt:lpwstr>
  </property>
  <property fmtid="{D5CDD505-2E9C-101B-9397-08002B2CF9AE}" pid="7" name="Suffix">
    <vt:lpwstr>01-g0-02</vt:lpwstr>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ies>
</file>