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_Toc200720403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_Toc200720404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_Toc200720405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_Toc200720406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_Toc200720407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_Toc200720408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_Toc200720409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_Toc200720410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_Toc200720411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_Toc200720412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_Toc200720413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_Toc200720414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_Toc200720415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_Toc200720416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pPr>
        <w:pStyle w:val="TOC4"/>
        <w:tabs>
          <w:tab w:val="right" w:pos="7077"/>
        </w:tabs>
        <w:rPr>
          <w:rFonts w:asciiTheme="minorHAnsi" w:eastAsiaTheme="minorEastAsia" w:hAnsiTheme="minorHAnsi" w:cstheme="minorBidi"/>
          <w:b w:val="0"/>
          <w:szCs w:val="22"/>
        </w:rPr>
      </w:pPr>
      <w:r>
        <w:t>Part 1 — Medical specialists and other medical practitioners</w:t>
      </w:r>
    </w:p>
    <w:p>
      <w:pPr>
        <w:pStyle w:val="TOC6"/>
        <w:tabs>
          <w:tab w:val="right" w:pos="7077"/>
        </w:tabs>
        <w:rPr>
          <w:rFonts w:asciiTheme="minorHAnsi" w:eastAsiaTheme="minorEastAsia" w:hAnsiTheme="minorHAnsi" w:cstheme="minorBidi"/>
          <w:b w:val="0"/>
          <w:sz w:val="22"/>
          <w:szCs w:val="22"/>
        </w:rPr>
      </w:pPr>
      <w:r>
        <w:t>Division 1 — Procedures</w:t>
      </w:r>
    </w:p>
    <w:p>
      <w:pPr>
        <w:pStyle w:val="TOC6"/>
        <w:tabs>
          <w:tab w:val="right" w:pos="7077"/>
        </w:tabs>
        <w:rPr>
          <w:rFonts w:asciiTheme="minorHAnsi" w:eastAsiaTheme="minorEastAsia" w:hAnsiTheme="minorHAnsi" w:cstheme="minorBidi"/>
          <w:b w:val="0"/>
          <w:sz w:val="22"/>
          <w:szCs w:val="22"/>
        </w:rPr>
      </w:pPr>
      <w:r>
        <w:t>Division 2 — Therapeutic and diagnostic services</w:t>
      </w:r>
    </w:p>
    <w:p>
      <w:pPr>
        <w:pStyle w:val="TOC4"/>
        <w:tabs>
          <w:tab w:val="right" w:pos="7077"/>
        </w:tabs>
        <w:rPr>
          <w:rFonts w:asciiTheme="minorHAnsi" w:eastAsiaTheme="minorEastAsia" w:hAnsiTheme="minorHAnsi" w:cstheme="minorBidi"/>
          <w:b w:val="0"/>
          <w:szCs w:val="22"/>
        </w:rPr>
      </w:pPr>
      <w:r>
        <w:t>Part 2 — Medical procedures</w:t>
      </w:r>
    </w:p>
    <w:p>
      <w:pPr>
        <w:pStyle w:val="TOC4"/>
        <w:tabs>
          <w:tab w:val="right" w:pos="7077"/>
        </w:tabs>
        <w:rPr>
          <w:rFonts w:asciiTheme="minorHAnsi" w:eastAsiaTheme="minorEastAsia" w:hAnsiTheme="minorHAnsi" w:cstheme="minorBidi"/>
          <w:b w:val="0"/>
          <w:szCs w:val="22"/>
        </w:rPr>
      </w:pPr>
      <w:r>
        <w:t>Part 3 — Diagnostic Imaging Services</w:t>
      </w:r>
    </w:p>
    <w:p>
      <w:pPr>
        <w:pStyle w:val="TOC2"/>
        <w:tabs>
          <w:tab w:val="right" w:pos="7077"/>
        </w:tabs>
        <w:rPr>
          <w:rFonts w:asciiTheme="minorHAnsi" w:eastAsiaTheme="minorEastAsia" w:hAnsiTheme="minorHAnsi" w:cstheme="minorBidi"/>
          <w:b w:val="0"/>
          <w:sz w:val="22"/>
          <w:szCs w:val="22"/>
        </w:rPr>
      </w:pPr>
      <w:r>
        <w:t>Schedule 2 — Scale of fees: physiotherapists</w:t>
      </w:r>
    </w:p>
    <w:p>
      <w:pPr>
        <w:pStyle w:val="TOC4"/>
        <w:tabs>
          <w:tab w:val="right" w:pos="7077"/>
        </w:tabs>
        <w:rPr>
          <w:rFonts w:asciiTheme="minorHAnsi" w:eastAsiaTheme="minorEastAsia" w:hAnsiTheme="minorHAnsi" w:cstheme="minorBidi"/>
          <w:b w:val="0"/>
          <w:szCs w:val="22"/>
        </w:rPr>
      </w:pPr>
      <w:r>
        <w:t>Part 1 — General</w:t>
      </w:r>
    </w:p>
    <w:p>
      <w:pPr>
        <w:pStyle w:val="TOC4"/>
        <w:tabs>
          <w:tab w:val="right" w:pos="7077"/>
        </w:tabs>
        <w:rPr>
          <w:rFonts w:asciiTheme="minorHAnsi" w:eastAsiaTheme="minorEastAsia" w:hAnsiTheme="minorHAnsi" w:cstheme="minorBidi"/>
          <w:b w:val="0"/>
          <w:szCs w:val="22"/>
        </w:rPr>
      </w:pPr>
      <w:r>
        <w:t>Part 2 — Exercise based programs</w:t>
      </w:r>
    </w:p>
    <w:p>
      <w:pPr>
        <w:pStyle w:val="TOC2"/>
        <w:tabs>
          <w:tab w:val="right" w:pos="7077"/>
        </w:tabs>
        <w:rPr>
          <w:rFonts w:asciiTheme="minorHAnsi" w:eastAsiaTheme="minorEastAsia" w:hAnsiTheme="minorHAnsi" w:cstheme="minorBidi"/>
          <w:b w:val="0"/>
          <w:sz w:val="22"/>
          <w:szCs w:val="22"/>
        </w:rPr>
      </w:pPr>
      <w:r>
        <w:t>Schedule 3 — Scale of fees: chiropractors</w:t>
      </w:r>
    </w:p>
    <w:p>
      <w:pPr>
        <w:pStyle w:val="TOC2"/>
        <w:tabs>
          <w:tab w:val="right" w:pos="7077"/>
        </w:tabs>
        <w:rPr>
          <w:rFonts w:asciiTheme="minorHAnsi" w:eastAsiaTheme="minorEastAsia" w:hAnsiTheme="minorHAnsi" w:cstheme="minorBidi"/>
          <w:b w:val="0"/>
          <w:sz w:val="22"/>
          <w:szCs w:val="22"/>
        </w:rPr>
      </w:pPr>
      <w:r>
        <w:t>Schedule 4 — Scale of fees: occupational therapists</w:t>
      </w:r>
    </w:p>
    <w:p>
      <w:pPr>
        <w:pStyle w:val="TOC2"/>
        <w:tabs>
          <w:tab w:val="right" w:pos="7077"/>
        </w:tabs>
        <w:rPr>
          <w:rFonts w:asciiTheme="minorHAnsi" w:eastAsiaTheme="minorEastAsia" w:hAnsiTheme="minorHAnsi" w:cstheme="minorBidi"/>
          <w:b w:val="0"/>
          <w:sz w:val="22"/>
          <w:szCs w:val="22"/>
        </w:rPr>
      </w:pPr>
      <w:r>
        <w:t>Schedule 5 — Scale of fees: speech pathologists</w:t>
      </w:r>
    </w:p>
    <w:p>
      <w:pPr>
        <w:pStyle w:val="TOC2"/>
        <w:tabs>
          <w:tab w:val="right" w:pos="7077"/>
        </w:tabs>
        <w:rPr>
          <w:rFonts w:asciiTheme="minorHAnsi" w:eastAsiaTheme="minorEastAsia" w:hAnsiTheme="minorHAnsi" w:cstheme="minorBidi"/>
          <w:b w:val="0"/>
          <w:sz w:val="22"/>
          <w:szCs w:val="22"/>
        </w:rPr>
      </w:pPr>
      <w:r>
        <w:t>Schedule 5A — Scale of fees: exercise physiologists</w:t>
      </w:r>
    </w:p>
    <w:p>
      <w:pPr>
        <w:pStyle w:val="TOC4"/>
        <w:tabs>
          <w:tab w:val="right" w:pos="7077"/>
        </w:tabs>
        <w:rPr>
          <w:rFonts w:asciiTheme="minorHAnsi" w:eastAsiaTheme="minorEastAsia" w:hAnsiTheme="minorHAnsi" w:cstheme="minorBidi"/>
          <w:b w:val="0"/>
          <w:szCs w:val="22"/>
        </w:rPr>
      </w:pPr>
      <w:r>
        <w:t>Exercise</w:t>
      </w:r>
      <w:r>
        <w:noBreakHyphen/>
        <w:t>based programs</w:t>
      </w:r>
    </w:p>
    <w:p>
      <w:pPr>
        <w:pStyle w:val="TOC2"/>
        <w:tabs>
          <w:tab w:val="righ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pos="7077"/>
        </w:tabs>
        <w:rPr>
          <w:rFonts w:asciiTheme="minorHAnsi" w:eastAsiaTheme="minorEastAsia" w:hAnsiTheme="minorHAnsi" w:cstheme="minorBidi"/>
          <w:b w:val="0"/>
          <w:szCs w:val="22"/>
        </w:rPr>
      </w:pPr>
      <w:r>
        <w:t>Part 1 — Assessments</w:t>
      </w:r>
    </w:p>
    <w:p>
      <w:pPr>
        <w:pStyle w:val="TOC4"/>
        <w:tabs>
          <w:tab w:val="right" w:pos="7077"/>
        </w:tabs>
        <w:rPr>
          <w:rFonts w:asciiTheme="minorHAnsi" w:eastAsiaTheme="minorEastAsia" w:hAnsiTheme="minorHAnsi" w:cstheme="minorBidi"/>
          <w:b w:val="0"/>
          <w:szCs w:val="22"/>
        </w:rPr>
      </w:pPr>
      <w:r>
        <w:t>Part 2 — Attempted assessments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_Toc200720435 \h </w:instrText>
      </w:r>
      <w:r>
        <w:fldChar w:fldCharType="separate"/>
      </w:r>
      <w:r>
        <w:t>81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_Toc200720436 \h </w:instrText>
      </w:r>
      <w:r>
        <w:fldChar w:fldCharType="separate"/>
      </w:r>
      <w:r>
        <w:t>85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_Toc200720437 \h </w:instrText>
      </w:r>
      <w:r>
        <w:fldChar w:fldCharType="separate"/>
      </w:r>
      <w:r>
        <w:t>85</w:t>
      </w:r>
      <w:r>
        <w:fldChar w:fldCharType="end"/>
      </w:r>
    </w:p>
    <w:p>
      <w:pPr>
        <w:pStyle w:val="TOC2"/>
        <w:tabs>
          <w:tab w:val="righ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2" w:name="_Toc200720403"/>
      <w:r>
        <w:rPr>
          <w:rStyle w:val="CharSectno"/>
        </w:rPr>
        <w:t>1</w:t>
      </w:r>
      <w:r>
        <w:rPr>
          <w:snapToGrid w:val="0"/>
        </w:rPr>
        <w:t>.</w:t>
      </w:r>
      <w:r>
        <w:rPr>
          <w:snapToGrid w:val="0"/>
        </w:rPr>
        <w:tab/>
        <w:t>Citation</w:t>
      </w:r>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200720404"/>
      <w:r>
        <w:rPr>
          <w:rStyle w:val="CharSectno"/>
        </w:rPr>
        <w:t>2</w:t>
      </w:r>
      <w:r>
        <w:rPr>
          <w:snapToGrid w:val="0"/>
        </w:rPr>
        <w:t>.</w:t>
      </w:r>
      <w:r>
        <w:rPr>
          <w:snapToGrid w:val="0"/>
        </w:rPr>
        <w:tab/>
        <w:t>Scales of fees — medical specialists and other medical practitioners</w:t>
      </w:r>
      <w:bookmarkEnd w:id="3"/>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2022.</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w:t>
      </w:r>
    </w:p>
    <w:p>
      <w:pPr>
        <w:pStyle w:val="Heading5"/>
        <w:rPr>
          <w:snapToGrid w:val="0"/>
        </w:rPr>
      </w:pPr>
      <w:bookmarkStart w:id="4" w:name="_Toc200720405"/>
      <w:r>
        <w:rPr>
          <w:rStyle w:val="CharSectno"/>
        </w:rPr>
        <w:lastRenderedPageBreak/>
        <w:t>3</w:t>
      </w:r>
      <w:r>
        <w:rPr>
          <w:snapToGrid w:val="0"/>
        </w:rPr>
        <w:t>.</w:t>
      </w:r>
      <w:r>
        <w:rPr>
          <w:snapToGrid w:val="0"/>
        </w:rPr>
        <w:tab/>
        <w:t>Scale of fees — physiotherapists</w:t>
      </w:r>
      <w:bookmarkEnd w:id="4"/>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5" w:name="_Toc200720406"/>
      <w:r>
        <w:rPr>
          <w:rStyle w:val="CharSectno"/>
        </w:rPr>
        <w:t>4</w:t>
      </w:r>
      <w:r>
        <w:rPr>
          <w:snapToGrid w:val="0"/>
        </w:rPr>
        <w:t>.</w:t>
      </w:r>
      <w:r>
        <w:rPr>
          <w:snapToGrid w:val="0"/>
        </w:rPr>
        <w:tab/>
        <w:t>Scale of fees — chiropractors</w:t>
      </w:r>
      <w:bookmarkEnd w:id="5"/>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6" w:name="_Toc200720407"/>
      <w:r>
        <w:rPr>
          <w:rStyle w:val="CharSectno"/>
        </w:rPr>
        <w:t>5</w:t>
      </w:r>
      <w:r>
        <w:rPr>
          <w:snapToGrid w:val="0"/>
        </w:rPr>
        <w:t>.</w:t>
      </w:r>
      <w:r>
        <w:rPr>
          <w:snapToGrid w:val="0"/>
        </w:rPr>
        <w:tab/>
        <w:t>Scale of fees — occupational therapists</w:t>
      </w:r>
      <w:bookmarkEnd w:id="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7" w:name="_Toc200720408"/>
      <w:r>
        <w:rPr>
          <w:rStyle w:val="CharSectno"/>
        </w:rPr>
        <w:t>6</w:t>
      </w:r>
      <w:r>
        <w:t>.</w:t>
      </w:r>
      <w:r>
        <w:tab/>
        <w:t>Scale of fees — clinical psychologists</w:t>
      </w:r>
      <w:bookmarkEnd w:id="7"/>
    </w:p>
    <w:p>
      <w:pPr>
        <w:pStyle w:val="Subsection"/>
      </w:pPr>
      <w:r>
        <w:tab/>
        <w:t>(1)</w:t>
      </w:r>
      <w:r>
        <w:tab/>
        <w:t>Under section 292(2)(a)(vi) of the Act, the hourly rate of $268.25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w:t>
      </w:r>
    </w:p>
    <w:p>
      <w:pPr>
        <w:pStyle w:val="Heading5"/>
      </w:pPr>
      <w:bookmarkStart w:id="8" w:name="_Toc200720409"/>
      <w:r>
        <w:rPr>
          <w:rStyle w:val="CharSectno"/>
        </w:rPr>
        <w:t>6A</w:t>
      </w:r>
      <w:r>
        <w:t>.</w:t>
      </w:r>
      <w:r>
        <w:tab/>
        <w:t>Scale of fees — counselling psychology</w:t>
      </w:r>
      <w:bookmarkEnd w:id="8"/>
    </w:p>
    <w:p>
      <w:pPr>
        <w:pStyle w:val="Subsection"/>
      </w:pPr>
      <w:r>
        <w:tab/>
      </w:r>
      <w:r>
        <w:tab/>
        <w:t>Under section 292(2)(a)(viii) of the Act, the hourly rate of $268.25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rPr>
          <w:snapToGrid w:val="0"/>
        </w:rPr>
      </w:pPr>
      <w:bookmarkStart w:id="9" w:name="_Toc200720410"/>
      <w:r>
        <w:rPr>
          <w:rStyle w:val="CharSectno"/>
        </w:rPr>
        <w:t>7</w:t>
      </w:r>
      <w:r>
        <w:rPr>
          <w:snapToGrid w:val="0"/>
        </w:rPr>
        <w:t>.</w:t>
      </w:r>
      <w:r>
        <w:rPr>
          <w:snapToGrid w:val="0"/>
        </w:rPr>
        <w:tab/>
        <w:t>Scale of fees — speech pathologists</w:t>
      </w:r>
      <w:bookmarkEnd w:id="9"/>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0" w:name="_Toc200720411"/>
      <w:r>
        <w:rPr>
          <w:rStyle w:val="CharSectno"/>
        </w:rPr>
        <w:lastRenderedPageBreak/>
        <w:t>7A</w:t>
      </w:r>
      <w:r>
        <w:t>.</w:t>
      </w:r>
      <w:r>
        <w:tab/>
        <w:t>Scale of fees — osteopaths</w:t>
      </w:r>
      <w:bookmarkEnd w:id="10"/>
    </w:p>
    <w:p>
      <w:pPr>
        <w:pStyle w:val="Subsection"/>
      </w:pPr>
      <w:r>
        <w:tab/>
      </w:r>
      <w:r>
        <w:tab/>
        <w:t xml:space="preserve">Under section 292(2)(a)(viii) of the Act, the amount of $84.80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1" w:name="_Toc200720412"/>
      <w:r>
        <w:rPr>
          <w:rStyle w:val="CharSectno"/>
        </w:rPr>
        <w:t>7B</w:t>
      </w:r>
      <w:r>
        <w:t>.</w:t>
      </w:r>
      <w:r>
        <w:tab/>
        <w:t>Scale of fees — exercise physiologists</w:t>
      </w:r>
      <w:bookmarkEnd w:id="1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2" w:name="_Toc200720413"/>
      <w:r>
        <w:rPr>
          <w:rStyle w:val="CharSectno"/>
        </w:rPr>
        <w:t>7C</w:t>
      </w:r>
      <w:r>
        <w:t>.</w:t>
      </w:r>
      <w:r>
        <w:tab/>
        <w:t>Scale of fees — acupuncturists</w:t>
      </w:r>
      <w:bookmarkEnd w:id="12"/>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keepNext/>
      </w:pPr>
      <w:r>
        <w:tab/>
        <w:t>(2)</w:t>
      </w:r>
      <w:r>
        <w:tab/>
        <w:t xml:space="preserve">Under section 292(2)(a)(viii) of the Act, the fixed fee of $82.80 for each consultation is prescribed as the fee to be paid to an </w:t>
      </w:r>
      <w:r>
        <w:lastRenderedPageBreak/>
        <w:t xml:space="preserve">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5.]</w:t>
      </w:r>
    </w:p>
    <w:p>
      <w:pPr>
        <w:pStyle w:val="Heading5"/>
        <w:rPr>
          <w:snapToGrid w:val="0"/>
        </w:rPr>
      </w:pPr>
      <w:bookmarkStart w:id="13" w:name="_Toc200720414"/>
      <w:r>
        <w:rPr>
          <w:rStyle w:val="CharSectno"/>
        </w:rPr>
        <w:t>8</w:t>
      </w:r>
      <w:r>
        <w:rPr>
          <w:snapToGrid w:val="0"/>
        </w:rPr>
        <w:t>.</w:t>
      </w:r>
      <w:r>
        <w:rPr>
          <w:snapToGrid w:val="0"/>
        </w:rPr>
        <w:tab/>
        <w:t>Scale of fees — vocational rehabilitation providers</w:t>
      </w:r>
      <w:bookmarkEnd w:id="13"/>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$200.10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4" w:name="_Toc200720415"/>
      <w:r>
        <w:rPr>
          <w:rStyle w:val="CharSectno"/>
        </w:rPr>
        <w:t>9</w:t>
      </w:r>
      <w:r>
        <w:t>.</w:t>
      </w:r>
      <w:r>
        <w:tab/>
        <w:t>Scale of maximum fees — approved medical specialists</w:t>
      </w:r>
      <w:bookmarkEnd w:id="14"/>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lastRenderedPageBreak/>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5" w:name="_Toc200720416"/>
      <w:r>
        <w:rPr>
          <w:rStyle w:val="CharSectno"/>
        </w:rPr>
        <w:t>10</w:t>
      </w:r>
      <w:r>
        <w:t>.</w:t>
      </w:r>
      <w:r>
        <w:tab/>
        <w:t>Effect of GST</w:t>
      </w:r>
      <w:bookmarkEnd w:id="15"/>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 w:name="_Toc200720417"/>
      <w:r>
        <w:rPr>
          <w:rStyle w:val="CharSchNo"/>
        </w:rPr>
        <w:lastRenderedPageBreak/>
        <w:t>Schedule 1</w:t>
      </w:r>
      <w:r>
        <w:t> — </w:t>
      </w:r>
      <w:r>
        <w:rPr>
          <w:rStyle w:val="CharSchText"/>
        </w:rPr>
        <w:t>Scale of fees: medical specialists and other medical practitioners</w:t>
      </w:r>
      <w:bookmarkEnd w:id="16"/>
    </w:p>
    <w:p>
      <w:pPr>
        <w:pStyle w:val="yShoulderClause"/>
      </w:pPr>
      <w:r>
        <w:t>[r. 2]</w:t>
      </w:r>
    </w:p>
    <w:p>
      <w:pPr>
        <w:pStyle w:val="yFootnoteheading"/>
      </w:pPr>
      <w:r>
        <w:tab/>
        <w:t>[Heading inserted: SL 2022/164 r. 6.]</w:t>
      </w:r>
    </w:p>
    <w:p>
      <w:pPr>
        <w:pStyle w:val="yHeading3"/>
      </w:pPr>
      <w:bookmarkStart w:id="17" w:name="_Toc200720418"/>
      <w:r>
        <w:rPr>
          <w:rStyle w:val="CharSDivNo"/>
        </w:rPr>
        <w:t>Part 1</w:t>
      </w:r>
      <w:r>
        <w:t> — </w:t>
      </w:r>
      <w:r>
        <w:rPr>
          <w:rStyle w:val="CharSDivText"/>
        </w:rPr>
        <w:t>Medical specialists and other medical practitioners</w:t>
      </w:r>
      <w:bookmarkEnd w:id="17"/>
    </w:p>
    <w:p>
      <w:pPr>
        <w:pStyle w:val="yFootnoteheading"/>
      </w:pPr>
      <w:r>
        <w:tab/>
        <w:t>[Heading inserted: SL 2022/164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$83.45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$152.35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$234.00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$49.75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$64.80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$189.30</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$256.50</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$62.65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$227.80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$352.70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$99.10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$107.50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$166.55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$227.80</w:t>
            </w:r>
          </w:p>
        </w:tc>
      </w:tr>
    </w:tbl>
    <w:p>
      <w:pPr>
        <w:pStyle w:val="yMiscellaneousHeading"/>
        <w:jc w:val="left"/>
      </w:pPr>
      <w:r>
        <w:t>VISITS</w:t>
      </w:r>
    </w:p>
    <w:p>
      <w:pPr>
        <w:pStyle w:val="yMiscellaneousHeading"/>
        <w:jc w:val="left"/>
      </w:pPr>
      <w:r>
        <w:t>Consultations at a place other than the Consulting Rooms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$104.35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$142.60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$211.60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$294.90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$125.10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$186.05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$285.45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$416.85</w:t>
            </w:r>
          </w:p>
        </w:tc>
      </w:tr>
    </w:tbl>
    <w:p>
      <w:pPr>
        <w:pStyle w:val="yMiscellaneousHeading"/>
        <w:keepNext w:val="0"/>
        <w:jc w:val="left"/>
      </w:pPr>
      <w:r>
        <w:lastRenderedPageBreak/>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$313.65</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$316.65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$158.35</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$218.65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$316.65</w:t>
            </w:r>
          </w:p>
        </w:tc>
      </w:tr>
      <w:t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lastRenderedPageBreak/>
              <w:t>first attendance</w:t>
            </w:r>
          </w:p>
        </w:tc>
        <w:tc>
          <w:tcPr>
            <w:tcW w:w="1134" w:type="dxa"/>
            <w:noWrap/>
            <w:vAlign w:val="bottom"/>
          </w:tcPr>
          <w:p>
            <w:pPr>
              <w:pStyle w:val="yTableNAm"/>
              <w:jc w:val="right"/>
            </w:pPr>
            <w: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$321.75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$379.00</w:t>
            </w:r>
          </w:p>
        </w:tc>
      </w:tr>
      <w:t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t>$107.05</w:t>
            </w:r>
          </w:p>
        </w:tc>
      </w:tr>
      <w:tr>
        <w:tc>
          <w:tcPr>
            <w:tcW w:w="5245" w:type="dxa"/>
            <w:noWrap/>
          </w:tcPr>
          <w:p>
            <w:pPr>
              <w:pStyle w:val="yTableNAm"/>
            </w:pPr>
            <w:r>
              <w:tab/>
              <w:t>more than 30 minutes</w:t>
            </w:r>
          </w:p>
        </w:tc>
        <w:tc>
          <w:tcPr>
            <w:tcW w:w="1134" w:type="dxa"/>
            <w:noWrap/>
            <w:vAlign w:val="bottom"/>
          </w:tcPr>
          <w:p>
            <w:pPr>
              <w:pStyle w:val="yTableNAm"/>
              <w:jc w:val="right"/>
            </w:pPr>
            <w: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jc w:val="left"/>
        <w:rPr>
          <w:b/>
          <w:i/>
        </w:rPr>
      </w:pPr>
      <w:r>
        <w:rPr>
          <w:b/>
          <w:i/>
        </w:rPr>
        <w:lastRenderedPageBreak/>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$92.90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$185.25</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$277.45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$371.25</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$420.10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$468.85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$246.15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$335.95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$429.75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$517.95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$123.30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$268.90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lastRenderedPageBreak/>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$154.70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$242.20</w:t>
            </w:r>
          </w:p>
        </w:tc>
      </w:tr>
      <w:tr>
        <w:trPr>
          <w:cantSplit/>
        </w:trPr>
        <w:tc>
          <w:tcPr>
            <w:tcW w:w="5245" w:type="dxa"/>
            <w:noWrap/>
          </w:tcPr>
          <w:p>
            <w:pPr>
              <w:pStyle w:val="yTableNAm"/>
            </w:pPr>
            <w:r>
              <w:lastRenderedPageBreak/>
              <w:t>subsequent attendances</w:t>
            </w:r>
          </w:p>
        </w:tc>
        <w:tc>
          <w:tcPr>
            <w:tcW w:w="1134" w:type="dxa"/>
            <w:noWrap/>
            <w:vAlign w:val="bottom"/>
          </w:tcPr>
          <w:p>
            <w:pPr>
              <w:pStyle w:val="yTableNAm"/>
              <w:jc w:val="right"/>
            </w:pPr>
            <w:r>
              <w:rPr>
                <w:szCs w:val="22"/>
              </w:rPr>
              <w:t>$154.35</w:t>
            </w:r>
          </w:p>
        </w:tc>
      </w:tr>
    </w:tbl>
    <w:p>
      <w:pPr>
        <w:pStyle w:val="yMiscellaneousHeading"/>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$107.05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$93.60</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lastRenderedPageBreak/>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lastRenderedPageBreak/>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lastRenderedPageBreak/>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18" w:name="_Toc200720419"/>
      <w:r>
        <w:t>Division 1 — Procedures</w:t>
      </w:r>
      <w:bookmarkEnd w:id="18"/>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lens surgery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lastRenderedPageBreak/>
              <w:t>—</w:t>
            </w:r>
            <w:r>
              <w:tab/>
              <w:t>corneal transplant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rPr>
                <w:b/>
              </w:rPr>
            </w:pPr>
            <w:r>
              <w:rPr>
                <w:b/>
              </w:rPr>
              <w:t>Neck</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lastRenderedPageBreak/>
              <w:t>Anaesthesia for all procedures on the skin or subcutaneous tissue of the neck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lastRenderedPageBreak/>
              <w:t>Anaesthesia for percutaneous bone marrow biopsy of the sternum</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rPr>
                <w:b/>
              </w:rPr>
            </w:pPr>
            <w:r>
              <w:rPr>
                <w:b/>
              </w:rPr>
              <w:t>Intrathoracic</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lastRenderedPageBreak/>
              <w:t>Cadaver harvesting of heart and/or lungs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Spine and spinal cord</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rPr>
                <w:b/>
              </w:rPr>
            </w:pPr>
            <w:r>
              <w:rPr>
                <w:b/>
              </w:rPr>
              <w:t>Upper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lastRenderedPageBreak/>
              <w:t>Anaesthesia for upper gastrointestinal endoscopic procedures in association with acute gastrointestinal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hernia repairs in upper abdomen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tabs>
                <w:tab w:val="clear" w:pos="567"/>
                <w:tab w:val="right" w:pos="403"/>
              </w:tabs>
              <w:ind w:right="142"/>
              <w:jc w:val="right"/>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lastRenderedPageBreak/>
              <w:t>Anaesthesia for all procedures on the nerves, muscles, tendons and fascia of the lower abdominal wall (with the exception of abdominal lipectomy)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lower intestinal endoscopic procedures (modifier for prone position is not applicable)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lastRenderedPageBreak/>
              <w:t>—</w:t>
            </w:r>
            <w:r>
              <w:tab/>
              <w:t>total cystectomy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major lower abdominal vessels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lastRenderedPageBreak/>
              <w:t>—</w:t>
            </w:r>
            <w:r>
              <w:tab/>
              <w:t>radical orchidectomy, inguinal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rPr>
                <w:b/>
              </w:rPr>
            </w:pPr>
            <w:r>
              <w:rPr>
                <w:b/>
              </w:rPr>
              <w:t>Pelvis — except hip</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lastRenderedPageBreak/>
              <w:t>Anaesthesia for percutaneous bone marrow biopsy of the anterior iliac crest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procedures on bony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tabs>
                <w:tab w:val="clear" w:pos="567"/>
                <w:tab w:val="right" w:pos="403"/>
              </w:tabs>
              <w:ind w:right="142"/>
              <w:jc w:val="right"/>
            </w:pPr>
            <w:r>
              <w:t>14</w:t>
            </w:r>
          </w:p>
        </w:tc>
      </w:tr>
      <w:tr>
        <w:trPr>
          <w:cantSplit/>
        </w:trPr>
        <w:tc>
          <w:tcPr>
            <w:tcW w:w="5692" w:type="dxa"/>
            <w:noWrap/>
          </w:tcPr>
          <w:p>
            <w:pPr>
              <w:pStyle w:val="yTableNAm"/>
            </w:pPr>
            <w:r>
              <w:lastRenderedPageBreak/>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involving veins of the upper leg including exploration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lastRenderedPageBreak/>
              <w:t>Anaesthesia for open procedures on the knee joint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veins of the knee and popliteal area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lastRenderedPageBreak/>
              <w:t>Anaesthesia for lower leg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the toe</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Shoulder and axilla (includes humeral head and neck, sternoclavicular joint, acromioclavicular joint and shoulder joint)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lastRenderedPageBreak/>
              <w:t>—</w:t>
            </w:r>
            <w:r>
              <w:tab/>
              <w:t>total shoulder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shoulder spica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rPr>
                <w:b/>
              </w:rPr>
            </w:pPr>
            <w:r>
              <w:rPr>
                <w:b/>
              </w:rPr>
              <w:t>Upper arm and elbow</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lastRenderedPageBreak/>
              <w:t>Anaesthesia for all procedures on the arteries of the upper arm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Forearm, wrist and hand</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radius, ulna, wrist or hand bones</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Burns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lastRenderedPageBreak/>
              <w:t>Anaesthesia for excision of debridement of burns with or without skin grafting</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tabs>
                <w:tab w:val="clear" w:pos="567"/>
                <w:tab w:val="right" w:pos="403"/>
              </w:tabs>
              <w:ind w:right="142"/>
              <w:jc w:val="right"/>
            </w:pPr>
            <w:r>
              <w:t>11</w:t>
            </w:r>
          </w:p>
        </w:tc>
      </w:tr>
      <w:tr>
        <w:trPr>
          <w:cantSplit/>
        </w:trPr>
        <w:tc>
          <w:tcPr>
            <w:tcW w:w="5692" w:type="dxa"/>
            <w:noWrap/>
          </w:tcPr>
          <w:p>
            <w:pPr>
              <w:pStyle w:val="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tabs>
                <w:tab w:val="clear" w:pos="567"/>
                <w:tab w:val="right" w:pos="403"/>
              </w:tabs>
              <w:ind w:right="142"/>
              <w:jc w:val="right"/>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tabs>
                <w:tab w:val="clear" w:pos="567"/>
                <w:tab w:val="right" w:pos="403"/>
              </w:tabs>
              <w:ind w:right="142"/>
              <w:jc w:val="right"/>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tabs>
                <w:tab w:val="clear" w:pos="567"/>
                <w:tab w:val="right" w:pos="403"/>
              </w:tabs>
              <w:ind w:right="142"/>
              <w:jc w:val="right"/>
            </w:pPr>
            <w:r>
              <w:t>21</w:t>
            </w:r>
          </w:p>
        </w:tc>
      </w:tr>
      <w:tr>
        <w:trPr>
          <w:cantSplit/>
        </w:trPr>
        <w:tc>
          <w:tcPr>
            <w:tcW w:w="5692" w:type="dxa"/>
            <w:noWrap/>
          </w:tcPr>
          <w:p>
            <w:pPr>
              <w:pStyle w:val="yTableNAm"/>
              <w:rPr>
                <w:b/>
              </w:rPr>
            </w:pPr>
            <w:r>
              <w:rPr>
                <w:b/>
              </w:rPr>
              <w:t>Other Procedures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lastRenderedPageBreak/>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arteriograms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bronchography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phlebography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lastRenderedPageBreak/>
              <w:t>Anaesthesia for muscle biopsy for malignant hyperpyrexia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therapeutic nuclear medicine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radiotherapy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keepNext w:val="0"/>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19" w:name="_Toc200720420"/>
      <w:r>
        <w:t>Division 2 — Therapeutic and diagnostic services</w:t>
      </w:r>
      <w:bookmarkEnd w:id="19"/>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lastRenderedPageBreak/>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lastRenderedPageBreak/>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lastRenderedPageBreak/>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Injection of an anaesthetic agent</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brachial plexus</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lastRenderedPageBreak/>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stellate ganglion (cervical sympathetic block)</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lastRenderedPageBreak/>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c>
          <w:tcPr>
            <w:tcW w:w="3626" w:type="dxa"/>
            <w:noWrap/>
          </w:tcPr>
          <w:p>
            <w:pPr>
              <w:pStyle w:val="yTableNAm"/>
              <w:keepNext/>
            </w:pPr>
            <w:r>
              <w:lastRenderedPageBreak/>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lastRenderedPageBreak/>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keepNext w:val="0"/>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rStyle w:val="DraftersNotes"/>
                <w:b w:val="0"/>
              </w:rPr>
            </w:pPr>
            <w:r>
              <w:rPr>
                <w:i/>
              </w:rPr>
              <w:t>For an unlisted service, the number of units is to be determined by reference to the nearest listed anaesthetic procedure.</w:t>
            </w:r>
          </w:p>
        </w:tc>
      </w:tr>
    </w:tbl>
    <w:p>
      <w:pPr>
        <w:pStyle w:val="yFootnotesection"/>
      </w:pPr>
      <w:r>
        <w:tab/>
        <w:t>[Part 1 inserted: SL 2022/164 r. 6.]</w:t>
      </w:r>
    </w:p>
    <w:p>
      <w:pPr>
        <w:pStyle w:val="yHeading3"/>
      </w:pPr>
      <w:bookmarkStart w:id="20" w:name="_Toc200720421"/>
      <w:r>
        <w:rPr>
          <w:rStyle w:val="CharSDivNo"/>
        </w:rPr>
        <w:t>Part 2</w:t>
      </w:r>
      <w:r>
        <w:t> — </w:t>
      </w:r>
      <w:r>
        <w:rPr>
          <w:rStyle w:val="CharSDivText"/>
        </w:rPr>
        <w:t>Medical procedures</w:t>
      </w:r>
      <w:bookmarkEnd w:id="20"/>
    </w:p>
    <w:p>
      <w:pPr>
        <w:pStyle w:val="yFootnoteheading"/>
        <w:keepNext/>
      </w:pPr>
      <w:r>
        <w:tab/>
        <w:t>[Heading inserted: SL 2022/164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$69.55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Extensive burns</w:t>
            </w:r>
          </w:p>
        </w:tc>
        <w:tc>
          <w:tcPr>
            <w:tcW w:w="1134" w:type="dxa"/>
            <w:noWrap/>
            <w:vAlign w:val="bottom"/>
          </w:tcPr>
          <w:p>
            <w:pPr>
              <w:pStyle w:val="yTableNAm"/>
              <w:jc w:val="right"/>
            </w:pPr>
            <w:r>
              <w:t>$120.05</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$418.45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$92.25</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lastRenderedPageBreak/>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$494.55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$158.10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$177.80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$637.45</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$315.60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$213.05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$239.50</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$319.60</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$58.00</w:t>
            </w:r>
          </w:p>
        </w:tc>
      </w:tr>
      <w:tr>
        <w:trPr>
          <w:cantSplit/>
        </w:trPr>
        <w:tc>
          <w:tcPr>
            <w:tcW w:w="5670" w:type="dxa"/>
            <w:noWrap/>
          </w:tcPr>
          <w:p>
            <w:pPr>
              <w:pStyle w:val="yTableNAm"/>
            </w:pPr>
            <w:r>
              <w:tab/>
              <w:t>superficial</w:t>
            </w:r>
          </w:p>
        </w:tc>
        <w:tc>
          <w:tcPr>
            <w:tcW w:w="1134" w:type="dxa"/>
            <w:noWrap/>
            <w:vAlign w:val="bottom"/>
          </w:tcPr>
          <w:p>
            <w:pPr>
              <w:pStyle w:val="yTableNAm"/>
              <w:jc w:val="right"/>
            </w:pPr>
            <w:r>
              <w:t>$258.70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$722.90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$186.40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$186.40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$190.30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lastRenderedPageBreak/>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$1 065.20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$475.45</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$665.65</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$266.35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$532.40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$1 065.20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$121.80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$960.65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$1 597.75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$2 139.95</w:t>
            </w:r>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$190.30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$494.55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$144.60</w:t>
            </w:r>
          </w:p>
        </w:tc>
      </w:tr>
      <w:tr>
        <w:trPr>
          <w:cantSplit/>
        </w:trPr>
        <w:tc>
          <w:tcPr>
            <w:tcW w:w="5670" w:type="dxa"/>
            <w:noWrap/>
          </w:tcPr>
          <w:p>
            <w:pPr>
              <w:pStyle w:val="yTableNAm"/>
            </w:pPr>
            <w:r>
              <w:lastRenderedPageBreak/>
              <w:tab/>
              <w:t>except face or neck, less than 7 cm, deep</w:t>
            </w:r>
          </w:p>
        </w:tc>
        <w:tc>
          <w:tcPr>
            <w:tcW w:w="1134" w:type="dxa"/>
            <w:noWrap/>
            <w:vAlign w:val="bottom"/>
          </w:tcPr>
          <w:p>
            <w:pPr>
              <w:pStyle w:val="yTableNAm"/>
              <w:jc w:val="right"/>
            </w:pPr>
            <w:r>
              <w:t>$216.85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$475.45</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$722.90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$836.95</w:t>
            </w:r>
          </w:p>
        </w:tc>
      </w:tr>
      <w:tr>
        <w:trPr>
          <w:cantSplit/>
        </w:trPr>
        <w:tc>
          <w:tcPr>
            <w:tcW w:w="5670" w:type="dxa"/>
            <w:noWrap/>
          </w:tcPr>
          <w:p>
            <w:pPr>
              <w:pStyle w:val="yTableNAm"/>
            </w:pPr>
            <w:r>
              <w:t>At shoulder</w:t>
            </w:r>
          </w:p>
        </w:tc>
        <w:tc>
          <w:tcPr>
            <w:tcW w:w="1134" w:type="dxa"/>
            <w:noWrap/>
            <w:vAlign w:val="bottom"/>
          </w:tcPr>
          <w:p>
            <w:pPr>
              <w:pStyle w:val="yTableNAm"/>
              <w:jc w:val="right"/>
            </w:pPr>
            <w:r>
              <w:t>$1 416.95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$2 815.05</w:t>
            </w:r>
          </w:p>
        </w:tc>
      </w:tr>
      <w:tr>
        <w:trPr>
          <w:cantSplit/>
        </w:trPr>
        <w:tc>
          <w:tcPr>
            <w:tcW w:w="5670" w:type="dxa"/>
            <w:noWrap/>
          </w:tcPr>
          <w:p>
            <w:pPr>
              <w:pStyle w:val="yTableNAm"/>
            </w:pPr>
            <w:r>
              <w:t>1 digit of foot</w:t>
            </w:r>
          </w:p>
        </w:tc>
        <w:tc>
          <w:tcPr>
            <w:tcW w:w="1134" w:type="dxa"/>
            <w:noWrap/>
            <w:vAlign w:val="bottom"/>
          </w:tcPr>
          <w:p>
            <w:pPr>
              <w:pStyle w:val="yTableNAm"/>
              <w:jc w:val="right"/>
            </w:pPr>
            <w:r>
              <w:t>$380.35</w:t>
            </w:r>
          </w:p>
        </w:tc>
      </w:tr>
      <w:tr>
        <w:trPr>
          <w:cantSplit/>
        </w:trPr>
        <w:tc>
          <w:tcPr>
            <w:tcW w:w="5670" w:type="dxa"/>
            <w:noWrap/>
          </w:tcPr>
          <w:p>
            <w:pPr>
              <w:pStyle w:val="yTableNAm"/>
            </w:pPr>
            <w:r>
              <w:t>2 digits of 1 foot</w:t>
            </w:r>
          </w:p>
        </w:tc>
        <w:tc>
          <w:tcPr>
            <w:tcW w:w="1134" w:type="dxa"/>
            <w:noWrap/>
            <w:vAlign w:val="bottom"/>
          </w:tcPr>
          <w:p>
            <w:pPr>
              <w:pStyle w:val="yTableNAm"/>
              <w:jc w:val="right"/>
            </w:pPr>
            <w:r>
              <w:t>$570.75</w:t>
            </w:r>
          </w:p>
        </w:tc>
      </w:tr>
      <w:tr>
        <w:trPr>
          <w:cantSplit/>
        </w:trPr>
        <w:tc>
          <w:tcPr>
            <w:tcW w:w="5670" w:type="dxa"/>
            <w:noWrap/>
          </w:tcPr>
          <w:p>
            <w:pPr>
              <w:pStyle w:val="yTableNAm"/>
            </w:pPr>
            <w:r>
              <w:t>3 digits of 1 foot</w:t>
            </w:r>
          </w:p>
        </w:tc>
        <w:tc>
          <w:tcPr>
            <w:tcW w:w="1134" w:type="dxa"/>
            <w:noWrap/>
            <w:vAlign w:val="bottom"/>
          </w:tcPr>
          <w:p>
            <w:pPr>
              <w:pStyle w:val="yTableNAm"/>
              <w:jc w:val="right"/>
            </w:pPr>
            <w:r>
              <w:t>$770.40</w:t>
            </w:r>
          </w:p>
        </w:tc>
      </w:tr>
      <w:tr>
        <w:trPr>
          <w:cantSplit/>
        </w:trPr>
        <w:tc>
          <w:tcPr>
            <w:tcW w:w="5670" w:type="dxa"/>
            <w:noWrap/>
          </w:tcPr>
          <w:p>
            <w:pPr>
              <w:pStyle w:val="yTableNAm"/>
            </w:pPr>
            <w:r>
              <w:t>4 digits of 1 foot</w:t>
            </w:r>
          </w:p>
        </w:tc>
        <w:tc>
          <w:tcPr>
            <w:tcW w:w="1134" w:type="dxa"/>
            <w:noWrap/>
            <w:vAlign w:val="bottom"/>
          </w:tcPr>
          <w:p>
            <w:pPr>
              <w:pStyle w:val="yTableNAm"/>
              <w:jc w:val="right"/>
            </w:pPr>
            <w:r>
              <w:t>$960.65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$1 150.75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$722.90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$1 236.50</w:t>
            </w:r>
          </w:p>
        </w:tc>
      </w:tr>
      <w:tr>
        <w:trPr>
          <w:cantSplit/>
        </w:trPr>
        <w:tc>
          <w:tcPr>
            <w:tcW w:w="5670" w:type="dxa"/>
            <w:noWrap/>
          </w:tcPr>
          <w:p>
            <w:pPr>
              <w:pStyle w:val="yTableNAm"/>
            </w:pPr>
            <w:r>
              <w:t>At hip</w:t>
            </w:r>
          </w:p>
        </w:tc>
        <w:tc>
          <w:tcPr>
            <w:tcW w:w="1134" w:type="dxa"/>
            <w:noWrap/>
            <w:vAlign w:val="bottom"/>
          </w:tcPr>
          <w:p>
            <w:pPr>
              <w:pStyle w:val="yTableNAm"/>
              <w:jc w:val="right"/>
            </w:pPr>
            <w:r>
              <w:t>$1 740.25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$239.50, whichever is greater.</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2022/164 r. 6.]</w:t>
      </w:r>
    </w:p>
    <w:p>
      <w:pPr>
        <w:pStyle w:val="yHeading3"/>
      </w:pPr>
      <w:bookmarkStart w:id="21" w:name="_Toc200720422"/>
      <w:r>
        <w:rPr>
          <w:rStyle w:val="CharSDivNo"/>
        </w:rPr>
        <w:lastRenderedPageBreak/>
        <w:t>Part 3</w:t>
      </w:r>
      <w:r>
        <w:t> — </w:t>
      </w:r>
      <w:r>
        <w:rPr>
          <w:rStyle w:val="CharSDivText"/>
        </w:rPr>
        <w:t>Diagnostic Imaging Services</w:t>
      </w:r>
      <w:bookmarkEnd w:id="21"/>
    </w:p>
    <w:p>
      <w:pPr>
        <w:pStyle w:val="yFootnoteheading"/>
        <w:keepNext/>
      </w:pPr>
      <w:r>
        <w:tab/>
        <w:t>[Heading inserted: SL 2022/164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237.55</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80.80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588.20</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363.10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55135</w:t>
            </w:r>
          </w:p>
        </w:tc>
        <w:tc>
          <w:tcPr>
            <w:tcW w:w="1134" w:type="dxa"/>
            <w:noWrap/>
            <w:vAlign w:val="bottom"/>
          </w:tcPr>
          <w:p>
            <w:pPr>
              <w:pStyle w:val="yTableNAm"/>
              <w:jc w:val="right"/>
            </w:pPr>
            <w:r>
              <w:t>755.00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237.15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55709</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58.20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271.10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121.65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186.50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326.35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55852</w:t>
            </w:r>
          </w:p>
        </w:tc>
        <w:tc>
          <w:tcPr>
            <w:tcW w:w="1134" w:type="dxa"/>
            <w:noWrap/>
            <w:vAlign w:val="bottom"/>
          </w:tcPr>
          <w:p>
            <w:pPr>
              <w:pStyle w:val="yTableNAm"/>
              <w:jc w:val="right"/>
            </w:pPr>
            <w:r>
              <w:t>233.05</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80.80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382.40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494.35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568.70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660.60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660.60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451.20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666.95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639.80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56233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240.10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578.55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784.25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396.10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755.00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915.05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1 098.30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915.25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1 113.40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304.30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921.75</w:t>
            </w:r>
          </w:p>
        </w:tc>
      </w:tr>
    </w:tbl>
    <w:p>
      <w:pPr>
        <w:pStyle w:val="yMiscellaneousBody"/>
        <w:keepNext/>
        <w:spacing w:after="60"/>
      </w:pPr>
      <w:r>
        <w:lastRenderedPageBreak/>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111.95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224.75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57933</w:t>
            </w:r>
          </w:p>
        </w:tc>
        <w:tc>
          <w:tcPr>
            <w:tcW w:w="1134" w:type="dxa"/>
            <w:noWrap/>
            <w:vAlign w:val="bottom"/>
          </w:tcPr>
          <w:p>
            <w:pPr>
              <w:pStyle w:val="yTableNAm"/>
              <w:jc w:val="right"/>
            </w:pPr>
            <w:r>
              <w:t>177.20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220.25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90.85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202.30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127.95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58700</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357.55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343.25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313.15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80.80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203.60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313.65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306.35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173.10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465.70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443.85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315.45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202.75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122.10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197.05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118.80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106.60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59712</w:t>
            </w:r>
          </w:p>
        </w:tc>
        <w:tc>
          <w:tcPr>
            <w:tcW w:w="1134" w:type="dxa"/>
            <w:noWrap/>
            <w:vAlign w:val="bottom"/>
          </w:tcPr>
          <w:p>
            <w:pPr>
              <w:pStyle w:val="yTableNAm"/>
              <w:jc w:val="right"/>
            </w:pPr>
            <w:r>
              <w:t>257.50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304.95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512.95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243.90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315.15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496.75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303.30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381.25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60042</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326.55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144.50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223.95</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586.35</w:t>
            </w:r>
          </w:p>
        </w:tc>
      </w:tr>
    </w:tbl>
    <w:p>
      <w:pPr>
        <w:pStyle w:val="yMiscellaneousBody"/>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61310</w:t>
            </w:r>
          </w:p>
        </w:tc>
        <w:tc>
          <w:tcPr>
            <w:tcW w:w="1154" w:type="dxa"/>
            <w:noWrap/>
            <w:vAlign w:val="bottom"/>
          </w:tcPr>
          <w:p>
            <w:pPr>
              <w:pStyle w:val="yTableNAm"/>
              <w:jc w:val="right"/>
            </w:pPr>
            <w:r>
              <w:t>640.70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529.25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732.60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397.15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773.45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685.20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703.70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804.95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3 516.30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250.10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1 001.85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1 090.05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1 199.65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580.10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751.50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715.20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1 056.25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61397</w:t>
            </w:r>
          </w:p>
        </w:tc>
        <w:tc>
          <w:tcPr>
            <w:tcW w:w="1154" w:type="dxa"/>
            <w:noWrap/>
            <w:vAlign w:val="bottom"/>
          </w:tcPr>
          <w:p>
            <w:pPr>
              <w:pStyle w:val="yTableNAm"/>
              <w:jc w:val="right"/>
            </w:pPr>
            <w:r>
              <w:t>430.55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1 055.50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1 523.90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394.10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837.00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967.80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947.20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1 150.40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1 073.50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1 173.95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1 312.45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500.25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581.95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795.75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61450</w:t>
            </w:r>
          </w:p>
        </w:tc>
        <w:tc>
          <w:tcPr>
            <w:tcW w:w="1154" w:type="dxa"/>
            <w:noWrap/>
            <w:vAlign w:val="bottom"/>
          </w:tcPr>
          <w:p>
            <w:pPr>
              <w:pStyle w:val="yTableNAm"/>
              <w:keepNext/>
              <w:jc w:val="right"/>
            </w:pPr>
            <w:r>
              <w:t>693.45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897.85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227.30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61473</w:t>
            </w:r>
          </w:p>
        </w:tc>
        <w:tc>
          <w:tcPr>
            <w:tcW w:w="1154" w:type="dxa"/>
            <w:noWrap/>
            <w:vAlign w:val="bottom"/>
          </w:tcPr>
          <w:p>
            <w:pPr>
              <w:pStyle w:val="yTableNAm"/>
              <w:jc w:val="right"/>
            </w:pPr>
            <w:r>
              <w:t>305.90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674.90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1 743.05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441.35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1 135.95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1 135.95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129.90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389.90</w:t>
            </w:r>
          </w:p>
        </w:tc>
      </w:tr>
    </w:tbl>
    <w:p>
      <w:pPr>
        <w:pStyle w:val="yFootnotesection"/>
      </w:pPr>
      <w:r>
        <w:tab/>
        <w:t>[Part 3 inserted: SL 2022/164 r. 6.]</w:t>
      </w:r>
    </w:p>
    <w:p>
      <w:pPr>
        <w:pStyle w:val="yScheduleHeading"/>
      </w:pPr>
      <w:bookmarkStart w:id="22" w:name="_Toc200720423"/>
      <w:r>
        <w:rPr>
          <w:rStyle w:val="CharSchNo"/>
        </w:rPr>
        <w:lastRenderedPageBreak/>
        <w:t>Schedule 2</w:t>
      </w:r>
      <w:r>
        <w:t> — </w:t>
      </w:r>
      <w:r>
        <w:rPr>
          <w:rStyle w:val="CharSchText"/>
        </w:rPr>
        <w:t>Scale of fees: physiotherapists</w:t>
      </w:r>
      <w:bookmarkEnd w:id="22"/>
    </w:p>
    <w:p>
      <w:pPr>
        <w:pStyle w:val="yShoulderClause"/>
      </w:pPr>
      <w:r>
        <w:t>[r. 3]</w:t>
      </w:r>
    </w:p>
    <w:p>
      <w:pPr>
        <w:pStyle w:val="yFootnoteheading"/>
      </w:pPr>
      <w:r>
        <w:tab/>
        <w:t>[Heading inserted: SL 2022/164 r. 6.]</w:t>
      </w:r>
    </w:p>
    <w:p>
      <w:pPr>
        <w:pStyle w:val="yHeading3"/>
      </w:pPr>
      <w:bookmarkStart w:id="23" w:name="_Toc200720424"/>
      <w:r>
        <w:rPr>
          <w:rStyle w:val="CharSDivNo"/>
        </w:rPr>
        <w:t>Part 1</w:t>
      </w:r>
      <w:r>
        <w:t> — </w:t>
      </w:r>
      <w:r>
        <w:rPr>
          <w:rStyle w:val="CharSDivText"/>
        </w:rPr>
        <w:t>General</w:t>
      </w:r>
      <w:bookmarkEnd w:id="23"/>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$92.90</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 xml:space="preserve">Provisional diagnosis; goals of treatment; treatment plan. Discussion with the patient regarding working hypothesis and treatment goals and expected outcomes; initial treatment and response; advice regarding </w:t>
            </w:r>
            <w:r>
              <w:lastRenderedPageBreak/>
              <w:t>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$94.25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$23.00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$169.50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lastRenderedPageBreak/>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2022/164 r. 6.]</w:t>
      </w:r>
    </w:p>
    <w:p>
      <w:pPr>
        <w:pStyle w:val="yHeading3"/>
      </w:pPr>
      <w:bookmarkStart w:id="24" w:name="_Toc200720425"/>
      <w:r>
        <w:rPr>
          <w:rStyle w:val="CharSDivNo"/>
        </w:rPr>
        <w:t>Part 2</w:t>
      </w:r>
      <w:r>
        <w:t> — </w:t>
      </w:r>
      <w:r>
        <w:rPr>
          <w:rStyle w:val="CharSDivText"/>
        </w:rPr>
        <w:t>Exercise based programs</w:t>
      </w:r>
      <w:bookmarkEnd w:id="24"/>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$211.70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$211.70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$211.70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lastRenderedPageBreak/>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$211.70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$211.70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1560" w:type="dxa"/>
            <w:tcBorders>
              <w:top w:val="single" w:sz="4" w:space="0" w:color="auto"/>
              <w:bottom w:val="single" w:sz="4" w:space="0" w:color="auto"/>
            </w:tcBorders>
            <w:noWrap/>
          </w:tcPr>
          <w:p>
            <w:pPr>
              <w:pStyle w:val="yTableNAm"/>
            </w:pPr>
            <w:r>
              <w:lastRenderedPageBreak/>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$211.70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p>
      <w:pPr>
        <w:pStyle w:val="yScheduleHeading"/>
      </w:pPr>
      <w:bookmarkStart w:id="25" w:name="_Toc200720426"/>
      <w:r>
        <w:rPr>
          <w:rStyle w:val="CharSchNo"/>
        </w:rPr>
        <w:lastRenderedPageBreak/>
        <w:t>Schedule 3</w:t>
      </w:r>
      <w:r>
        <w:rPr>
          <w:rStyle w:val="CharSDivNo"/>
        </w:rPr>
        <w:t> </w:t>
      </w:r>
      <w:r>
        <w:t>—</w:t>
      </w:r>
      <w:r>
        <w:rPr>
          <w:rStyle w:val="CharSDivText"/>
        </w:rPr>
        <w:t> </w:t>
      </w:r>
      <w:r>
        <w:rPr>
          <w:rStyle w:val="CharSchText"/>
        </w:rPr>
        <w:t>Scale of fees: chiropractors</w:t>
      </w:r>
      <w:bookmarkEnd w:id="25"/>
    </w:p>
    <w:p>
      <w:pPr>
        <w:pStyle w:val="yShoulderClause"/>
      </w:pPr>
      <w:r>
        <w:t>[r. 4]</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$73.35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$61.20</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$145.80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$218.95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r>
        <w:tab/>
        <w:t>[Schedule 3 inserted: SL 2022/164 r. 6.]</w:t>
      </w:r>
    </w:p>
    <w:p>
      <w:pPr>
        <w:pStyle w:val="yScheduleHeading"/>
      </w:pPr>
      <w:bookmarkStart w:id="26" w:name="_Toc200720427"/>
      <w:r>
        <w:rPr>
          <w:rStyle w:val="CharSchNo"/>
        </w:rPr>
        <w:lastRenderedPageBreak/>
        <w:t>Schedule 4</w:t>
      </w:r>
      <w:r>
        <w:rPr>
          <w:rStyle w:val="CharSDivNo"/>
        </w:rPr>
        <w:t> </w:t>
      </w:r>
      <w:r>
        <w:t>—</w:t>
      </w:r>
      <w:r>
        <w:rPr>
          <w:rStyle w:val="CharSDivText"/>
        </w:rPr>
        <w:t> </w:t>
      </w:r>
      <w:r>
        <w:rPr>
          <w:rStyle w:val="CharSchText"/>
        </w:rPr>
        <w:t>Scale of fees: occupational therapists</w:t>
      </w:r>
      <w:bookmarkEnd w:id="26"/>
    </w:p>
    <w:p>
      <w:pPr>
        <w:pStyle w:val="yShoulderClause"/>
      </w:pPr>
      <w:r>
        <w:t>[r. 5]</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$31.55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$63.50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$104.70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$157.00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$209.55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$68.80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$209.55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$92.90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2022/164 r. 6.]</w:t>
      </w:r>
    </w:p>
    <w:p>
      <w:pPr>
        <w:pStyle w:val="yScheduleHeading"/>
      </w:pPr>
      <w:bookmarkStart w:id="27" w:name="_Toc200720428"/>
      <w:r>
        <w:rPr>
          <w:rStyle w:val="CharSchNo"/>
        </w:rPr>
        <w:lastRenderedPageBreak/>
        <w:t>Schedule 5</w:t>
      </w:r>
      <w:r>
        <w:rPr>
          <w:rStyle w:val="CharSDivNo"/>
        </w:rPr>
        <w:t> </w:t>
      </w:r>
      <w:r>
        <w:t>—</w:t>
      </w:r>
      <w:r>
        <w:rPr>
          <w:rStyle w:val="CharSDivText"/>
        </w:rPr>
        <w:t> </w:t>
      </w:r>
      <w:r>
        <w:rPr>
          <w:rStyle w:val="CharSchText"/>
        </w:rPr>
        <w:t>Scale of fees: speech pathologists</w:t>
      </w:r>
      <w:bookmarkEnd w:id="27"/>
    </w:p>
    <w:p>
      <w:pPr>
        <w:pStyle w:val="yShoulderClause"/>
      </w:pPr>
      <w:r>
        <w:t>[r. 7]</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$193.55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$250.65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$84.40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$109.65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$147.95</w:t>
            </w:r>
          </w:p>
        </w:tc>
      </w:tr>
    </w:tbl>
    <w:p>
      <w:pPr>
        <w:pStyle w:val="yFootnotesection"/>
      </w:pPr>
      <w:r>
        <w:tab/>
        <w:t>[Schedule 5 inserted: SL 2022/164 r. 6.]</w:t>
      </w:r>
    </w:p>
    <w:p>
      <w:pPr>
        <w:pStyle w:val="yScheduleHeading"/>
      </w:pPr>
      <w:bookmarkStart w:id="28" w:name="_Toc200720429"/>
      <w:r>
        <w:rPr>
          <w:rStyle w:val="CharSchNo"/>
        </w:rPr>
        <w:lastRenderedPageBreak/>
        <w:t>Schedule 5A</w:t>
      </w:r>
      <w:r>
        <w:rPr>
          <w:rStyle w:val="CharSDivNo"/>
        </w:rPr>
        <w:t> </w:t>
      </w:r>
      <w:r>
        <w:t>—</w:t>
      </w:r>
      <w:r>
        <w:rPr>
          <w:rStyle w:val="CharSDivText"/>
        </w:rPr>
        <w:t> </w:t>
      </w:r>
      <w:r>
        <w:rPr>
          <w:rStyle w:val="CharSchText"/>
        </w:rPr>
        <w:t>Scale of fees: exercise physiologists</w:t>
      </w:r>
      <w:bookmarkEnd w:id="28"/>
    </w:p>
    <w:p>
      <w:pPr>
        <w:pStyle w:val="yShoulderClause"/>
      </w:pPr>
      <w:r>
        <w:t>[r. 7B]</w:t>
      </w:r>
    </w:p>
    <w:p>
      <w:pPr>
        <w:pStyle w:val="yFootnoteheading"/>
      </w:pPr>
      <w:r>
        <w:tab/>
        <w:t>[Heading inserted: SL 2022/164 r. 6.]</w:t>
      </w:r>
    </w:p>
    <w:p>
      <w:pPr>
        <w:pStyle w:val="yHeading3"/>
      </w:pPr>
      <w:bookmarkStart w:id="29" w:name="_Toc200720430"/>
      <w:r>
        <w:t>Exercise</w:t>
      </w:r>
      <w:r>
        <w:noBreakHyphen/>
        <w:t>based programs</w:t>
      </w:r>
      <w:bookmarkEnd w:id="29"/>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$211.70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lastRenderedPageBreak/>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$211.70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lastRenderedPageBreak/>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992" w:type="dxa"/>
            <w:tcBorders>
              <w:top w:val="single" w:sz="4" w:space="0" w:color="auto"/>
              <w:bottom w:val="single" w:sz="4" w:space="0" w:color="auto"/>
            </w:tcBorders>
            <w:noWrap/>
          </w:tcPr>
          <w:p>
            <w:pPr>
              <w:pStyle w:val="yTableNAm"/>
            </w:pPr>
            <w:r>
              <w:lastRenderedPageBreak/>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$211.70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2022/164 r. 6.]</w:t>
      </w:r>
    </w:p>
    <w:p>
      <w:pPr>
        <w:pStyle w:val="yScheduleHeading"/>
      </w:pPr>
      <w:bookmarkStart w:id="30" w:name="_Toc200720431"/>
      <w:r>
        <w:rPr>
          <w:rStyle w:val="CharSchNo"/>
        </w:rPr>
        <w:lastRenderedPageBreak/>
        <w:t>Schedule 6</w:t>
      </w:r>
      <w:r>
        <w:t> — </w:t>
      </w:r>
      <w:r>
        <w:rPr>
          <w:rStyle w:val="CharSchText"/>
        </w:rPr>
        <w:t>Scale of maximum fees: approved medical specialists</w:t>
      </w:r>
      <w:bookmarkEnd w:id="30"/>
    </w:p>
    <w:p>
      <w:pPr>
        <w:pStyle w:val="yShoulderClause"/>
      </w:pPr>
      <w:r>
        <w:t>[r. 9]</w:t>
      </w:r>
    </w:p>
    <w:p>
      <w:pPr>
        <w:pStyle w:val="yFootnoteheading"/>
      </w:pPr>
      <w:r>
        <w:tab/>
        <w:t>[Heading inserted: SL 2022/164 r. 6.]</w:t>
      </w:r>
    </w:p>
    <w:p>
      <w:pPr>
        <w:pStyle w:val="yHeading3"/>
      </w:pPr>
      <w:bookmarkStart w:id="31" w:name="_Toc200720432"/>
      <w:r>
        <w:rPr>
          <w:rStyle w:val="CharSDivNo"/>
        </w:rPr>
        <w:t>Part 1</w:t>
      </w:r>
      <w:r>
        <w:t> — </w:t>
      </w:r>
      <w:r>
        <w:rPr>
          <w:rStyle w:val="CharSDivText"/>
        </w:rPr>
        <w:t>Assessments</w:t>
      </w:r>
      <w:bookmarkEnd w:id="31"/>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$1 785.30 (or, if an interpreter is present at the examination, $2 142.35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$3 570.30 (or, if an interpreter is present at the examination, $3 927.30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$714.05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$1 071.10 (or, if an interpreter is present at the examination, $1 428.25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$357.10</w:t>
            </w:r>
          </w:p>
        </w:tc>
      </w:tr>
    </w:tbl>
    <w:p>
      <w:pPr>
        <w:pStyle w:val="yFootnotesection"/>
      </w:pPr>
      <w:r>
        <w:tab/>
        <w:t>[Part 1 inserted: SL 2022/164 r. 6.]</w:t>
      </w:r>
    </w:p>
    <w:p>
      <w:pPr>
        <w:pStyle w:val="yHeading3"/>
      </w:pPr>
      <w:bookmarkStart w:id="32" w:name="_Toc200720433"/>
      <w:r>
        <w:rPr>
          <w:rStyle w:val="CharSDivNo"/>
        </w:rPr>
        <w:t>Part 2</w:t>
      </w:r>
      <w:r>
        <w:t> — </w:t>
      </w:r>
      <w:r>
        <w:rPr>
          <w:rStyle w:val="CharSDivText"/>
        </w:rPr>
        <w:t>Attempted assessments</w:t>
      </w:r>
      <w:bookmarkEnd w:id="32"/>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$714.05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34" w:name="_Toc200720434"/>
      <w:r>
        <w:lastRenderedPageBreak/>
        <w:t>Notes</w:t>
      </w:r>
      <w:bookmarkEnd w:id="34"/>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35" w:name="_Toc200720435"/>
      <w:r>
        <w:t>Compilation table</w:t>
      </w:r>
      <w:bookmarkEnd w:id="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single" w:sz="4" w:space="0" w:color="auto"/>
            </w:tcBorders>
          </w:tcPr>
          <w:p>
            <w:pPr>
              <w:pStyle w:val="nTable"/>
              <w:spacing w:after="40"/>
              <w:rPr>
                <w:i/>
              </w:rPr>
            </w:pPr>
            <w:r>
              <w:rPr>
                <w:i/>
              </w:rPr>
              <w:t>Workers’ Compensation and Injury Management (Scales of Fees) Amendment Regulations 2022</w:t>
            </w:r>
          </w:p>
        </w:tc>
        <w:tc>
          <w:tcPr>
            <w:tcW w:w="1276" w:type="dxa"/>
            <w:tcBorders>
              <w:top w:val="nil"/>
              <w:bottom w:val="single" w:sz="4" w:space="0" w:color="auto"/>
            </w:tcBorders>
          </w:tcPr>
          <w:p>
            <w:pPr>
              <w:pStyle w:val="nTable"/>
              <w:spacing w:after="40"/>
            </w:pPr>
            <w:r>
              <w:t>SL 2022/164 7 Oct 2022</w:t>
            </w:r>
          </w:p>
        </w:tc>
        <w:tc>
          <w:tcPr>
            <w:tcW w:w="2693" w:type="dxa"/>
            <w:tcBorders>
              <w:top w:val="nil"/>
              <w:bottom w:val="single" w:sz="4" w:space="0" w:color="auto"/>
            </w:tcBorders>
          </w:tcPr>
          <w:p>
            <w:pPr>
              <w:pStyle w:val="nTable"/>
              <w:spacing w:after="40"/>
            </w:pPr>
            <w:r>
              <w:t>r. 1 and 2: 7 Oct 2022 (see r. 2(a));</w:t>
            </w:r>
            <w:r>
              <w:br/>
              <w:t>Regulations other than r. 1 and 2: 1 Nov 2022 (see r. 2(b))</w:t>
            </w:r>
          </w:p>
        </w:tc>
      </w:tr>
    </w:tbl>
    <w:p>
      <w:pPr>
        <w:pStyle w:val="nHeading3"/>
      </w:pPr>
      <w:bookmarkStart w:id="36" w:name="_Toc200720436"/>
      <w:r>
        <w:lastRenderedPageBreak/>
        <w:t>Uncommenced provisions table</w:t>
      </w:r>
      <w:bookmarkEnd w:id="36"/>
    </w:p>
    <w:p>
      <w:pPr>
        <w:pStyle w:val="nStatement"/>
        <w:keepNext/>
        <w:spacing w:after="240"/>
      </w:pPr>
      <w:r>
        <w:t xml:space="preserve">To view the text of the uncommenced provisions see </w:t>
      </w:r>
      <w:r>
        <w:rPr>
          <w:i/>
        </w:rPr>
        <w:t>Subsidiary legislation as made</w:t>
      </w:r>
      <w:r>
        <w:t xml:space="preserve"> and </w:t>
      </w:r>
      <w:r>
        <w:rPr>
          <w:i/>
          <w:iCs/>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rPr>
              <w:t>Workers’ Compensation and Injury Management (Scales of Fees) Amendment Regulations 2023</w:t>
            </w:r>
            <w:r>
              <w:rPr>
                <w:iCs/>
              </w:rPr>
              <w:t xml:space="preserve"> r. 3</w:t>
            </w:r>
            <w:r>
              <w:rPr>
                <w:iCs/>
              </w:rPr>
              <w:noBreakHyphen/>
              <w:t>6</w:t>
            </w:r>
          </w:p>
        </w:tc>
        <w:tc>
          <w:tcPr>
            <w:tcW w:w="1276" w:type="dxa"/>
            <w:tcBorders>
              <w:bottom w:val="nil"/>
            </w:tcBorders>
          </w:tcPr>
          <w:p>
            <w:pPr>
              <w:pStyle w:val="nTable"/>
              <w:spacing w:after="40"/>
            </w:pPr>
            <w:r>
              <w:t>SL 2023/155 18 Oct 2023</w:t>
            </w:r>
          </w:p>
        </w:tc>
        <w:tc>
          <w:tcPr>
            <w:tcW w:w="2693" w:type="dxa"/>
            <w:tcBorders>
              <w:bottom w:val="nil"/>
            </w:tcBorders>
          </w:tcPr>
          <w:p>
            <w:pPr>
              <w:pStyle w:val="nTable"/>
              <w:spacing w:after="40"/>
            </w:pPr>
            <w:r>
              <w:t>1 Nov 2023 (see r. 2(b))</w:t>
            </w:r>
          </w:p>
        </w:tc>
      </w:tr>
      <w:tr>
        <w:tc>
          <w:tcPr>
            <w:tcW w:w="4394" w:type="dxa"/>
            <w:gridSpan w:val="2"/>
            <w:tcBorders>
              <w:top w:val="nil"/>
              <w:bottom w:val="single" w:sz="4" w:space="0" w:color="auto"/>
            </w:tcBorders>
          </w:tcPr>
          <w:p>
            <w:pPr>
              <w:pStyle w:val="nTable"/>
              <w:spacing w:after="40"/>
            </w:pPr>
            <w:r>
              <w:rPr>
                <w:i/>
              </w:rPr>
              <w:t>Workers Compensation and Injury Management Act 2023</w:t>
            </w:r>
            <w:r>
              <w:rPr>
                <w:iCs/>
              </w:rPr>
              <w:t xml:space="preserve"> s. 621 assented to 24 Oct 2023</w:t>
            </w:r>
          </w:p>
        </w:tc>
        <w:tc>
          <w:tcPr>
            <w:tcW w:w="2693" w:type="dxa"/>
            <w:tcBorders>
              <w:top w:val="nil"/>
              <w:bottom w:val="single" w:sz="4" w:space="0" w:color="auto"/>
            </w:tcBorders>
          </w:tcPr>
          <w:p>
            <w:pPr>
              <w:pStyle w:val="nTable"/>
              <w:spacing w:after="40"/>
            </w:pPr>
            <w:r>
              <w:t>To be proclaimed (see s. 2(d))</w:t>
            </w:r>
          </w:p>
        </w:tc>
      </w:tr>
    </w:tbl>
    <w:p>
      <w:pPr>
        <w:pStyle w:val="nHeading3"/>
        <w:keepLines/>
      </w:pPr>
      <w:bookmarkStart w:id="37" w:name="_Toc200720437"/>
      <w:r>
        <w:t>Other notes</w:t>
      </w:r>
      <w:bookmarkEnd w:id="37"/>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8"/>
          <w:headerReference w:type="default" r:id="rId29"/>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39" w:name="_Toc200720438"/>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 hours</w:t>
      </w:r>
      <w:r>
        <w:tab/>
        <w:t>Sch. 1</w:t>
      </w:r>
    </w:p>
    <w:p>
      <w:pPr>
        <w:pStyle w:val="DefinedTerms"/>
      </w:pPr>
      <w:r>
        <w:t>closed reduction</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AB15C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5611F1" w14:textId="1E309277" w:rsidR="003703FA" w:rsidRDefault="003703F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9FB3A6C" w14:textId="77777777" w:rsidR="003703FA" w:rsidRDefault="003703F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FCFC0D" w14:textId="4B59C985" w:rsidR="003703FA" w:rsidRDefault="003703F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55E6F1D" w14:textId="77777777" w:rsidR="003703FA" w:rsidRDefault="003703F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04010"/>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025162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62003_GUID" w:val="e310968b-2543-405d-86cf-0f46a9c17b0b"/>
    <w:docVar w:name="WAFER_2023122910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4010_GUID" w:val="a56a56b8-4841-4c44-bed6-e40b0192e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3C0D9-F624-475A-8BE2-05B29A09B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13387</Words>
  <Characters>72964</Characters>
  <Application>Microsoft Office Word</Application>
  <DocSecurity>0</DocSecurity>
  <Lines>4292</Lines>
  <Paragraphs>3083</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1998 - 05-v0-01</dc:title>
  <dc:subject/>
  <dc:creator/>
  <cp:keywords/>
  <dc:description/>
  <cp:lastModifiedBy>Master Repository Process</cp:lastModifiedBy>
  <cp:revision>4</cp:revision>
  <cp:lastPrinted>2022-10-24T00:18:00Z</cp:lastPrinted>
  <dcterms:created xsi:type="dcterms:W3CDTF">2025-06-13T07:19:00Z</dcterms:created>
  <dcterms:modified xsi:type="dcterms:W3CDTF">2025-06-13T07:20:00Z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24 Oct 2023</vt:lpwstr>
  </property>
  <property fmtid="{D5CDD505-2E9C-101B-9397-08002B2CF9AE}" pid="8" name="Suffix">
    <vt:lpwstr>05-v0-01</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