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_Toc161749957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_Toc161749958 \h </w:instrText>
      </w:r>
      <w:r>
        <w:fldChar w:fldCharType="separate"/>
      </w:r>
      <w:r>
        <w:t>1</w:t>
      </w:r>
      <w:r>
        <w:fldChar w:fldCharType="end"/>
      </w:r>
    </w:p>
    <w:p>
      <w:pPr>
        <w:pStyle w:val="TOC8"/>
        <w:rPr>
          <w:rFonts w:asciiTheme="minorHAnsi" w:eastAsiaTheme="minorEastAsia" w:hAnsiTheme="minorHAnsi" w:cstheme="minorBidi"/>
          <w:szCs w:val="22"/>
        </w:rPr>
      </w:pPr>
      <w:r>
        <w:t>2AAA.</w:t>
      </w:r>
      <w:r>
        <w:tab/>
        <w:t>Terms used</w:t>
      </w:r>
      <w:r>
        <w:tab/>
      </w:r>
      <w:r>
        <w:fldChar w:fldCharType="begin"/>
      </w:r>
      <w:r>
        <w:instrText xml:space="preserve"> PAGEREF _Toc161749959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_Toc161749960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_Toc161749962 \h </w:instrText>
      </w:r>
      <w:r>
        <w:fldChar w:fldCharType="separate"/>
      </w:r>
      <w:r>
        <w:t>3</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_Toc161749963 \h </w:instrText>
      </w:r>
      <w:r>
        <w:fldChar w:fldCharType="separate"/>
      </w:r>
      <w:r>
        <w:t>3</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_Toc161749964 \h </w:instrText>
      </w:r>
      <w:r>
        <w:fldChar w:fldCharType="separate"/>
      </w:r>
      <w:r>
        <w:t>4</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_Toc161749965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_Toc161749966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_Toc161749967 \h </w:instrText>
      </w:r>
      <w:r>
        <w:fldChar w:fldCharType="separate"/>
      </w:r>
      <w:r>
        <w:t>5</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_Toc161749968 \h </w:instrText>
      </w:r>
      <w:r>
        <w:fldChar w:fldCharType="separate"/>
      </w:r>
      <w:r>
        <w:t>5</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_Toc161749969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_Toc161749970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_Toc161749971 \h </w:instrText>
      </w:r>
      <w:r>
        <w:fldChar w:fldCharType="separate"/>
      </w:r>
      <w:r>
        <w:t>6</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_Toc161749972 \h </w:instrText>
      </w:r>
      <w:r>
        <w:fldChar w:fldCharType="separate"/>
      </w:r>
      <w:r>
        <w:t>6</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_Toc161749973 \h </w:instrText>
      </w:r>
      <w:r>
        <w:fldChar w:fldCharType="separate"/>
      </w:r>
      <w:r>
        <w:t>6</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_Toc161749974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_Toc161749975 \h </w:instrText>
      </w:r>
      <w:r>
        <w:fldChar w:fldCharType="separate"/>
      </w:r>
      <w:r>
        <w:t>7</w:t>
      </w:r>
      <w:r>
        <w:fldChar w:fldCharType="end"/>
      </w:r>
    </w:p>
    <w:p>
      <w:pPr>
        <w:pStyle w:val="TOC8"/>
        <w:rPr>
          <w:rFonts w:asciiTheme="minorHAnsi" w:eastAsiaTheme="minorEastAsia" w:hAnsiTheme="minorHAnsi" w:cstheme="minorBidi"/>
          <w:szCs w:val="22"/>
        </w:rPr>
      </w:pPr>
      <w:r>
        <w:t>6G.</w:t>
      </w:r>
      <w:r>
        <w:tab/>
        <w:t>Giving notices under Act s. 57A and s. 57B and r. 25</w:t>
      </w:r>
      <w:r>
        <w:tab/>
      </w:r>
      <w:r>
        <w:fldChar w:fldCharType="begin"/>
      </w:r>
      <w:r>
        <w:instrText xml:space="preserve"> PAGEREF _Toc161749976 \h </w:instrText>
      </w:r>
      <w:r>
        <w:fldChar w:fldCharType="separate"/>
      </w:r>
      <w:r>
        <w:t>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r>
      <w:r>
        <w:t>Discontinuance or reduction of weekly payments</w:t>
      </w:r>
      <w:r>
        <w:tab/>
      </w:r>
      <w:r>
        <w:fldChar w:fldCharType="begin"/>
      </w:r>
      <w:r>
        <w:instrText xml:space="preserve"> PAGEREF _Toc161749977 \h </w:instrText>
      </w:r>
      <w:r>
        <w:fldChar w:fldCharType="separate"/>
      </w:r>
      <w:r>
        <w:t>7</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_Toc161749978 \h </w:instrText>
      </w:r>
      <w:r>
        <w:fldChar w:fldCharType="separate"/>
      </w:r>
      <w:r>
        <w:t>8</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_Toc161749979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_Toc161749980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_Toc161749981 \h </w:instrText>
      </w:r>
      <w:r>
        <w:fldChar w:fldCharType="separate"/>
      </w:r>
      <w:r>
        <w:t>9</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_Toc161749982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_Toc161749983 \h </w:instrText>
      </w:r>
      <w:r>
        <w:fldChar w:fldCharType="separate"/>
      </w:r>
      <w:r>
        <w:t>11</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_Toc161749984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_Toc161749985 \h </w:instrText>
      </w:r>
      <w:r>
        <w:fldChar w:fldCharType="separate"/>
      </w:r>
      <w:r>
        <w:t>13</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_Toc161749986 \h </w:instrText>
      </w:r>
      <w:r>
        <w:fldChar w:fldCharType="separate"/>
      </w:r>
      <w:r>
        <w:t>15</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_Toc161749987 \h </w:instrText>
      </w:r>
      <w:r>
        <w:fldChar w:fldCharType="separate"/>
      </w:r>
      <w:r>
        <w:t>15</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_Toc161749988 \h </w:instrText>
      </w:r>
      <w:r>
        <w:fldChar w:fldCharType="separate"/>
      </w:r>
      <w:r>
        <w:t>15</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_Toc161749989 \h </w:instrText>
      </w:r>
      <w:r>
        <w:fldChar w:fldCharType="separate"/>
      </w:r>
      <w:r>
        <w:t>16</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_Toc161749990 \h </w:instrText>
      </w:r>
      <w:r>
        <w:fldChar w:fldCharType="separate"/>
      </w:r>
      <w:r>
        <w:t>17</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_Toc161749991 \h </w:instrText>
      </w:r>
      <w:r>
        <w:fldChar w:fldCharType="separate"/>
      </w:r>
      <w:r>
        <w:t>18</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_Toc161749992 \h </w:instrText>
      </w:r>
      <w:r>
        <w:fldChar w:fldCharType="separate"/>
      </w:r>
      <w:r>
        <w:t>18</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_Toc161749993 \h </w:instrText>
      </w:r>
      <w:r>
        <w:fldChar w:fldCharType="separate"/>
      </w:r>
      <w:r>
        <w:t>20</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_Toc161749994 \h </w:instrText>
      </w:r>
      <w:r>
        <w:fldChar w:fldCharType="separate"/>
      </w:r>
      <w:r>
        <w:t>20</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_Toc161749995 \h </w:instrText>
      </w:r>
      <w:r>
        <w:fldChar w:fldCharType="separate"/>
      </w:r>
      <w:r>
        <w:t>21</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_Toc161749996 \h </w:instrText>
      </w:r>
      <w:r>
        <w:fldChar w:fldCharType="separate"/>
      </w:r>
      <w:r>
        <w:t>22</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_Toc161749997 \h </w:instrText>
      </w:r>
      <w:r>
        <w:fldChar w:fldCharType="separate"/>
      </w:r>
      <w:r>
        <w:t>22</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_Toc161749998 \h </w:instrText>
      </w:r>
      <w:r>
        <w:fldChar w:fldCharType="separate"/>
      </w:r>
      <w:r>
        <w:t>23</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_Toc161749999 \h </w:instrText>
      </w:r>
      <w:r>
        <w:fldChar w:fldCharType="separate"/>
      </w:r>
      <w:r>
        <w:t>24</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_Toc161750000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_Toc161750001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_Toc161750002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_Toc161750003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_Toc161750005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_Toc161750006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_Toc161750007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_Toc161750008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_Toc161750009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_Toc161750010 \h </w:instrText>
      </w:r>
      <w:r>
        <w:fldChar w:fldCharType="separate"/>
      </w:r>
      <w:r>
        <w:t>30</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_Toc161750011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_Toc161750012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_Toc161750013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_Toc161750014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_Toc161750015 \h </w:instrText>
      </w:r>
      <w:r>
        <w:fldChar w:fldCharType="separate"/>
      </w:r>
      <w:r>
        <w:t>32</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_Toc161750016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_Toc161750018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_Toc161750019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_Toc161750020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_Toc161750021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_Toc161750022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_Toc161750023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_Toc161750024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_Toc161750025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_Toc161750026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_Toc161750027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_Toc161750028 \h </w:instrText>
      </w:r>
      <w:r>
        <w:fldChar w:fldCharType="separate"/>
      </w:r>
      <w:r>
        <w:t>39</w:t>
      </w:r>
      <w:r>
        <w:fldChar w:fldCharType="end"/>
      </w:r>
    </w:p>
    <w:p>
      <w:pPr>
        <w:pStyle w:val="TOC8"/>
        <w:rPr>
          <w:rFonts w:asciiTheme="minorHAnsi" w:eastAsiaTheme="minorEastAsia" w:hAnsiTheme="minorHAnsi" w:cstheme="minorBidi"/>
          <w:szCs w:val="22"/>
        </w:rPr>
      </w:pPr>
      <w:r>
        <w:lastRenderedPageBreak/>
        <w:t>18W.</w:t>
      </w:r>
      <w:r>
        <w:tab/>
        <w:t>Reports and certificates regarding outcome of assessment</w:t>
      </w:r>
      <w:r>
        <w:tab/>
      </w:r>
      <w:r>
        <w:fldChar w:fldCharType="begin"/>
      </w:r>
      <w:r>
        <w:instrText xml:space="preserve"> PAGEREF _Toc161750029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_Toc161750031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_Toc161750032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_Toc161750033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_Toc161750034 \h </w:instrText>
      </w:r>
      <w:r>
        <w:fldChar w:fldCharType="separate"/>
      </w:r>
      <w:r>
        <w:t>46</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_Toc161750035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_Toc161750036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_Toc161750037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_Toc161750038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_Toc161750041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_Toc161750042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_Toc161750043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_Toc161750044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_Toc161750045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_Toc161750046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_Toc161750047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_Toc161750048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_Toc161750049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_Toc161750050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_Toc161750052 \h </w:instrText>
      </w:r>
      <w:r>
        <w:fldChar w:fldCharType="separate"/>
      </w:r>
      <w:r>
        <w:t>60</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_Toc161750053 \h </w:instrText>
      </w:r>
      <w:r>
        <w:fldChar w:fldCharType="separate"/>
      </w:r>
      <w:r>
        <w:t>61</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_Toc161750054 \h </w:instrText>
      </w:r>
      <w:r>
        <w:fldChar w:fldCharType="separate"/>
      </w:r>
      <w:r>
        <w:t>62</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_Toc161750055 \h </w:instrText>
      </w:r>
      <w:r>
        <w:fldChar w:fldCharType="separate"/>
      </w:r>
      <w:r>
        <w:t>62</w:t>
      </w:r>
      <w:r>
        <w:fldChar w:fldCharType="end"/>
      </w:r>
    </w:p>
    <w:p>
      <w:pPr>
        <w:pStyle w:val="TOC8"/>
        <w:rPr>
          <w:rFonts w:asciiTheme="minorHAnsi" w:eastAsiaTheme="minorEastAsia" w:hAnsiTheme="minorHAnsi" w:cstheme="minorBidi"/>
          <w:szCs w:val="22"/>
        </w:rPr>
      </w:pPr>
      <w:r>
        <w:t>25.</w:t>
      </w:r>
      <w:r>
        <w:tab/>
        <w:t>Notice relating to common law claims</w:t>
      </w:r>
      <w:r>
        <w:tab/>
      </w:r>
      <w:r>
        <w:fldChar w:fldCharType="begin"/>
      </w:r>
      <w:r>
        <w:instrText xml:space="preserve"> PAGEREF _Toc161750056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_Toc161750059 \h </w:instrText>
      </w:r>
      <w:r>
        <w:fldChar w:fldCharType="separate"/>
      </w:r>
      <w:r>
        <w:t>64</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_Toc161750060 \h </w:instrText>
      </w:r>
      <w:r>
        <w:fldChar w:fldCharType="separate"/>
      </w:r>
      <w:r>
        <w:t>65</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_Toc161750061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_Toc161750063 \h </w:instrText>
      </w:r>
      <w:r>
        <w:fldChar w:fldCharType="separate"/>
      </w:r>
      <w:r>
        <w:t>65</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_Toc161750064 \h </w:instrText>
      </w:r>
      <w:r>
        <w:fldChar w:fldCharType="separate"/>
      </w:r>
      <w:r>
        <w:t>67</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_Toc161750065 \h </w:instrText>
      </w:r>
      <w:r>
        <w:fldChar w:fldCharType="separate"/>
      </w:r>
      <w:r>
        <w:t>68</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_Toc161750066 \h </w:instrText>
      </w:r>
      <w:r>
        <w:fldChar w:fldCharType="separate"/>
      </w:r>
      <w:r>
        <w:t>69</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_Toc161750067 \h </w:instrText>
      </w:r>
      <w:r>
        <w:fldChar w:fldCharType="separate"/>
      </w:r>
      <w:r>
        <w:t>70</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_Toc161750068 \h </w:instrText>
      </w:r>
      <w:r>
        <w:fldChar w:fldCharType="separate"/>
      </w:r>
      <w:r>
        <w:t>70</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_Toc161750069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_Toc161750071 \h </w:instrText>
      </w:r>
      <w:r>
        <w:fldChar w:fldCharType="separate"/>
      </w:r>
      <w:r>
        <w:t>71</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_Toc161750072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_Toc161750074 \h </w:instrText>
      </w:r>
      <w:r>
        <w:fldChar w:fldCharType="separate"/>
      </w:r>
      <w:r>
        <w:t>72</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_Toc161750075 \h </w:instrText>
      </w:r>
      <w:r>
        <w:fldChar w:fldCharType="separate"/>
      </w:r>
      <w:r>
        <w:t>73</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_Toc161750076 \h </w:instrText>
      </w:r>
      <w:r>
        <w:fldChar w:fldCharType="separate"/>
      </w:r>
      <w:r>
        <w:t>73</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_Toc161750077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_Toc161750079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_Toc161750081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_Toc161750083 \h </w:instrText>
      </w:r>
      <w:r>
        <w:fldChar w:fldCharType="separate"/>
      </w:r>
      <w:r>
        <w:t>76</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_Toc161750084 \h </w:instrText>
      </w:r>
      <w:r>
        <w:fldChar w:fldCharType="separate"/>
      </w:r>
      <w:r>
        <w:t>79</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_Toc161750085 \h </w:instrText>
      </w:r>
      <w:r>
        <w:fldChar w:fldCharType="separate"/>
      </w:r>
      <w:r>
        <w:t>79</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_Toc161750086 \h </w:instrText>
      </w:r>
      <w:r>
        <w:fldChar w:fldCharType="separate"/>
      </w:r>
      <w:r>
        <w:t>80</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_Toc161750087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_Toc161750089 \h </w:instrText>
      </w:r>
      <w:r>
        <w:fldChar w:fldCharType="separate"/>
      </w:r>
      <w:r>
        <w:t>82</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_Toc161750090 \h </w:instrText>
      </w:r>
      <w:r>
        <w:fldChar w:fldCharType="separate"/>
      </w:r>
      <w:r>
        <w:t>83</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_Toc161750091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_Toc161750093 \h </w:instrText>
      </w:r>
      <w:r>
        <w:fldChar w:fldCharType="separate"/>
      </w:r>
      <w:r>
        <w:t>86</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_Toc161750094 \h </w:instrText>
      </w:r>
      <w:r>
        <w:fldChar w:fldCharType="separate"/>
      </w:r>
      <w:r>
        <w:t>86</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_Toc161750095 \h </w:instrText>
      </w:r>
      <w:r>
        <w:fldChar w:fldCharType="separate"/>
      </w:r>
      <w:r>
        <w:t>86</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_Toc161750096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_Toc161750098 \h </w:instrText>
      </w:r>
      <w:r>
        <w:fldChar w:fldCharType="separate"/>
      </w:r>
      <w:r>
        <w:t>87</w:t>
      </w:r>
      <w:r>
        <w:fldChar w:fldCharType="end"/>
      </w:r>
    </w:p>
    <w:p>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_Toc161750099 \h </w:instrText>
      </w:r>
      <w:r>
        <w:fldChar w:fldCharType="separate"/>
      </w:r>
      <w:r>
        <w:t>88</w:t>
      </w:r>
      <w:r>
        <w:fldChar w:fldCharType="end"/>
      </w:r>
    </w:p>
    <w:p>
      <w:pPr>
        <w:pStyle w:val="TOC8"/>
        <w:rPr>
          <w:rFonts w:asciiTheme="minorHAnsi" w:eastAsiaTheme="minorEastAsia" w:hAnsiTheme="minorHAnsi" w:cstheme="minorBidi"/>
          <w:szCs w:val="22"/>
        </w:rPr>
      </w:pPr>
      <w:r>
        <w:t>56.</w:t>
      </w:r>
      <w:r>
        <w:tab/>
        <w:t>EDS exempt</w:t>
      </w:r>
      <w:r>
        <w:tab/>
      </w:r>
      <w:r>
        <w:fldChar w:fldCharType="begin"/>
      </w:r>
      <w:r>
        <w:instrText xml:space="preserve"> PAGEREF _Toc161750100 \h </w:instrText>
      </w:r>
      <w:r>
        <w:fldChar w:fldCharType="separate"/>
      </w:r>
      <w:r>
        <w:t>88</w:t>
      </w:r>
      <w:r>
        <w:fldChar w:fldCharType="end"/>
      </w:r>
    </w:p>
    <w:p>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_Toc161750101 \h </w:instrText>
      </w:r>
      <w:r>
        <w:fldChar w:fldCharType="separate"/>
      </w:r>
      <w:r>
        <w:t>89</w:t>
      </w:r>
      <w:r>
        <w:fldChar w:fldCharType="end"/>
      </w:r>
    </w:p>
    <w:p>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_Toc161750102 \h </w:instrText>
      </w:r>
      <w:r>
        <w:fldChar w:fldCharType="separate"/>
      </w:r>
      <w:r>
        <w:t>90</w:t>
      </w:r>
      <w:r>
        <w:fldChar w:fldCharType="end"/>
      </w:r>
    </w:p>
    <w:p>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_Toc161750103 \h </w:instrText>
      </w:r>
      <w:r>
        <w:fldChar w:fldCharType="separate"/>
      </w:r>
      <w:r>
        <w:t>90</w:t>
      </w:r>
      <w:r>
        <w:fldChar w:fldCharType="end"/>
      </w:r>
    </w:p>
    <w:p>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_Toc161750104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9 — Variation of certain amounts</w:t>
      </w:r>
    </w:p>
    <w:p>
      <w:pPr>
        <w:pStyle w:val="TOC8"/>
        <w:rPr>
          <w:rFonts w:asciiTheme="minorHAnsi" w:eastAsiaTheme="minorEastAsia" w:hAnsiTheme="minorHAnsi" w:cstheme="minorBidi"/>
          <w:szCs w:val="22"/>
        </w:rPr>
      </w:pPr>
      <w:r>
        <w:t>61.</w:t>
      </w:r>
      <w:r>
        <w:tab/>
        <w:t>Amount C (Act s. 5A(1A))</w:t>
      </w:r>
      <w:r>
        <w:tab/>
      </w:r>
      <w:r>
        <w:fldChar w:fldCharType="begin"/>
      </w:r>
      <w:r>
        <w:instrText xml:space="preserve"> PAGEREF _Toc161750106 \h </w:instrText>
      </w:r>
      <w:r>
        <w:fldChar w:fldCharType="separate"/>
      </w:r>
      <w:r>
        <w:t>92</w:t>
      </w:r>
      <w:r>
        <w:fldChar w:fldCharType="end"/>
      </w:r>
    </w:p>
    <w:p>
      <w:pPr>
        <w:pStyle w:val="TOC8"/>
        <w:rPr>
          <w:rFonts w:asciiTheme="minorHAnsi" w:eastAsiaTheme="minorEastAsia" w:hAnsiTheme="minorHAnsi" w:cstheme="minorBidi"/>
          <w:szCs w:val="22"/>
        </w:rPr>
      </w:pPr>
      <w:r>
        <w:t>62.</w:t>
      </w:r>
      <w:r>
        <w:tab/>
        <w:t>Prescribed amount (Act s. 5A(1A))</w:t>
      </w:r>
      <w:r>
        <w:tab/>
      </w:r>
      <w:r>
        <w:fldChar w:fldCharType="begin"/>
      </w:r>
      <w:r>
        <w:instrText xml:space="preserve"> PAGEREF _Toc161750107 \h </w:instrText>
      </w:r>
      <w:r>
        <w:fldChar w:fldCharType="separate"/>
      </w:r>
      <w:r>
        <w:t>92</w:t>
      </w:r>
      <w:r>
        <w:fldChar w:fldCharType="end"/>
      </w:r>
    </w:p>
    <w:p>
      <w:pPr>
        <w:pStyle w:val="TOC8"/>
        <w:rPr>
          <w:rFonts w:asciiTheme="minorHAnsi" w:eastAsiaTheme="minorEastAsia" w:hAnsiTheme="minorHAnsi" w:cstheme="minorBidi"/>
          <w:szCs w:val="22"/>
        </w:rPr>
      </w:pPr>
      <w:r>
        <w:t>63.</w:t>
      </w:r>
      <w:r>
        <w:tab/>
        <w:t>Board and lodging value (Act Sch. 1 cl. 15)</w:t>
      </w:r>
      <w:r>
        <w:tab/>
      </w:r>
      <w:r>
        <w:fldChar w:fldCharType="begin"/>
      </w:r>
      <w:r>
        <w:instrText xml:space="preserve"> PAGEREF _Toc161750108 \h </w:instrText>
      </w:r>
      <w:r>
        <w:fldChar w:fldCharType="separate"/>
      </w:r>
      <w:r>
        <w:t>92</w:t>
      </w:r>
      <w:r>
        <w:fldChar w:fldCharType="end"/>
      </w:r>
    </w:p>
    <w:p>
      <w:pPr>
        <w:pStyle w:val="TOC8"/>
        <w:rPr>
          <w:rFonts w:asciiTheme="minorHAnsi" w:eastAsiaTheme="minorEastAsia" w:hAnsiTheme="minorHAnsi" w:cstheme="minorBidi"/>
          <w:szCs w:val="22"/>
        </w:rPr>
      </w:pPr>
      <w:r>
        <w:t>64.</w:t>
      </w:r>
      <w:r>
        <w:tab/>
        <w:t>Wheeled chair or similar appliance expenses (Act Sch. 1 cl. 17(4))</w:t>
      </w:r>
      <w:r>
        <w:tab/>
      </w:r>
      <w:r>
        <w:fldChar w:fldCharType="begin"/>
      </w:r>
      <w:r>
        <w:instrText xml:space="preserve"> PAGEREF _Toc161750109 \h </w:instrText>
      </w:r>
      <w:r>
        <w:fldChar w:fldCharType="separate"/>
      </w:r>
      <w:r>
        <w:t>93</w:t>
      </w:r>
      <w:r>
        <w:fldChar w:fldCharType="end"/>
      </w:r>
    </w:p>
    <w:p>
      <w:pPr>
        <w:pStyle w:val="TOC8"/>
        <w:rPr>
          <w:rFonts w:asciiTheme="minorHAnsi" w:eastAsiaTheme="minorEastAsia" w:hAnsiTheme="minorHAnsi" w:cstheme="minorBidi"/>
          <w:szCs w:val="22"/>
        </w:rPr>
      </w:pPr>
      <w:r>
        <w:t>65.</w:t>
      </w:r>
      <w:r>
        <w:tab/>
        <w:t>Meals and lodging cost (Act Sch. 1 cl. 19(1))</w:t>
      </w:r>
      <w:r>
        <w:tab/>
      </w:r>
      <w:r>
        <w:fldChar w:fldCharType="begin"/>
      </w:r>
      <w:r>
        <w:instrText xml:space="preserve"> PAGEREF _Toc161750110 \h </w:instrText>
      </w:r>
      <w:r>
        <w:fldChar w:fldCharType="separate"/>
      </w:r>
      <w:r>
        <w:t>93</w:t>
      </w:r>
      <w:r>
        <w:fldChar w:fldCharType="end"/>
      </w:r>
    </w:p>
    <w:p>
      <w:pPr>
        <w:pStyle w:val="TOC8"/>
        <w:rPr>
          <w:rFonts w:asciiTheme="minorHAnsi" w:eastAsiaTheme="minorEastAsia" w:hAnsiTheme="minorHAnsi" w:cstheme="minorBidi"/>
          <w:szCs w:val="22"/>
        </w:rPr>
      </w:pPr>
      <w:r>
        <w:t>66.</w:t>
      </w:r>
      <w:r>
        <w:tab/>
        <w:t>Rounding</w:t>
      </w:r>
      <w:r>
        <w:tab/>
      </w:r>
      <w:r>
        <w:fldChar w:fldCharType="begin"/>
      </w:r>
      <w:r>
        <w:instrText xml:space="preserve"> PAGEREF _Toc161750111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9A — Specified diseases contracted by firefighters</w:t>
      </w:r>
    </w:p>
    <w:p>
      <w:pPr>
        <w:pStyle w:val="TOC8"/>
        <w:rPr>
          <w:rFonts w:asciiTheme="minorHAnsi" w:eastAsiaTheme="minorEastAsia" w:hAnsiTheme="minorHAnsi" w:cstheme="minorBidi"/>
          <w:szCs w:val="22"/>
        </w:rPr>
      </w:pPr>
      <w:r>
        <w:t>66A.</w:t>
      </w:r>
      <w:r>
        <w:tab/>
        <w:t>Specified diseases for firefighters (Act Sch. 4A)</w:t>
      </w:r>
      <w:r>
        <w:tab/>
      </w:r>
      <w:r>
        <w:fldChar w:fldCharType="begin"/>
      </w:r>
      <w:r>
        <w:instrText xml:space="preserve"> PAGEREF _Toc161750113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Prescribed diseases: presumption of work</w:t>
      </w:r>
      <w:r>
        <w:noBreakHyphen/>
        <w:t>related injury</w:t>
      </w:r>
    </w:p>
    <w:p>
      <w:pPr>
        <w:pStyle w:val="TOC8"/>
        <w:rPr>
          <w:rFonts w:asciiTheme="minorHAnsi" w:eastAsiaTheme="minorEastAsia" w:hAnsiTheme="minorHAnsi" w:cstheme="minorBidi"/>
          <w:szCs w:val="22"/>
        </w:rPr>
      </w:pPr>
      <w:r>
        <w:t>67.</w:t>
      </w:r>
      <w:r>
        <w:tab/>
        <w:t>COVID</w:t>
      </w:r>
      <w:r>
        <w:noBreakHyphen/>
        <w:t>19: prescribed disease and prescribed employment (Act s. 49F)</w:t>
      </w:r>
      <w:r>
        <w:tab/>
      </w:r>
      <w:r>
        <w:fldChar w:fldCharType="begin"/>
      </w:r>
      <w:r>
        <w:instrText xml:space="preserve"> PAGEREF _Toc161750115 \h </w:instrText>
      </w:r>
      <w:r>
        <w:fldChar w:fldCharType="separate"/>
      </w:r>
      <w:r>
        <w:t>96</w:t>
      </w:r>
      <w:r>
        <w:fldChar w:fldCharType="end"/>
      </w:r>
    </w:p>
    <w:p>
      <w:pPr>
        <w:pStyle w:val="TOC8"/>
        <w:rPr>
          <w:rFonts w:asciiTheme="minorHAnsi" w:eastAsiaTheme="minorEastAsia" w:hAnsiTheme="minorHAnsi" w:cstheme="minorBidi"/>
          <w:szCs w:val="22"/>
        </w:rPr>
      </w:pPr>
      <w:r>
        <w:t>68.</w:t>
      </w:r>
      <w:r>
        <w:tab/>
        <w:t>Post</w:t>
      </w:r>
      <w:r>
        <w:noBreakHyphen/>
        <w:t>traumatic stress disorder: prescribed disease and prescribed employment (Act s. 49F)</w:t>
      </w:r>
      <w:r>
        <w:tab/>
      </w:r>
      <w:r>
        <w:fldChar w:fldCharType="begin"/>
      </w:r>
      <w:r>
        <w:instrText xml:space="preserve"> PAGEREF _Toc161750116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lastRenderedPageBreak/>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_Toc161750121 \h </w:instrText>
      </w:r>
      <w:r>
        <w:fldChar w:fldCharType="separate"/>
      </w:r>
      <w:r>
        <w:t>232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_Toc161750122 \h </w:instrText>
      </w:r>
      <w:r>
        <w:fldChar w:fldCharType="separate"/>
      </w:r>
      <w:r>
        <w:t>232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_Toc161750123 \h </w:instrText>
      </w:r>
      <w:r>
        <w:fldChar w:fldCharType="separate"/>
      </w:r>
      <w:r>
        <w:t>233</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_Toc161750124 \h </w:instrText>
      </w:r>
      <w:r>
        <w:fldChar w:fldCharType="separate"/>
      </w:r>
      <w:r>
        <w:t>234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_Toc161750125 \h </w:instrText>
      </w:r>
      <w:r>
        <w:fldChar w:fldCharType="separate"/>
      </w:r>
      <w:r>
        <w:t>234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_Toc161750126 \h </w:instrText>
      </w:r>
      <w:r>
        <w:fldChar w:fldCharType="separate"/>
      </w:r>
      <w:r>
        <w:t>235</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_Toc161750127 \h </w:instrText>
      </w:r>
      <w:r>
        <w:fldChar w:fldCharType="separate"/>
      </w:r>
      <w:r>
        <w:t>235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_Toc161750128 \h </w:instrText>
      </w:r>
      <w:r>
        <w:fldChar w:fldCharType="separate"/>
      </w:r>
      <w:r>
        <w:t>237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_Toc161750129 \h </w:instrText>
      </w:r>
      <w:r>
        <w:fldChar w:fldCharType="separate"/>
      </w:r>
      <w:r>
        <w:t>237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_Toc161750130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_Toc161750131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_Toc161750134 \h </w:instrText>
      </w:r>
      <w:r>
        <w:fldChar w:fldCharType="separate"/>
      </w:r>
      <w:r>
        <w:t>243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_Toc161750135 \h </w:instrText>
      </w:r>
      <w:r>
        <w:fldChar w:fldCharType="separate"/>
      </w:r>
      <w:r>
        <w:t>249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_Toc161750136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2" w:name="_Toc161749956"/>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3" w:name="_Toc16174995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4" w:name="_Toc16174995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5" w:name="_Toc161749959"/>
      <w:r>
        <w:rPr>
          <w:rStyle w:val="CharSectno"/>
        </w:rPr>
        <w:t>2AAA</w:t>
      </w:r>
      <w:r>
        <w:t>.</w:t>
      </w:r>
      <w:r>
        <w:tab/>
        <w:t>Terms used</w:t>
      </w:r>
      <w:bookmarkEnd w:id="5"/>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6" w:name="_Toc161749960"/>
      <w:r>
        <w:rPr>
          <w:rStyle w:val="CharSectno"/>
        </w:rPr>
        <w:t>2AA</w:t>
      </w:r>
      <w:r>
        <w:t>.</w:t>
      </w:r>
      <w:r>
        <w:tab/>
        <w:t>Notes not part of regulations</w:t>
      </w:r>
      <w:bookmarkEnd w:id="6"/>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7" w:name="_Toc161749961"/>
      <w:r>
        <w:rPr>
          <w:rStyle w:val="CharPartNo"/>
        </w:rPr>
        <w:lastRenderedPageBreak/>
        <w:t>Part 2</w:t>
      </w:r>
      <w:r>
        <w:rPr>
          <w:rStyle w:val="CharDivNo"/>
        </w:rPr>
        <w:t> </w:t>
      </w:r>
      <w:r>
        <w:t>—</w:t>
      </w:r>
      <w:r>
        <w:rPr>
          <w:rStyle w:val="CharDivText"/>
        </w:rPr>
        <w:t> </w:t>
      </w:r>
      <w:r>
        <w:rPr>
          <w:rStyle w:val="CharPartText"/>
        </w:rPr>
        <w:t>General</w:t>
      </w:r>
      <w:bookmarkEnd w:id="7"/>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8" w:name="_Toc161749962"/>
      <w:r>
        <w:rPr>
          <w:rStyle w:val="CharSectno"/>
        </w:rPr>
        <w:t>2A</w:t>
      </w:r>
      <w:r>
        <w:t>.</w:t>
      </w:r>
      <w:r>
        <w:tab/>
        <w:t>Indexation of redemption amount</w:t>
      </w:r>
      <w:bookmarkEnd w:id="8"/>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9" w:name="_Toc161749963"/>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9"/>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0" w:name="_Toc161749964"/>
      <w:r>
        <w:rPr>
          <w:rStyle w:val="CharSectno"/>
        </w:rPr>
        <w:lastRenderedPageBreak/>
        <w:t>3A</w:t>
      </w:r>
      <w:r>
        <w:t>.</w:t>
      </w:r>
      <w:r>
        <w:tab/>
        <w:t xml:space="preserve">Instruments under Commonwealth laws prescribed for definition of </w:t>
      </w:r>
      <w:r>
        <w:rPr>
          <w:i/>
        </w:rPr>
        <w:t>industrial award</w:t>
      </w:r>
      <w:r>
        <w:t xml:space="preserve"> in Act</w:t>
      </w:r>
      <w:bookmarkEnd w:id="10"/>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1" w:name="_Toc161749965"/>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1"/>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2" w:name="_Toc161749966"/>
      <w:r>
        <w:rPr>
          <w:rStyle w:val="CharSectno"/>
        </w:rPr>
        <w:t>4</w:t>
      </w:r>
      <w:r>
        <w:rPr>
          <w:snapToGrid w:val="0"/>
        </w:rPr>
        <w:t>.</w:t>
      </w:r>
      <w:r>
        <w:rPr>
          <w:snapToGrid w:val="0"/>
        </w:rPr>
        <w:tab/>
        <w:t>Form of election</w:t>
      </w:r>
      <w:bookmarkEnd w:id="1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 xml:space="preserve">The form of election referred to in section 31H of the Act must be in the form of Form 1A in Appendix I or, in the case of a </w:t>
      </w:r>
      <w:r>
        <w:lastRenderedPageBreak/>
        <w:t>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13" w:name="_Toc161749967"/>
      <w:r>
        <w:rPr>
          <w:rStyle w:val="CharSectno"/>
        </w:rPr>
        <w:t>5</w:t>
      </w:r>
      <w:r>
        <w:rPr>
          <w:snapToGrid w:val="0"/>
        </w:rPr>
        <w:t>.</w:t>
      </w:r>
      <w:r>
        <w:rPr>
          <w:snapToGrid w:val="0"/>
        </w:rPr>
        <w:tab/>
        <w:t>Determination form for medical panel</w:t>
      </w:r>
      <w:bookmarkEnd w:id="13"/>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14" w:name="_Toc161749968"/>
      <w:r>
        <w:rPr>
          <w:rStyle w:val="CharSectno"/>
        </w:rPr>
        <w:t>6AA</w:t>
      </w:r>
      <w:r>
        <w:rPr>
          <w:snapToGrid w:val="0"/>
        </w:rPr>
        <w:t>.</w:t>
      </w:r>
      <w:r>
        <w:rPr>
          <w:snapToGrid w:val="0"/>
        </w:rPr>
        <w:tab/>
        <w:t>Form of claim for compensation</w:t>
      </w:r>
      <w:bookmarkEnd w:id="1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15" w:name="_Toc161749969"/>
      <w:r>
        <w:rPr>
          <w:rStyle w:val="CharSectno"/>
        </w:rPr>
        <w:t>6AB</w:t>
      </w:r>
      <w:r>
        <w:t>.</w:t>
      </w:r>
      <w:r>
        <w:tab/>
        <w:t>Relevant document (Act s. 180(1)(j))</w:t>
      </w:r>
      <w:bookmarkEnd w:id="15"/>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16" w:name="_Toc161749970"/>
      <w:r>
        <w:rPr>
          <w:rStyle w:val="CharSectno"/>
        </w:rPr>
        <w:t>6A</w:t>
      </w:r>
      <w:r>
        <w:rPr>
          <w:snapToGrid w:val="0"/>
        </w:rPr>
        <w:t>.</w:t>
      </w:r>
      <w:r>
        <w:rPr>
          <w:snapToGrid w:val="0"/>
        </w:rPr>
        <w:tab/>
        <w:t>Form of first certificate of capacity</w:t>
      </w:r>
      <w:bookmarkEnd w:id="16"/>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lastRenderedPageBreak/>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17" w:name="_Toc161749971"/>
      <w:r>
        <w:rPr>
          <w:rStyle w:val="CharSectno"/>
        </w:rPr>
        <w:t>6B</w:t>
      </w:r>
      <w:r>
        <w:rPr>
          <w:snapToGrid w:val="0"/>
        </w:rPr>
        <w:t>.</w:t>
      </w:r>
      <w:r>
        <w:rPr>
          <w:snapToGrid w:val="0"/>
        </w:rPr>
        <w:tab/>
        <w:t>Form for insurer accepting liability</w:t>
      </w:r>
      <w:bookmarkEnd w:id="17"/>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18" w:name="_Toc161749972"/>
      <w:r>
        <w:rPr>
          <w:rStyle w:val="CharSectno"/>
        </w:rPr>
        <w:t>6C</w:t>
      </w:r>
      <w:r>
        <w:rPr>
          <w:snapToGrid w:val="0"/>
        </w:rPr>
        <w:t>.</w:t>
      </w:r>
      <w:r>
        <w:rPr>
          <w:snapToGrid w:val="0"/>
        </w:rPr>
        <w:tab/>
        <w:t>Form for insurer disputing liability</w:t>
      </w:r>
      <w:bookmarkEnd w:id="1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19" w:name="_Toc161749973"/>
      <w:r>
        <w:rPr>
          <w:rStyle w:val="CharSectno"/>
        </w:rPr>
        <w:t>6D</w:t>
      </w:r>
      <w:r>
        <w:rPr>
          <w:snapToGrid w:val="0"/>
        </w:rPr>
        <w:t>.</w:t>
      </w:r>
      <w:r>
        <w:rPr>
          <w:snapToGrid w:val="0"/>
        </w:rPr>
        <w:tab/>
        <w:t>Form for insurer undecided on liability</w:t>
      </w:r>
      <w:bookmarkEnd w:id="19"/>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0" w:name="_Toc161749974"/>
      <w:r>
        <w:rPr>
          <w:rStyle w:val="CharSectno"/>
        </w:rPr>
        <w:t>6E</w:t>
      </w:r>
      <w:r>
        <w:rPr>
          <w:snapToGrid w:val="0"/>
        </w:rPr>
        <w:t>.</w:t>
      </w:r>
      <w:r>
        <w:rPr>
          <w:snapToGrid w:val="0"/>
        </w:rPr>
        <w:tab/>
        <w:t>Form for employer disputing liability</w:t>
      </w:r>
      <w:bookmarkEnd w:id="20"/>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1" w:name="_Toc161749975"/>
      <w:r>
        <w:rPr>
          <w:rStyle w:val="CharSectno"/>
        </w:rPr>
        <w:lastRenderedPageBreak/>
        <w:t>6F</w:t>
      </w:r>
      <w:r>
        <w:rPr>
          <w:snapToGrid w:val="0"/>
        </w:rPr>
        <w:t>.</w:t>
      </w:r>
      <w:r>
        <w:rPr>
          <w:snapToGrid w:val="0"/>
        </w:rPr>
        <w:tab/>
        <w:t>Form for employer undecided on liability</w:t>
      </w:r>
      <w:bookmarkEnd w:id="21"/>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22" w:name="_Toc161749976"/>
      <w:r>
        <w:rPr>
          <w:rStyle w:val="CharSectno"/>
        </w:rPr>
        <w:t>6G</w:t>
      </w:r>
      <w:r>
        <w:t>.</w:t>
      </w:r>
      <w:r>
        <w:tab/>
        <w:t>Giving notices under Act s. 57A and s. 57B and r. 25</w:t>
      </w:r>
      <w:bookmarkEnd w:id="22"/>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23" w:name="_Toc161749977"/>
      <w:r>
        <w:rPr>
          <w:rStyle w:val="CharSectno"/>
        </w:rPr>
        <w:t>7</w:t>
      </w:r>
      <w:r>
        <w:rPr>
          <w:snapToGrid w:val="0"/>
        </w:rPr>
        <w:t>.</w:t>
      </w:r>
      <w:r>
        <w:rPr>
          <w:snapToGrid w:val="0"/>
        </w:rPr>
        <w:tab/>
      </w:r>
      <w:r>
        <w:t>Discontinuance or reduction of weekly payments</w:t>
      </w:r>
      <w:bookmarkEnd w:id="23"/>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lastRenderedPageBreak/>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24" w:name="_Toc161749978"/>
      <w:r>
        <w:rPr>
          <w:rStyle w:val="CharSectno"/>
        </w:rPr>
        <w:t>7A</w:t>
      </w:r>
      <w:r>
        <w:t>.</w:t>
      </w:r>
      <w:r>
        <w:tab/>
        <w:t>Form of progress certificate of capacity</w:t>
      </w:r>
      <w:bookmarkEnd w:id="24"/>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25" w:name="_Toc161749979"/>
      <w:r>
        <w:rPr>
          <w:rStyle w:val="CharSectno"/>
        </w:rPr>
        <w:t>8</w:t>
      </w:r>
      <w:r>
        <w:t>.</w:t>
      </w:r>
      <w:r>
        <w:tab/>
        <w:t>Frequency and time of medical examinations (Act s. 66)</w:t>
      </w:r>
      <w:bookmarkEnd w:id="25"/>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lastRenderedPageBreak/>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26" w:name="_Toc161749980"/>
      <w:r>
        <w:rPr>
          <w:rStyle w:val="CharSectno"/>
        </w:rPr>
        <w:t>9</w:t>
      </w:r>
      <w:r>
        <w:rPr>
          <w:snapToGrid w:val="0"/>
        </w:rPr>
        <w:t>.</w:t>
      </w:r>
      <w:r>
        <w:rPr>
          <w:snapToGrid w:val="0"/>
        </w:rPr>
        <w:tab/>
        <w:t>Compound discount table</w:t>
      </w:r>
      <w:bookmarkEnd w:id="26"/>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27" w:name="_Toc161749981"/>
      <w:r>
        <w:rPr>
          <w:rStyle w:val="CharSectno"/>
        </w:rPr>
        <w:t>9A</w:t>
      </w:r>
      <w:r>
        <w:rPr>
          <w:snapToGrid w:val="0"/>
        </w:rPr>
        <w:t>.</w:t>
      </w:r>
      <w:r>
        <w:rPr>
          <w:snapToGrid w:val="0"/>
        </w:rPr>
        <w:tab/>
        <w:t>Discount formula</w:t>
      </w:r>
      <w:bookmarkEnd w:id="27"/>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32.25pt" o:ole="" fillcolor="window">
                  <v:imagedata r:id="rId21" o:title=""/>
                </v:shape>
                <o:OLEObject Type="Embed" ProgID="Equation.3" ShapeID="_x0000_i1025" DrawAspect="Content" ObjectID="_1811755784" r:id="rId22"/>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2.25pt" o:ole="" fillcolor="window">
                  <v:imagedata r:id="rId23" o:title=""/>
                </v:shape>
                <o:OLEObject Type="Embed" ProgID="Equation.3" ShapeID="_x0000_i1026" DrawAspect="Content" ObjectID="_1811755785" r:id="rId24"/>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28" w:name="_Toc161749982"/>
      <w:r>
        <w:rPr>
          <w:rStyle w:val="CharSectno"/>
        </w:rPr>
        <w:t>10</w:t>
      </w:r>
      <w:r>
        <w:t>.</w:t>
      </w:r>
      <w:r>
        <w:tab/>
        <w:t>Worker not residing in State</w:t>
      </w:r>
      <w:bookmarkEnd w:id="28"/>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lastRenderedPageBreak/>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29" w:name="_Toc161749983"/>
      <w:r>
        <w:rPr>
          <w:rStyle w:val="CharSectno"/>
        </w:rPr>
        <w:t>11</w:t>
      </w:r>
      <w:r>
        <w:rPr>
          <w:snapToGrid w:val="0"/>
        </w:rPr>
        <w:t>.</w:t>
      </w:r>
      <w:r>
        <w:rPr>
          <w:snapToGrid w:val="0"/>
        </w:rPr>
        <w:tab/>
        <w:t>Payments after death outside State</w:t>
      </w:r>
      <w:bookmarkEnd w:id="29"/>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 xml:space="preserve">On receipt of the certificate of death and the documents mentioned in this regulation, the Director shall examine them, </w:t>
      </w:r>
      <w:r>
        <w:rPr>
          <w:snapToGrid w:val="0"/>
        </w:rPr>
        <w:lastRenderedPageBreak/>
        <w:t>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30" w:name="_Toc161749984"/>
      <w:r>
        <w:rPr>
          <w:rStyle w:val="CharSectno"/>
        </w:rPr>
        <w:t>11A</w:t>
      </w:r>
      <w:r>
        <w:t>.</w:t>
      </w:r>
      <w:r>
        <w:tab/>
        <w:t>Amount to discharge liability for child’s allowance (Act s. 72J(5))</w:t>
      </w:r>
      <w:bookmarkEnd w:id="30"/>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lastRenderedPageBreak/>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31" w:name="_Toc161749985"/>
      <w:r>
        <w:rPr>
          <w:rStyle w:val="CharSectno"/>
        </w:rPr>
        <w:t>12</w:t>
      </w:r>
      <w:r>
        <w:rPr>
          <w:snapToGrid w:val="0"/>
        </w:rPr>
        <w:t>.</w:t>
      </w:r>
      <w:r>
        <w:rPr>
          <w:snapToGrid w:val="0"/>
        </w:rPr>
        <w:tab/>
        <w:t>Agreements</w:t>
      </w:r>
      <w:bookmarkEnd w:id="31"/>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lastRenderedPageBreak/>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lastRenderedPageBreak/>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32" w:name="_Toc161749986"/>
      <w:r>
        <w:rPr>
          <w:rStyle w:val="CharSectno"/>
        </w:rPr>
        <w:t>12AA</w:t>
      </w:r>
      <w:r>
        <w:t>.</w:t>
      </w:r>
      <w:r>
        <w:tab/>
        <w:t>Notice of intention to dismiss worker (Act s. 84AB)</w:t>
      </w:r>
      <w:bookmarkEnd w:id="32"/>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33" w:name="_Toc161749987"/>
      <w:r>
        <w:rPr>
          <w:rStyle w:val="CharSectno"/>
        </w:rPr>
        <w:t>12A</w:t>
      </w:r>
      <w:r>
        <w:rPr>
          <w:snapToGrid w:val="0"/>
        </w:rPr>
        <w:t>.</w:t>
      </w:r>
      <w:r>
        <w:rPr>
          <w:snapToGrid w:val="0"/>
        </w:rPr>
        <w:tab/>
        <w:t>Contributions to General Account</w:t>
      </w:r>
      <w:bookmarkEnd w:id="33"/>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34" w:name="_Toc161749988"/>
      <w:r>
        <w:rPr>
          <w:rStyle w:val="CharSectno"/>
        </w:rPr>
        <w:t>13</w:t>
      </w:r>
      <w:r>
        <w:t>.</w:t>
      </w:r>
      <w:r>
        <w:tab/>
        <w:t>Ascertaining amount for reimbursement (Act s. 154AC(1))</w:t>
      </w:r>
      <w:bookmarkEnd w:id="34"/>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lastRenderedPageBreak/>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35" w:name="_Toc161749989"/>
      <w:r>
        <w:rPr>
          <w:rStyle w:val="CharSectno"/>
        </w:rPr>
        <w:t>13A</w:t>
      </w:r>
      <w:r>
        <w:t>.</w:t>
      </w:r>
      <w:r>
        <w:tab/>
        <w:t>Prescribed rate of interest (Act s. 222(2), 223(2) and 224(2))</w:t>
      </w:r>
      <w:bookmarkEnd w:id="35"/>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lastRenderedPageBreak/>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36" w:name="_Toc161749990"/>
      <w:r>
        <w:rPr>
          <w:rStyle w:val="CharSectno"/>
        </w:rPr>
        <w:t>14</w:t>
      </w:r>
      <w:r>
        <w:t>.</w:t>
      </w:r>
      <w:r>
        <w:tab/>
        <w:t>Insurance requirement (Act s. 160(1))</w:t>
      </w:r>
      <w:bookmarkEnd w:id="36"/>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lastRenderedPageBreak/>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37" w:name="_Toc161749991"/>
      <w:r>
        <w:rPr>
          <w:rStyle w:val="CharSectno"/>
        </w:rPr>
        <w:t>15</w:t>
      </w:r>
      <w:r>
        <w:t>.</w:t>
      </w:r>
      <w:r>
        <w:tab/>
        <w:t>Statements by approved insurance offices</w:t>
      </w:r>
      <w:bookmarkEnd w:id="37"/>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38" w:name="_Toc161749992"/>
      <w:r>
        <w:rPr>
          <w:rStyle w:val="CharSectno"/>
        </w:rPr>
        <w:t>16A</w:t>
      </w:r>
      <w:r>
        <w:t>.</w:t>
      </w:r>
      <w:r>
        <w:tab/>
        <w:t>Clause 1C notifications and elections (Act Sch. 1 cl. 1C, Sch. 8 cl. 10)</w:t>
      </w:r>
      <w:bookmarkEnd w:id="38"/>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lastRenderedPageBreak/>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lastRenderedPageBreak/>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39" w:name="_Toc161749993"/>
      <w:r>
        <w:rPr>
          <w:rStyle w:val="CharSectno"/>
        </w:rPr>
        <w:t>17</w:t>
      </w:r>
      <w:r>
        <w:t>.</w:t>
      </w:r>
      <w:r>
        <w:tab/>
        <w:t>Prescribed allowance (Act Sch. 1 cl. 11(2))</w:t>
      </w:r>
      <w:bookmarkEnd w:id="39"/>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40" w:name="_Toc161749994"/>
      <w:r>
        <w:rPr>
          <w:rStyle w:val="CharSectno"/>
        </w:rPr>
        <w:t>17AA</w:t>
      </w:r>
      <w:r>
        <w:t>.</w:t>
      </w:r>
      <w:r>
        <w:tab/>
        <w:t>Prescribed rate for vehicle running expenses (Act Sch. 1 cl. 19(1))</w:t>
      </w:r>
      <w:bookmarkEnd w:id="40"/>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lastRenderedPageBreak/>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41" w:name="_Toc161749995"/>
      <w:r>
        <w:rPr>
          <w:rStyle w:val="CharSectno"/>
        </w:rPr>
        <w:t>17AB</w:t>
      </w:r>
      <w:r>
        <w:t>.</w:t>
      </w:r>
      <w:r>
        <w:tab/>
        <w:t>Exceptional circumstances (Act Sch. 1 cl. 18A(2aa)(c)(ii))</w:t>
      </w:r>
      <w:bookmarkEnd w:id="41"/>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lastRenderedPageBreak/>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42" w:name="_Toc161749996"/>
      <w:r>
        <w:rPr>
          <w:rStyle w:val="CharSectno"/>
        </w:rPr>
        <w:t>17AC</w:t>
      </w:r>
      <w:r>
        <w:t>.</w:t>
      </w:r>
      <w:r>
        <w:tab/>
        <w:t>Management plan (Act Sch. 1 cl. 18A(2ac))</w:t>
      </w:r>
      <w:bookmarkEnd w:id="42"/>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43" w:name="_Toc161749997"/>
      <w:r>
        <w:rPr>
          <w:rStyle w:val="CharSectno"/>
        </w:rPr>
        <w:t>17AD</w:t>
      </w:r>
      <w:r>
        <w:t>.</w:t>
      </w:r>
      <w:r>
        <w:tab/>
        <w:t>Extending final day</w:t>
      </w:r>
      <w:bookmarkEnd w:id="43"/>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lastRenderedPageBreak/>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44" w:name="_Toc161749998"/>
      <w:r>
        <w:rPr>
          <w:rStyle w:val="CharSectno"/>
        </w:rPr>
        <w:t>17AE</w:t>
      </w:r>
      <w:r>
        <w:t>.</w:t>
      </w:r>
      <w:r>
        <w:tab/>
        <w:t>Amount prescribed for funeral expenses (Act Sch. 1 cl. 17(2), Sch. 8 cl. 10(1))</w:t>
      </w:r>
      <w:bookmarkEnd w:id="44"/>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45" w:name="_Toc161749999"/>
      <w:r>
        <w:rPr>
          <w:rStyle w:val="CharSectno"/>
        </w:rPr>
        <w:lastRenderedPageBreak/>
        <w:t>17AF</w:t>
      </w:r>
      <w:r>
        <w:t>.</w:t>
      </w:r>
      <w:r>
        <w:tab/>
        <w:t>Amount prescribed for child’s allowance (Act Sch. 1A cl. 5(b))</w:t>
      </w:r>
      <w:bookmarkEnd w:id="45"/>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46" w:name="_Toc161750000"/>
      <w:r>
        <w:rPr>
          <w:rStyle w:val="CharSectno"/>
        </w:rPr>
        <w:t>17AG</w:t>
      </w:r>
      <w:r>
        <w:t>.</w:t>
      </w:r>
      <w:r>
        <w:tab/>
        <w:t>Amount prescribed for funeral expenses (Act Sch. 1A cl. 9(2)(b))</w:t>
      </w:r>
      <w:bookmarkEnd w:id="46"/>
    </w:p>
    <w:p>
      <w:pPr>
        <w:pStyle w:val="Ednotesubsection"/>
      </w:pPr>
      <w:r>
        <w:tab/>
        <w:t>[(1)</w:t>
      </w:r>
      <w:r>
        <w:tab/>
        <w:t>deleted]</w:t>
      </w:r>
    </w:p>
    <w:p>
      <w:pPr>
        <w:pStyle w:val="Subsection"/>
        <w:keepNext/>
      </w:pPr>
      <w:r>
        <w:lastRenderedPageBreak/>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47" w:name="_Toc161750001"/>
      <w:r>
        <w:rPr>
          <w:rStyle w:val="CharSectno"/>
        </w:rPr>
        <w:t>17A</w:t>
      </w:r>
      <w:r>
        <w:t>.</w:t>
      </w:r>
      <w:r>
        <w:tab/>
        <w:t>Supplementary amount</w:t>
      </w:r>
      <w:bookmarkEnd w:id="47"/>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lastRenderedPageBreak/>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48" w:name="_Toc161750002"/>
      <w:r>
        <w:rPr>
          <w:rStyle w:val="CharSectno"/>
        </w:rPr>
        <w:t>17B</w:t>
      </w:r>
      <w:r>
        <w:t>.</w:t>
      </w:r>
      <w:r>
        <w:tab/>
        <w:t>Witness allowances</w:t>
      </w:r>
      <w:bookmarkEnd w:id="48"/>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49" w:name="_Toc161750003"/>
      <w:r>
        <w:rPr>
          <w:rStyle w:val="CharSectno"/>
        </w:rPr>
        <w:t>18</w:t>
      </w:r>
      <w:r>
        <w:rPr>
          <w:snapToGrid w:val="0"/>
        </w:rPr>
        <w:t>.</w:t>
      </w:r>
      <w:r>
        <w:rPr>
          <w:snapToGrid w:val="0"/>
        </w:rPr>
        <w:tab/>
        <w:t>Form of election to receive redemption amount or supplementary amount</w:t>
      </w:r>
      <w:bookmarkEnd w:id="49"/>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0" w:name="_Toc161750004"/>
      <w:r>
        <w:rPr>
          <w:rStyle w:val="CharPartNo"/>
        </w:rPr>
        <w:lastRenderedPageBreak/>
        <w:t>Part 2A</w:t>
      </w:r>
      <w:r>
        <w:rPr>
          <w:b w:val="0"/>
        </w:rPr>
        <w:t> </w:t>
      </w:r>
      <w:r>
        <w:t>—</w:t>
      </w:r>
      <w:r>
        <w:rPr>
          <w:b w:val="0"/>
        </w:rPr>
        <w:t> </w:t>
      </w:r>
      <w:r>
        <w:rPr>
          <w:rStyle w:val="CharPartText"/>
        </w:rPr>
        <w:t>Assessment of costs</w:t>
      </w:r>
      <w:bookmarkEnd w:id="50"/>
    </w:p>
    <w:p>
      <w:pPr>
        <w:pStyle w:val="Footnoteheading"/>
      </w:pPr>
      <w:r>
        <w:tab/>
        <w:t>[Heading inserted: Gazette 28 Oct 2005 p. 4871.]</w:t>
      </w:r>
    </w:p>
    <w:p>
      <w:pPr>
        <w:pStyle w:val="Heading5"/>
      </w:pPr>
      <w:bookmarkStart w:id="51" w:name="_Toc161750005"/>
      <w:r>
        <w:rPr>
          <w:rStyle w:val="CharSectno"/>
        </w:rPr>
        <w:t>18A</w:t>
      </w:r>
      <w:r>
        <w:t>.</w:t>
      </w:r>
      <w:r>
        <w:tab/>
        <w:t>Application of this Part</w:t>
      </w:r>
      <w:bookmarkEnd w:id="5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52" w:name="_Toc161750006"/>
      <w:r>
        <w:rPr>
          <w:rStyle w:val="CharSectno"/>
        </w:rPr>
        <w:t>18B</w:t>
      </w:r>
      <w:r>
        <w:t>.</w:t>
      </w:r>
      <w:r>
        <w:tab/>
        <w:t>Terms used</w:t>
      </w:r>
      <w:bookmarkEnd w:id="5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53" w:name="_Toc161750007"/>
      <w:r>
        <w:rPr>
          <w:rStyle w:val="CharSectno"/>
        </w:rPr>
        <w:lastRenderedPageBreak/>
        <w:t>18C</w:t>
      </w:r>
      <w:r>
        <w:t>.</w:t>
      </w:r>
      <w:r>
        <w:tab/>
        <w:t>Application for assessment of costs</w:t>
      </w:r>
      <w:bookmarkEnd w:id="53"/>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54" w:name="_Toc161750008"/>
      <w:r>
        <w:rPr>
          <w:rStyle w:val="CharSectno"/>
        </w:rPr>
        <w:t>18D</w:t>
      </w:r>
      <w:r>
        <w:t>.</w:t>
      </w:r>
      <w:r>
        <w:tab/>
        <w:t>Taxing officer may require application to be given to other persons</w:t>
      </w:r>
      <w:bookmarkEnd w:id="5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lastRenderedPageBreak/>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55" w:name="_Toc161750009"/>
      <w:r>
        <w:rPr>
          <w:rStyle w:val="CharSectno"/>
        </w:rPr>
        <w:t>18E</w:t>
      </w:r>
      <w:r>
        <w:t>.</w:t>
      </w:r>
      <w:r>
        <w:tab/>
        <w:t>Taxing officer may require documents or further particulars</w:t>
      </w:r>
      <w:bookmarkEnd w:id="5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56" w:name="_Toc161750010"/>
      <w:r>
        <w:rPr>
          <w:rStyle w:val="CharSectno"/>
        </w:rPr>
        <w:lastRenderedPageBreak/>
        <w:t>18F</w:t>
      </w:r>
      <w:r>
        <w:t>.</w:t>
      </w:r>
      <w:r>
        <w:tab/>
        <w:t>Consideration of application</w:t>
      </w:r>
      <w:bookmarkEnd w:id="56"/>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57" w:name="_Toc161750011"/>
      <w:r>
        <w:rPr>
          <w:rStyle w:val="CharSectno"/>
        </w:rPr>
        <w:t>18G</w:t>
      </w:r>
      <w:r>
        <w:t>.</w:t>
      </w:r>
      <w:r>
        <w:tab/>
        <w:t>Assessment to give effect to order and costs determination</w:t>
      </w:r>
      <w:bookmarkEnd w:id="5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58" w:name="_Toc161750012"/>
      <w:r>
        <w:rPr>
          <w:rStyle w:val="CharSectno"/>
        </w:rPr>
        <w:t>18H</w:t>
      </w:r>
      <w:r>
        <w:t>.</w:t>
      </w:r>
      <w:r>
        <w:tab/>
        <w:t>Matters to be considered</w:t>
      </w:r>
      <w:bookmarkEnd w:id="5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lastRenderedPageBreak/>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59" w:name="_Toc161750013"/>
      <w:r>
        <w:rPr>
          <w:rStyle w:val="CharSectno"/>
        </w:rPr>
        <w:t>18I</w:t>
      </w:r>
      <w:r>
        <w:t>.</w:t>
      </w:r>
      <w:r>
        <w:tab/>
        <w:t>Cost of assessment</w:t>
      </w:r>
      <w:bookmarkEnd w:id="59"/>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60" w:name="_Toc161750014"/>
      <w:r>
        <w:rPr>
          <w:rStyle w:val="CharSectno"/>
        </w:rPr>
        <w:t>18J</w:t>
      </w:r>
      <w:r>
        <w:t>.</w:t>
      </w:r>
      <w:r>
        <w:tab/>
        <w:t>Enforcement of assessment</w:t>
      </w:r>
      <w:bookmarkEnd w:id="6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61" w:name="_Toc161750015"/>
      <w:r>
        <w:rPr>
          <w:rStyle w:val="CharSectno"/>
        </w:rPr>
        <w:lastRenderedPageBreak/>
        <w:t>18K</w:t>
      </w:r>
      <w:r>
        <w:t>.</w:t>
      </w:r>
      <w:r>
        <w:tab/>
        <w:t>Correction of error</w:t>
      </w:r>
      <w:bookmarkEnd w:id="61"/>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62" w:name="_Toc161750016"/>
      <w:r>
        <w:rPr>
          <w:rStyle w:val="CharSectno"/>
        </w:rPr>
        <w:t>18LA</w:t>
      </w:r>
      <w:r>
        <w:t>.</w:t>
      </w:r>
      <w:r>
        <w:tab/>
        <w:t>Transitional provision</w:t>
      </w:r>
      <w:bookmarkEnd w:id="6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63" w:name="_Toc161750017"/>
      <w:r>
        <w:rPr>
          <w:rStyle w:val="CharPartNo"/>
        </w:rPr>
        <w:lastRenderedPageBreak/>
        <w:t>Part 2B</w:t>
      </w:r>
      <w:r>
        <w:rPr>
          <w:b w:val="0"/>
        </w:rPr>
        <w:t> </w:t>
      </w:r>
      <w:r>
        <w:t>—</w:t>
      </w:r>
      <w:r>
        <w:rPr>
          <w:b w:val="0"/>
        </w:rPr>
        <w:t> </w:t>
      </w:r>
      <w:r>
        <w:rPr>
          <w:rStyle w:val="CharPartText"/>
        </w:rPr>
        <w:t>Medical assessment</w:t>
      </w:r>
      <w:bookmarkEnd w:id="63"/>
    </w:p>
    <w:p>
      <w:pPr>
        <w:pStyle w:val="Footnoteheading"/>
      </w:pPr>
      <w:r>
        <w:tab/>
        <w:t>[Heading inserted: Gazette 28 Oct 2005 p. 4876.]</w:t>
      </w:r>
    </w:p>
    <w:p>
      <w:pPr>
        <w:pStyle w:val="Heading5"/>
        <w:spacing w:before="240"/>
      </w:pPr>
      <w:bookmarkStart w:id="64" w:name="_Toc161750018"/>
      <w:r>
        <w:rPr>
          <w:rStyle w:val="CharSectno"/>
        </w:rPr>
        <w:t>18L</w:t>
      </w:r>
      <w:r>
        <w:t>.</w:t>
      </w:r>
      <w:r>
        <w:tab/>
        <w:t>Terms used</w:t>
      </w:r>
      <w:bookmarkEnd w:id="64"/>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lastRenderedPageBreak/>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65" w:name="_Toc161750019"/>
      <w:r>
        <w:rPr>
          <w:rStyle w:val="CharSectno"/>
        </w:rPr>
        <w:t>18M</w:t>
      </w:r>
      <w:r>
        <w:t>.</w:t>
      </w:r>
      <w:r>
        <w:tab/>
        <w:t>Request for assessment by approved medical specialist of worker’s degree of impairment</w:t>
      </w:r>
      <w:bookmarkEnd w:id="65"/>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66" w:name="_Toc161750020"/>
      <w:r>
        <w:rPr>
          <w:rStyle w:val="CharSectno"/>
        </w:rPr>
        <w:t>18N</w:t>
      </w:r>
      <w:r>
        <w:t>.</w:t>
      </w:r>
      <w:r>
        <w:tab/>
        <w:t>Requirement to attend at place specified by approved medical specialist</w:t>
      </w:r>
      <w:bookmarkEnd w:id="6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lastRenderedPageBreak/>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67" w:name="_Toc161750021"/>
      <w:r>
        <w:rPr>
          <w:rStyle w:val="CharSectno"/>
        </w:rPr>
        <w:t>18O</w:t>
      </w:r>
      <w:r>
        <w:t>.</w:t>
      </w:r>
      <w:r>
        <w:tab/>
        <w:t>Requirement to produce to approved medical specialist relevant documents and information and give consent</w:t>
      </w:r>
      <w:bookmarkEnd w:id="6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lastRenderedPageBreak/>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68" w:name="_Toc161750022"/>
      <w:r>
        <w:rPr>
          <w:rStyle w:val="CharSectno"/>
        </w:rPr>
        <w:t>18P</w:t>
      </w:r>
      <w:r>
        <w:t>.</w:t>
      </w:r>
      <w:r>
        <w:tab/>
        <w:t>Period for compliance with requirements</w:t>
      </w:r>
      <w:bookmarkEnd w:id="6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69" w:name="_Toc161750023"/>
      <w:r>
        <w:rPr>
          <w:rStyle w:val="CharSectno"/>
        </w:rPr>
        <w:t>18Q</w:t>
      </w:r>
      <w:r>
        <w:t>.</w:t>
      </w:r>
      <w:r>
        <w:tab/>
        <w:t>Requirement for worker to produce requested information</w:t>
      </w:r>
      <w:bookmarkEnd w:id="6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lastRenderedPageBreak/>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70" w:name="_Toc161750024"/>
      <w:r>
        <w:rPr>
          <w:rStyle w:val="CharSectno"/>
        </w:rPr>
        <w:t>18R</w:t>
      </w:r>
      <w:r>
        <w:t>.</w:t>
      </w:r>
      <w:r>
        <w:tab/>
        <w:t>Reports and certificates regarding outcome of assessment</w:t>
      </w:r>
      <w:bookmarkEnd w:id="7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lastRenderedPageBreak/>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71" w:name="_Toc161750025"/>
      <w:r>
        <w:rPr>
          <w:rStyle w:val="CharSectno"/>
        </w:rPr>
        <w:t>18S</w:t>
      </w:r>
      <w:r>
        <w:t>.</w:t>
      </w:r>
      <w:r>
        <w:tab/>
        <w:t>Requirement to attend at place specified by approved medical specialist panel</w:t>
      </w:r>
      <w:bookmarkEnd w:id="7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72" w:name="_Toc161750026"/>
      <w:r>
        <w:rPr>
          <w:rStyle w:val="CharSectno"/>
        </w:rPr>
        <w:t>18T</w:t>
      </w:r>
      <w:r>
        <w:t>.</w:t>
      </w:r>
      <w:r>
        <w:tab/>
        <w:t>Requirement to produce to approved medical specialist panel relevant documents and information and give consent</w:t>
      </w:r>
      <w:bookmarkEnd w:id="72"/>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lastRenderedPageBreak/>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73" w:name="_Toc161750027"/>
      <w:r>
        <w:rPr>
          <w:rStyle w:val="CharSectno"/>
        </w:rPr>
        <w:t>18U</w:t>
      </w:r>
      <w:r>
        <w:t>.</w:t>
      </w:r>
      <w:r>
        <w:tab/>
        <w:t>Period for compliance with requirements</w:t>
      </w:r>
      <w:bookmarkEnd w:id="73"/>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74" w:name="_Toc161750028"/>
      <w:r>
        <w:rPr>
          <w:rStyle w:val="CharSectno"/>
        </w:rPr>
        <w:t>18V</w:t>
      </w:r>
      <w:r>
        <w:t>.</w:t>
      </w:r>
      <w:r>
        <w:tab/>
        <w:t>Requirement for worker to produce requested information</w:t>
      </w:r>
      <w:bookmarkEnd w:id="7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w:t>
      </w:r>
      <w:r>
        <w:lastRenderedPageBreak/>
        <w:t xml:space="preserve">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75" w:name="_Toc161750029"/>
      <w:r>
        <w:rPr>
          <w:rStyle w:val="CharSectno"/>
        </w:rPr>
        <w:t>18W</w:t>
      </w:r>
      <w:r>
        <w:t>.</w:t>
      </w:r>
      <w:r>
        <w:tab/>
        <w:t>Reports and certificates regarding outcome of assessment</w:t>
      </w:r>
      <w:bookmarkEnd w:id="75"/>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76" w:name="_Toc161750030"/>
      <w:r>
        <w:rPr>
          <w:rStyle w:val="CharPartNo"/>
        </w:rPr>
        <w:lastRenderedPageBreak/>
        <w:t>Part 3</w:t>
      </w:r>
      <w:r>
        <w:rPr>
          <w:rStyle w:val="CharDivNo"/>
        </w:rPr>
        <w:t> </w:t>
      </w:r>
      <w:r>
        <w:t>—</w:t>
      </w:r>
      <w:r>
        <w:rPr>
          <w:rStyle w:val="CharDivText"/>
        </w:rPr>
        <w:t> </w:t>
      </w:r>
      <w:r>
        <w:rPr>
          <w:rStyle w:val="CharPartText"/>
        </w:rPr>
        <w:t>Noise induced hearing loss</w:t>
      </w:r>
      <w:bookmarkEnd w:id="76"/>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77" w:name="_Toc161750031"/>
      <w:r>
        <w:rPr>
          <w:rStyle w:val="CharSectno"/>
        </w:rPr>
        <w:t>19A</w:t>
      </w:r>
      <w:r>
        <w:rPr>
          <w:snapToGrid w:val="0"/>
        </w:rPr>
        <w:t>.</w:t>
      </w:r>
      <w:r>
        <w:rPr>
          <w:snapToGrid w:val="0"/>
        </w:rPr>
        <w:tab/>
        <w:t>Terms used</w:t>
      </w:r>
      <w:bookmarkEnd w:id="7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78" w:name="_Toc161750032"/>
      <w:r>
        <w:rPr>
          <w:rStyle w:val="CharSectno"/>
        </w:rPr>
        <w:t>19B</w:t>
      </w:r>
      <w:r>
        <w:rPr>
          <w:snapToGrid w:val="0"/>
        </w:rPr>
        <w:t>.</w:t>
      </w:r>
      <w:r>
        <w:rPr>
          <w:snapToGrid w:val="0"/>
        </w:rPr>
        <w:tab/>
        <w:t>Persons approved to carry out audiometric testing</w:t>
      </w:r>
      <w:bookmarkEnd w:id="7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lastRenderedPageBreak/>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79" w:name="_Toc161750033"/>
      <w:r>
        <w:rPr>
          <w:rStyle w:val="CharSectno"/>
        </w:rPr>
        <w:t>19C</w:t>
      </w:r>
      <w:r>
        <w:rPr>
          <w:snapToGrid w:val="0"/>
        </w:rPr>
        <w:t>.</w:t>
      </w:r>
      <w:r>
        <w:rPr>
          <w:snapToGrid w:val="0"/>
        </w:rPr>
        <w:tab/>
        <w:t>Testing procedures</w:t>
      </w:r>
      <w:bookmarkEnd w:id="79"/>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lastRenderedPageBreak/>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w:t>
      </w:r>
      <w:r>
        <w:rPr>
          <w:snapToGrid w:val="0"/>
        </w:rPr>
        <w:lastRenderedPageBreak/>
        <w:t>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w:t>
      </w:r>
      <w:r>
        <w:rPr>
          <w:snapToGrid w:val="0"/>
        </w:rPr>
        <w:lastRenderedPageBreak/>
        <w:t>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80" w:name="_Toc161750034"/>
      <w:r>
        <w:rPr>
          <w:rStyle w:val="CharSectno"/>
        </w:rPr>
        <w:lastRenderedPageBreak/>
        <w:t>19D</w:t>
      </w:r>
      <w:r>
        <w:rPr>
          <w:snapToGrid w:val="0"/>
        </w:rPr>
        <w:t>.</w:t>
      </w:r>
      <w:r>
        <w:rPr>
          <w:snapToGrid w:val="0"/>
        </w:rPr>
        <w:tab/>
        <w:t>Notice of audiometric test and testing arrangements</w:t>
      </w:r>
      <w:bookmarkEnd w:id="8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81" w:name="_Toc161750035"/>
      <w:r>
        <w:rPr>
          <w:rStyle w:val="CharSectno"/>
        </w:rPr>
        <w:t>19E</w:t>
      </w:r>
      <w:r>
        <w:rPr>
          <w:snapToGrid w:val="0"/>
        </w:rPr>
        <w:t>.</w:t>
      </w:r>
      <w:r>
        <w:rPr>
          <w:snapToGrid w:val="0"/>
        </w:rPr>
        <w:tab/>
        <w:t>Calculation of loss of hearing</w:t>
      </w:r>
      <w:bookmarkEnd w:id="81"/>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82" w:name="_Toc161750036"/>
      <w:r>
        <w:rPr>
          <w:rStyle w:val="CharSectno"/>
        </w:rPr>
        <w:t>19F</w:t>
      </w:r>
      <w:r>
        <w:rPr>
          <w:snapToGrid w:val="0"/>
        </w:rPr>
        <w:t>.</w:t>
      </w:r>
      <w:r>
        <w:rPr>
          <w:snapToGrid w:val="0"/>
        </w:rPr>
        <w:tab/>
        <w:t>Report on audiometric test and storage of results</w:t>
      </w:r>
      <w:bookmarkEnd w:id="8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lastRenderedPageBreak/>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83" w:name="_Toc161750037"/>
      <w:r>
        <w:rPr>
          <w:rStyle w:val="CharSectno"/>
        </w:rPr>
        <w:t>19H</w:t>
      </w:r>
      <w:r>
        <w:rPr>
          <w:snapToGrid w:val="0"/>
        </w:rPr>
        <w:t>.</w:t>
      </w:r>
      <w:r>
        <w:rPr>
          <w:snapToGrid w:val="0"/>
        </w:rPr>
        <w:tab/>
        <w:t>Retest of person’s hearing</w:t>
      </w:r>
      <w:bookmarkEnd w:id="8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lastRenderedPageBreak/>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84" w:name="_Toc161750038"/>
      <w:r>
        <w:rPr>
          <w:rStyle w:val="CharSectno"/>
        </w:rPr>
        <w:t>19I</w:t>
      </w:r>
      <w:r>
        <w:rPr>
          <w:snapToGrid w:val="0"/>
        </w:rPr>
        <w:t>.</w:t>
      </w:r>
      <w:r>
        <w:rPr>
          <w:snapToGrid w:val="0"/>
        </w:rPr>
        <w:tab/>
        <w:t>Prescribed workplaces</w:t>
      </w:r>
      <w:bookmarkEnd w:id="8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lastRenderedPageBreak/>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85" w:name="_Toc161750039"/>
      <w:r>
        <w:rPr>
          <w:rStyle w:val="CharPartNo"/>
        </w:rPr>
        <w:lastRenderedPageBreak/>
        <w:t>Part 3A</w:t>
      </w:r>
      <w:r>
        <w:t xml:space="preserve"> — </w:t>
      </w:r>
      <w:r>
        <w:rPr>
          <w:rStyle w:val="CharPartText"/>
        </w:rPr>
        <w:t>Constraints on awards of common law damages</w:t>
      </w:r>
      <w:bookmarkEnd w:id="85"/>
    </w:p>
    <w:p>
      <w:pPr>
        <w:pStyle w:val="Footnoteheading"/>
        <w:tabs>
          <w:tab w:val="left" w:pos="851"/>
        </w:tabs>
      </w:pPr>
      <w:r>
        <w:rPr>
          <w:snapToGrid w:val="0"/>
        </w:rPr>
        <w:tab/>
        <w:t>[</w:t>
      </w:r>
      <w:r>
        <w:t>Heading inserted: Gazette 15 Oct 1999 p. 4890.]</w:t>
      </w:r>
    </w:p>
    <w:p>
      <w:pPr>
        <w:pStyle w:val="Heading3"/>
      </w:pPr>
      <w:bookmarkStart w:id="86" w:name="_Toc161750040"/>
      <w:r>
        <w:rPr>
          <w:rStyle w:val="CharDivNo"/>
        </w:rPr>
        <w:t>Division 1</w:t>
      </w:r>
      <w:r>
        <w:t> — </w:t>
      </w:r>
      <w:r>
        <w:rPr>
          <w:rStyle w:val="CharDivText"/>
        </w:rPr>
        <w:t>1993 scheme</w:t>
      </w:r>
      <w:bookmarkEnd w:id="86"/>
    </w:p>
    <w:p>
      <w:pPr>
        <w:pStyle w:val="Footnoteheading"/>
        <w:tabs>
          <w:tab w:val="left" w:pos="851"/>
        </w:tabs>
      </w:pPr>
      <w:r>
        <w:rPr>
          <w:snapToGrid w:val="0"/>
        </w:rPr>
        <w:tab/>
        <w:t>[</w:t>
      </w:r>
      <w:r>
        <w:t>Heading inserted: Gazette 28 Oct 2005 p. 4885.]</w:t>
      </w:r>
    </w:p>
    <w:p>
      <w:pPr>
        <w:pStyle w:val="Heading5"/>
      </w:pPr>
      <w:bookmarkStart w:id="87" w:name="_Toc161750041"/>
      <w:r>
        <w:rPr>
          <w:rStyle w:val="CharSectno"/>
        </w:rPr>
        <w:t>19IA</w:t>
      </w:r>
      <w:r>
        <w:t>.</w:t>
      </w:r>
      <w:r>
        <w:tab/>
        <w:t>Guides for assessing degree of disability</w:t>
      </w:r>
      <w:bookmarkEnd w:id="87"/>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88" w:name="_Toc161750042"/>
      <w:r>
        <w:rPr>
          <w:rStyle w:val="CharSectno"/>
        </w:rPr>
        <w:t>19J</w:t>
      </w:r>
      <w:r>
        <w:t>.</w:t>
      </w:r>
      <w:r>
        <w:tab/>
        <w:t>Assessment of degree of disability</w:t>
      </w:r>
      <w:bookmarkEnd w:id="8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lastRenderedPageBreak/>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89" w:name="_Toc161750043"/>
      <w:r>
        <w:rPr>
          <w:rStyle w:val="CharSectno"/>
        </w:rPr>
        <w:t>19JA</w:t>
      </w:r>
      <w:r>
        <w:t>.</w:t>
      </w:r>
      <w:r>
        <w:tab/>
        <w:t>Method of referral and notification when Act s. 93EA(3) applies</w:t>
      </w:r>
      <w:bookmarkEnd w:id="8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lastRenderedPageBreak/>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90" w:name="_Toc161750044"/>
      <w:r>
        <w:rPr>
          <w:rStyle w:val="CharSectno"/>
        </w:rPr>
        <w:t>19JB</w:t>
      </w:r>
      <w:r>
        <w:t>.</w:t>
      </w:r>
      <w:r>
        <w:tab/>
        <w:t>Method of referral and notification when Act s. 93EB(3) applies</w:t>
      </w:r>
      <w:bookmarkEnd w:id="90"/>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lastRenderedPageBreak/>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91" w:name="_Toc161750045"/>
      <w:r>
        <w:rPr>
          <w:rStyle w:val="CharSectno"/>
        </w:rPr>
        <w:t>19K</w:t>
      </w:r>
      <w:r>
        <w:t>.</w:t>
      </w:r>
      <w:r>
        <w:tab/>
        <w:t>Agreement as to degree of disability</w:t>
      </w:r>
      <w:bookmarkEnd w:id="91"/>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92" w:name="_Toc161750046"/>
      <w:r>
        <w:rPr>
          <w:rStyle w:val="CharSectno"/>
        </w:rPr>
        <w:t>19L</w:t>
      </w:r>
      <w:r>
        <w:t>.</w:t>
      </w:r>
      <w:r>
        <w:tab/>
        <w:t>Determination of degree of disability</w:t>
      </w:r>
      <w:bookmarkEnd w:id="9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lastRenderedPageBreak/>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93" w:name="_Toc161750047"/>
      <w:r>
        <w:rPr>
          <w:rStyle w:val="CharSectno"/>
        </w:rPr>
        <w:t>19M</w:t>
      </w:r>
      <w:r>
        <w:t>.</w:t>
      </w:r>
      <w:r>
        <w:tab/>
        <w:t>Election to retain right to seek common law damages</w:t>
      </w:r>
      <w:bookmarkEnd w:id="93"/>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lastRenderedPageBreak/>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94" w:name="_Toc161750048"/>
      <w:r>
        <w:rPr>
          <w:rStyle w:val="CharSectno"/>
        </w:rPr>
        <w:t>19N</w:t>
      </w:r>
      <w:r>
        <w:t>.</w:t>
      </w:r>
      <w:r>
        <w:tab/>
        <w:t>Extension of time to make election under Act s. 93E(3)(b)</w:t>
      </w:r>
      <w:bookmarkEnd w:id="94"/>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w:t>
      </w:r>
      <w:r>
        <w:lastRenderedPageBreak/>
        <w:t xml:space="preserve">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lastRenderedPageBreak/>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lastRenderedPageBreak/>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95" w:name="_Toc161750049"/>
      <w:r>
        <w:rPr>
          <w:rStyle w:val="CharSectno"/>
        </w:rPr>
        <w:t>19O</w:t>
      </w:r>
      <w:r>
        <w:t>.</w:t>
      </w:r>
      <w:r>
        <w:tab/>
        <w:t>Application for compensation</w:t>
      </w:r>
      <w:bookmarkEnd w:id="95"/>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96" w:name="_Toc161750050"/>
      <w:r>
        <w:rPr>
          <w:rStyle w:val="CharSectno"/>
        </w:rPr>
        <w:lastRenderedPageBreak/>
        <w:t>19P</w:t>
      </w:r>
      <w:r>
        <w:t>.</w:t>
      </w:r>
      <w:r>
        <w:tab/>
        <w:t>Notification to workers about elections as to common law damages</w:t>
      </w:r>
      <w:bookmarkEnd w:id="9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97" w:name="_Toc161750051"/>
      <w:r>
        <w:rPr>
          <w:rStyle w:val="CharDivNo"/>
        </w:rPr>
        <w:lastRenderedPageBreak/>
        <w:t>Division 2</w:t>
      </w:r>
      <w:r>
        <w:t> — </w:t>
      </w:r>
      <w:r>
        <w:rPr>
          <w:rStyle w:val="CharDivText"/>
        </w:rPr>
        <w:t>2004 scheme</w:t>
      </w:r>
      <w:bookmarkEnd w:id="97"/>
    </w:p>
    <w:p>
      <w:pPr>
        <w:pStyle w:val="Footnoteheading"/>
        <w:keepNext/>
        <w:tabs>
          <w:tab w:val="left" w:pos="851"/>
        </w:tabs>
      </w:pPr>
      <w:r>
        <w:rPr>
          <w:snapToGrid w:val="0"/>
        </w:rPr>
        <w:tab/>
        <w:t>[</w:t>
      </w:r>
      <w:r>
        <w:t>Heading inserted: Gazette 28 Oct 2005 p. 4887.]</w:t>
      </w:r>
    </w:p>
    <w:p>
      <w:pPr>
        <w:pStyle w:val="Heading5"/>
        <w:spacing w:before="120"/>
      </w:pPr>
      <w:bookmarkStart w:id="98" w:name="_Toc161750052"/>
      <w:r>
        <w:rPr>
          <w:rStyle w:val="CharSectno"/>
        </w:rPr>
        <w:t>20</w:t>
      </w:r>
      <w:r>
        <w:t>.</w:t>
      </w:r>
      <w:r>
        <w:tab/>
        <w:t>Recording agreement</w:t>
      </w:r>
      <w:bookmarkEnd w:id="98"/>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lastRenderedPageBreak/>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99" w:name="_Toc161750053"/>
      <w:r>
        <w:rPr>
          <w:rStyle w:val="CharSectno"/>
        </w:rPr>
        <w:t>21</w:t>
      </w:r>
      <w:r>
        <w:t>.</w:t>
      </w:r>
      <w:r>
        <w:tab/>
        <w:t>Recording assessment</w:t>
      </w:r>
      <w:bookmarkEnd w:id="99"/>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lastRenderedPageBreak/>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00" w:name="_Toc161750054"/>
      <w:r>
        <w:rPr>
          <w:rStyle w:val="CharSectno"/>
        </w:rPr>
        <w:t>22</w:t>
      </w:r>
      <w:r>
        <w:t>.</w:t>
      </w:r>
      <w:r>
        <w:tab/>
        <w:t>Electing to retain right to seek damages</w:t>
      </w:r>
      <w:bookmarkEnd w:id="100"/>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101" w:name="_Toc161750055"/>
      <w:r>
        <w:rPr>
          <w:rStyle w:val="CharSectno"/>
        </w:rPr>
        <w:t>24</w:t>
      </w:r>
      <w:r>
        <w:t>.</w:t>
      </w:r>
      <w:r>
        <w:tab/>
        <w:t>Expected time for approved medical specialist to give assessment documents</w:t>
      </w:r>
      <w:bookmarkEnd w:id="101"/>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102" w:name="_Toc161750056"/>
      <w:r>
        <w:rPr>
          <w:rStyle w:val="CharSectno"/>
        </w:rPr>
        <w:lastRenderedPageBreak/>
        <w:t>25</w:t>
      </w:r>
      <w:r>
        <w:t>.</w:t>
      </w:r>
      <w:r>
        <w:tab/>
        <w:t>Notice relating to common law claims</w:t>
      </w:r>
      <w:bookmarkEnd w:id="102"/>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103" w:name="_Toc161750057"/>
      <w:r>
        <w:rPr>
          <w:rStyle w:val="CharPartNo"/>
        </w:rPr>
        <w:lastRenderedPageBreak/>
        <w:t>Part 4</w:t>
      </w:r>
      <w:r>
        <w:rPr>
          <w:b w:val="0"/>
        </w:rPr>
        <w:t> </w:t>
      </w:r>
      <w:r>
        <w:t>—</w:t>
      </w:r>
      <w:r>
        <w:rPr>
          <w:b w:val="0"/>
        </w:rPr>
        <w:t> </w:t>
      </w:r>
      <w:r>
        <w:rPr>
          <w:rStyle w:val="CharPartText"/>
        </w:rPr>
        <w:t>Registered agents</w:t>
      </w:r>
      <w:bookmarkEnd w:id="103"/>
    </w:p>
    <w:p>
      <w:pPr>
        <w:pStyle w:val="Footnoteheading"/>
        <w:tabs>
          <w:tab w:val="left" w:pos="851"/>
        </w:tabs>
      </w:pPr>
      <w:r>
        <w:rPr>
          <w:snapToGrid w:val="0"/>
        </w:rPr>
        <w:tab/>
        <w:t>[</w:t>
      </w:r>
      <w:r>
        <w:t>Heading inserted: Gazette 28 Oct 2005 p. 4893.]</w:t>
      </w:r>
    </w:p>
    <w:p>
      <w:pPr>
        <w:pStyle w:val="Heading3"/>
      </w:pPr>
      <w:bookmarkStart w:id="104" w:name="_Toc161750058"/>
      <w:r>
        <w:rPr>
          <w:rStyle w:val="CharDivNo"/>
        </w:rPr>
        <w:t>Division 1</w:t>
      </w:r>
      <w:r>
        <w:t> — </w:t>
      </w:r>
      <w:r>
        <w:rPr>
          <w:rStyle w:val="CharDivText"/>
        </w:rPr>
        <w:t>Preliminary</w:t>
      </w:r>
      <w:bookmarkEnd w:id="104"/>
    </w:p>
    <w:p>
      <w:pPr>
        <w:pStyle w:val="Footnoteheading"/>
        <w:tabs>
          <w:tab w:val="left" w:pos="851"/>
        </w:tabs>
      </w:pPr>
      <w:r>
        <w:rPr>
          <w:snapToGrid w:val="0"/>
        </w:rPr>
        <w:tab/>
        <w:t>[</w:t>
      </w:r>
      <w:r>
        <w:t>Heading inserted: Gazette 28 Oct 2005 p. 4893.]</w:t>
      </w:r>
    </w:p>
    <w:p>
      <w:pPr>
        <w:pStyle w:val="Heading5"/>
      </w:pPr>
      <w:bookmarkStart w:id="105" w:name="_Toc161750059"/>
      <w:r>
        <w:rPr>
          <w:rStyle w:val="CharSectno"/>
        </w:rPr>
        <w:t>26</w:t>
      </w:r>
      <w:r>
        <w:t>.</w:t>
      </w:r>
      <w:r>
        <w:tab/>
        <w:t>Terms used</w:t>
      </w:r>
      <w:bookmarkEnd w:id="105"/>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06" w:name="_Toc161750060"/>
      <w:r>
        <w:rPr>
          <w:rStyle w:val="CharSectno"/>
        </w:rPr>
        <w:lastRenderedPageBreak/>
        <w:t>27</w:t>
      </w:r>
      <w:r>
        <w:t>.</w:t>
      </w:r>
      <w:r>
        <w:tab/>
        <w:t>Prescribed organisations (Act s. 277(1)(e))</w:t>
      </w:r>
      <w:bookmarkEnd w:id="10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107" w:name="_Toc161750061"/>
      <w:r>
        <w:rPr>
          <w:rStyle w:val="CharSectno"/>
        </w:rPr>
        <w:t>27A</w:t>
      </w:r>
      <w:r>
        <w:t>.</w:t>
      </w:r>
      <w:r>
        <w:tab/>
        <w:t>Prescribed classes of persons (Act s. 277(1)(f))</w:t>
      </w:r>
      <w:bookmarkEnd w:id="10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08" w:name="_Toc161750062"/>
      <w:r>
        <w:rPr>
          <w:rStyle w:val="CharDivNo"/>
        </w:rPr>
        <w:t>Division 2</w:t>
      </w:r>
      <w:r>
        <w:t xml:space="preserve"> — </w:t>
      </w:r>
      <w:r>
        <w:rPr>
          <w:rStyle w:val="CharDivText"/>
        </w:rPr>
        <w:t>Registration and renewal</w:t>
      </w:r>
      <w:bookmarkEnd w:id="108"/>
    </w:p>
    <w:p>
      <w:pPr>
        <w:pStyle w:val="Footnoteheading"/>
        <w:tabs>
          <w:tab w:val="left" w:pos="851"/>
        </w:tabs>
      </w:pPr>
      <w:r>
        <w:rPr>
          <w:snapToGrid w:val="0"/>
        </w:rPr>
        <w:tab/>
        <w:t>[</w:t>
      </w:r>
      <w:r>
        <w:t>Heading inserted: Gazette 28 Oct 2005 p. 4894.]</w:t>
      </w:r>
    </w:p>
    <w:p>
      <w:pPr>
        <w:pStyle w:val="Heading5"/>
      </w:pPr>
      <w:bookmarkStart w:id="109" w:name="_Toc161750063"/>
      <w:r>
        <w:rPr>
          <w:rStyle w:val="CharSectno"/>
        </w:rPr>
        <w:t>28</w:t>
      </w:r>
      <w:r>
        <w:t>.</w:t>
      </w:r>
      <w:r>
        <w:tab/>
        <w:t>Application for registration</w:t>
      </w:r>
      <w:bookmarkEnd w:id="109"/>
    </w:p>
    <w:p>
      <w:pPr>
        <w:pStyle w:val="Subsection"/>
      </w:pPr>
      <w:r>
        <w:tab/>
        <w:t>(1)</w:t>
      </w:r>
      <w:r>
        <w:tab/>
        <w:t>An application for registration must be made to WorkCover WA in a form approved by WorkCover WA.</w:t>
      </w:r>
    </w:p>
    <w:p>
      <w:pPr>
        <w:pStyle w:val="Subsection"/>
      </w:pPr>
      <w:r>
        <w:lastRenderedPageBreak/>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lastRenderedPageBreak/>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10" w:name="_Toc161750064"/>
      <w:r>
        <w:rPr>
          <w:rStyle w:val="CharSectno"/>
        </w:rPr>
        <w:t>29</w:t>
      </w:r>
      <w:r>
        <w:t>.</w:t>
      </w:r>
      <w:r>
        <w:tab/>
        <w:t>Registration</w:t>
      </w:r>
      <w:bookmarkEnd w:id="110"/>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lastRenderedPageBreak/>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111" w:name="_Toc161750065"/>
      <w:r>
        <w:rPr>
          <w:rStyle w:val="CharSectno"/>
        </w:rPr>
        <w:t>30</w:t>
      </w:r>
      <w:r>
        <w:t>.</w:t>
      </w:r>
      <w:r>
        <w:tab/>
        <w:t>Indemnity and other conditions of registration</w:t>
      </w:r>
      <w:bookmarkEnd w:id="111"/>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lastRenderedPageBreak/>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112" w:name="_Toc161750066"/>
      <w:r>
        <w:rPr>
          <w:rStyle w:val="CharSectno"/>
        </w:rPr>
        <w:t>31</w:t>
      </w:r>
      <w:r>
        <w:t>.</w:t>
      </w:r>
      <w:r>
        <w:tab/>
        <w:t>Duration of registration</w:t>
      </w:r>
      <w:bookmarkEnd w:id="11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 xml:space="preserve">If a registered agent is removed from the register under regulation 36, or has his or her registration suspended or </w:t>
      </w:r>
      <w:r>
        <w:lastRenderedPageBreak/>
        <w:t>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13" w:name="_Toc161750067"/>
      <w:r>
        <w:rPr>
          <w:rStyle w:val="CharSectno"/>
        </w:rPr>
        <w:t>32</w:t>
      </w:r>
      <w:r>
        <w:t>.</w:t>
      </w:r>
      <w:r>
        <w:tab/>
        <w:t>Application for renewal of registration</w:t>
      </w:r>
      <w:bookmarkEnd w:id="113"/>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14" w:name="_Toc161750068"/>
      <w:r>
        <w:rPr>
          <w:rStyle w:val="CharSectno"/>
        </w:rPr>
        <w:t>33</w:t>
      </w:r>
      <w:r>
        <w:t>.</w:t>
      </w:r>
      <w:r>
        <w:tab/>
        <w:t>Certificate of registration</w:t>
      </w:r>
      <w:bookmarkEnd w:id="114"/>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lastRenderedPageBreak/>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15" w:name="_Toc161750069"/>
      <w:r>
        <w:rPr>
          <w:rStyle w:val="CharSectno"/>
        </w:rPr>
        <w:t>34</w:t>
      </w:r>
      <w:r>
        <w:t>.</w:t>
      </w:r>
      <w:r>
        <w:tab/>
        <w:t>False or misleading information</w:t>
      </w:r>
      <w:bookmarkEnd w:id="115"/>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16" w:name="_Toc161750070"/>
      <w:r>
        <w:rPr>
          <w:rStyle w:val="CharDivNo"/>
        </w:rPr>
        <w:t>Division 3</w:t>
      </w:r>
      <w:r>
        <w:t> — </w:t>
      </w:r>
      <w:r>
        <w:rPr>
          <w:rStyle w:val="CharDivText"/>
        </w:rPr>
        <w:t>The register</w:t>
      </w:r>
      <w:bookmarkEnd w:id="116"/>
    </w:p>
    <w:p>
      <w:pPr>
        <w:pStyle w:val="Footnoteheading"/>
        <w:tabs>
          <w:tab w:val="left" w:pos="851"/>
        </w:tabs>
      </w:pPr>
      <w:r>
        <w:rPr>
          <w:snapToGrid w:val="0"/>
        </w:rPr>
        <w:tab/>
        <w:t>[</w:t>
      </w:r>
      <w:r>
        <w:t>Heading inserted: Gazette 28 Oct 2005 p. 4898.]</w:t>
      </w:r>
    </w:p>
    <w:p>
      <w:pPr>
        <w:pStyle w:val="Heading5"/>
      </w:pPr>
      <w:bookmarkStart w:id="117" w:name="_Toc161750071"/>
      <w:r>
        <w:rPr>
          <w:rStyle w:val="CharSectno"/>
        </w:rPr>
        <w:t>35</w:t>
      </w:r>
      <w:r>
        <w:t>.</w:t>
      </w:r>
      <w:r>
        <w:tab/>
        <w:t>Register</w:t>
      </w:r>
      <w:bookmarkEnd w:id="11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lastRenderedPageBreak/>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18" w:name="_Toc161750072"/>
      <w:r>
        <w:rPr>
          <w:rStyle w:val="CharSectno"/>
        </w:rPr>
        <w:t>36</w:t>
      </w:r>
      <w:r>
        <w:t>.</w:t>
      </w:r>
      <w:r>
        <w:tab/>
        <w:t>Removal from register</w:t>
      </w:r>
      <w:bookmarkEnd w:id="11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119" w:name="_Toc161750073"/>
      <w:r>
        <w:rPr>
          <w:rStyle w:val="CharDivNo"/>
        </w:rPr>
        <w:t>Division 4</w:t>
      </w:r>
      <w:r>
        <w:t> — </w:t>
      </w:r>
      <w:r>
        <w:rPr>
          <w:rStyle w:val="CharDivText"/>
        </w:rPr>
        <w:t>Disciplinary powers</w:t>
      </w:r>
      <w:bookmarkEnd w:id="119"/>
    </w:p>
    <w:p>
      <w:pPr>
        <w:pStyle w:val="Footnoteheading"/>
        <w:tabs>
          <w:tab w:val="left" w:pos="851"/>
        </w:tabs>
      </w:pPr>
      <w:r>
        <w:rPr>
          <w:snapToGrid w:val="0"/>
        </w:rPr>
        <w:tab/>
        <w:t>[</w:t>
      </w:r>
      <w:r>
        <w:t>Heading inserted: Gazette 28 Oct 2005 p. 4899.]</w:t>
      </w:r>
    </w:p>
    <w:p>
      <w:pPr>
        <w:pStyle w:val="Heading5"/>
      </w:pPr>
      <w:bookmarkStart w:id="120" w:name="_Toc161750074"/>
      <w:r>
        <w:rPr>
          <w:rStyle w:val="CharSectno"/>
        </w:rPr>
        <w:t>37</w:t>
      </w:r>
      <w:r>
        <w:t>.</w:t>
      </w:r>
      <w:r>
        <w:tab/>
        <w:t>Restriction on exercise of powers</w:t>
      </w:r>
      <w:bookmarkEnd w:id="12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lastRenderedPageBreak/>
        <w:tab/>
        <w:t>[Regulation 37 inserted: Gazette 28 Oct 2005 p. 4899; amended: Gazette 9 Dec 2005 p. 5896.]</w:t>
      </w:r>
    </w:p>
    <w:p>
      <w:pPr>
        <w:pStyle w:val="Heading5"/>
      </w:pPr>
      <w:bookmarkStart w:id="121" w:name="_Toc161750075"/>
      <w:r>
        <w:rPr>
          <w:rStyle w:val="CharSectno"/>
        </w:rPr>
        <w:t>38</w:t>
      </w:r>
      <w:r>
        <w:t>.</w:t>
      </w:r>
      <w:r>
        <w:tab/>
        <w:t>Cancellation of registration</w:t>
      </w:r>
      <w:bookmarkEnd w:id="121"/>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22" w:name="_Toc161750076"/>
      <w:r>
        <w:rPr>
          <w:rStyle w:val="CharSectno"/>
        </w:rPr>
        <w:t>39</w:t>
      </w:r>
      <w:r>
        <w:t>.</w:t>
      </w:r>
      <w:r>
        <w:tab/>
        <w:t>Taking disciplinary action</w:t>
      </w:r>
      <w:bookmarkEnd w:id="12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23" w:name="_Toc161750077"/>
      <w:r>
        <w:rPr>
          <w:rStyle w:val="CharSectno"/>
        </w:rPr>
        <w:lastRenderedPageBreak/>
        <w:t>40</w:t>
      </w:r>
      <w:r>
        <w:t>.</w:t>
      </w:r>
      <w:r>
        <w:tab/>
        <w:t>Return of certificate of registration</w:t>
      </w:r>
      <w:bookmarkEnd w:id="12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24" w:name="_Toc161750078"/>
      <w:r>
        <w:rPr>
          <w:rStyle w:val="CharDivNo"/>
        </w:rPr>
        <w:t>Division 5</w:t>
      </w:r>
      <w:r>
        <w:t> — </w:t>
      </w:r>
      <w:r>
        <w:rPr>
          <w:rStyle w:val="CharDivText"/>
        </w:rPr>
        <w:t>Review</w:t>
      </w:r>
      <w:bookmarkEnd w:id="124"/>
    </w:p>
    <w:p>
      <w:pPr>
        <w:pStyle w:val="Footnoteheading"/>
        <w:tabs>
          <w:tab w:val="left" w:pos="851"/>
        </w:tabs>
      </w:pPr>
      <w:r>
        <w:rPr>
          <w:snapToGrid w:val="0"/>
        </w:rPr>
        <w:tab/>
        <w:t>[</w:t>
      </w:r>
      <w:r>
        <w:t>Heading inserted: Gazette 28 Oct 2005 p. 4900.]</w:t>
      </w:r>
    </w:p>
    <w:p>
      <w:pPr>
        <w:pStyle w:val="Heading5"/>
      </w:pPr>
      <w:bookmarkStart w:id="125" w:name="_Toc161750079"/>
      <w:r>
        <w:rPr>
          <w:rStyle w:val="CharSectno"/>
        </w:rPr>
        <w:t>41</w:t>
      </w:r>
      <w:r>
        <w:t>.</w:t>
      </w:r>
      <w:r>
        <w:tab/>
        <w:t>Review by SAT</w:t>
      </w:r>
      <w:bookmarkEnd w:id="125"/>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26" w:name="_Toc161750080"/>
      <w:r>
        <w:rPr>
          <w:rStyle w:val="CharDivNo"/>
        </w:rPr>
        <w:t>Division 6</w:t>
      </w:r>
      <w:r>
        <w:t> — </w:t>
      </w:r>
      <w:r>
        <w:rPr>
          <w:rStyle w:val="CharDivText"/>
        </w:rPr>
        <w:t>Miscellaneous</w:t>
      </w:r>
      <w:bookmarkEnd w:id="126"/>
    </w:p>
    <w:p>
      <w:pPr>
        <w:pStyle w:val="Footnoteheading"/>
        <w:tabs>
          <w:tab w:val="left" w:pos="851"/>
        </w:tabs>
      </w:pPr>
      <w:r>
        <w:rPr>
          <w:snapToGrid w:val="0"/>
        </w:rPr>
        <w:tab/>
        <w:t>[</w:t>
      </w:r>
      <w:r>
        <w:t>Heading inserted: Gazette 28 Oct 2005 p. 4901.]</w:t>
      </w:r>
    </w:p>
    <w:p>
      <w:pPr>
        <w:pStyle w:val="Heading5"/>
      </w:pPr>
      <w:bookmarkStart w:id="127" w:name="_Toc161750081"/>
      <w:r>
        <w:rPr>
          <w:rStyle w:val="CharSectno"/>
        </w:rPr>
        <w:t>42</w:t>
      </w:r>
      <w:r>
        <w:t>.</w:t>
      </w:r>
      <w:r>
        <w:tab/>
        <w:t>Evidentiary matters</w:t>
      </w:r>
      <w:bookmarkEnd w:id="12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lastRenderedPageBreak/>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28" w:name="_Toc161750082"/>
      <w:r>
        <w:rPr>
          <w:rStyle w:val="CharPartNo"/>
        </w:rPr>
        <w:lastRenderedPageBreak/>
        <w:t>Part 5</w:t>
      </w:r>
      <w:r>
        <w:rPr>
          <w:rStyle w:val="CharDivNo"/>
        </w:rPr>
        <w:t> </w:t>
      </w:r>
      <w:r>
        <w:t>—</w:t>
      </w:r>
      <w:r>
        <w:rPr>
          <w:rStyle w:val="CharDivText"/>
        </w:rPr>
        <w:t> </w:t>
      </w:r>
      <w:r>
        <w:rPr>
          <w:rStyle w:val="CharPartText"/>
        </w:rPr>
        <w:t>Injury management</w:t>
      </w:r>
      <w:bookmarkEnd w:id="128"/>
    </w:p>
    <w:p>
      <w:pPr>
        <w:pStyle w:val="Footnoteheading"/>
        <w:tabs>
          <w:tab w:val="left" w:pos="851"/>
        </w:tabs>
      </w:pPr>
      <w:r>
        <w:rPr>
          <w:snapToGrid w:val="0"/>
        </w:rPr>
        <w:tab/>
        <w:t>[</w:t>
      </w:r>
      <w:r>
        <w:t>Heading inserted: Gazette 28 Oct 2005 p. 4903.]</w:t>
      </w:r>
    </w:p>
    <w:p>
      <w:pPr>
        <w:pStyle w:val="Heading5"/>
      </w:pPr>
      <w:bookmarkStart w:id="129" w:name="_Toc161750083"/>
      <w:r>
        <w:rPr>
          <w:rStyle w:val="CharSectno"/>
        </w:rPr>
        <w:t>44</w:t>
      </w:r>
      <w:r>
        <w:t>.</w:t>
      </w:r>
      <w:r>
        <w:tab/>
        <w:t>Vocational rehabilitation services</w:t>
      </w:r>
      <w:bookmarkEnd w:id="129"/>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 xml:space="preserve">activities associated with the management of the worker’s return to work, which may include liaising and negotiating with the parties, developing, coordinating and </w:t>
            </w:r>
            <w:r>
              <w:lastRenderedPageBreak/>
              <w:t>otherwise managing, and reviewing, the service delivery plan, and arranging for interpreter services</w:t>
            </w:r>
          </w:p>
        </w:tc>
      </w:tr>
      <w:tr>
        <w:tc>
          <w:tcPr>
            <w:tcW w:w="1374" w:type="dxa"/>
          </w:tcPr>
          <w:p>
            <w:pPr>
              <w:pStyle w:val="TableNAm"/>
              <w:spacing w:before="60"/>
            </w:pPr>
            <w:r>
              <w:lastRenderedPageBreak/>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lastRenderedPageBreak/>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lastRenderedPageBreak/>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30" w:name="_Toc161750084"/>
      <w:r>
        <w:rPr>
          <w:rStyle w:val="CharSectno"/>
        </w:rPr>
        <w:t>44A</w:t>
      </w:r>
      <w:r>
        <w:t>.</w:t>
      </w:r>
      <w:r>
        <w:tab/>
        <w:t>Counselling psychology</w:t>
      </w:r>
      <w:bookmarkEnd w:id="130"/>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31" w:name="_Toc161750085"/>
      <w:r>
        <w:rPr>
          <w:rStyle w:val="CharSectno"/>
        </w:rPr>
        <w:t>44B</w:t>
      </w:r>
      <w:r>
        <w:t>.</w:t>
      </w:r>
      <w:r>
        <w:tab/>
        <w:t>Exercise physiology</w:t>
      </w:r>
      <w:bookmarkEnd w:id="131"/>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 xml:space="preserve">Where exercise physiology is approved under section 5(1) of the Act as an “approved treatment” for workers suffering </w:t>
      </w:r>
      <w:r>
        <w:lastRenderedPageBreak/>
        <w:t>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32" w:name="_Toc161750086"/>
      <w:r>
        <w:rPr>
          <w:rStyle w:val="CharSectno"/>
        </w:rPr>
        <w:t>44C</w:t>
      </w:r>
      <w:r>
        <w:t>.</w:t>
      </w:r>
      <w:r>
        <w:tab/>
        <w:t>Acupuncture</w:t>
      </w:r>
      <w:bookmarkEnd w:id="132"/>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33" w:name="_Toc161750087"/>
      <w:r>
        <w:rPr>
          <w:rStyle w:val="CharSectno"/>
        </w:rPr>
        <w:t>45</w:t>
      </w:r>
      <w:r>
        <w:t>.</w:t>
      </w:r>
      <w:r>
        <w:tab/>
        <w:t>Insurer to advise of injury management obligations</w:t>
      </w:r>
      <w:bookmarkEnd w:id="133"/>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lastRenderedPageBreak/>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34" w:name="_Toc161750088"/>
      <w:r>
        <w:rPr>
          <w:rStyle w:val="CharPartNo"/>
        </w:rPr>
        <w:lastRenderedPageBreak/>
        <w:t>Part 6</w:t>
      </w:r>
      <w:r>
        <w:rPr>
          <w:b w:val="0"/>
        </w:rPr>
        <w:t> </w:t>
      </w:r>
      <w:r>
        <w:t>—</w:t>
      </w:r>
      <w:r>
        <w:rPr>
          <w:b w:val="0"/>
        </w:rPr>
        <w:t> </w:t>
      </w:r>
      <w:r>
        <w:rPr>
          <w:rStyle w:val="CharPartText"/>
        </w:rPr>
        <w:t>Specialised retraining programs</w:t>
      </w:r>
      <w:bookmarkEnd w:id="134"/>
    </w:p>
    <w:p>
      <w:pPr>
        <w:pStyle w:val="Footnoteheading"/>
        <w:tabs>
          <w:tab w:val="left" w:pos="851"/>
        </w:tabs>
      </w:pPr>
      <w:r>
        <w:rPr>
          <w:snapToGrid w:val="0"/>
        </w:rPr>
        <w:tab/>
        <w:t>[</w:t>
      </w:r>
      <w:r>
        <w:t>Heading inserted: Gazette 28 Oct 2005 p. 4907.]</w:t>
      </w:r>
    </w:p>
    <w:p>
      <w:pPr>
        <w:pStyle w:val="Heading5"/>
      </w:pPr>
      <w:bookmarkStart w:id="135" w:name="_Toc161750089"/>
      <w:r>
        <w:rPr>
          <w:rStyle w:val="CharSectno"/>
        </w:rPr>
        <w:t>47</w:t>
      </w:r>
      <w:r>
        <w:t>.</w:t>
      </w:r>
      <w:r>
        <w:tab/>
        <w:t>Recording agreement</w:t>
      </w:r>
      <w:bookmarkEnd w:id="13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 xml:space="preserve">if a claim for compensation under the Act for the injury has been made, the date on which the worker’s claim was made and sufficient other details to identify the </w:t>
      </w:r>
      <w:r>
        <w:lastRenderedPageBreak/>
        <w:t>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36" w:name="_Toc161750090"/>
      <w:r>
        <w:rPr>
          <w:rStyle w:val="CharSectno"/>
        </w:rPr>
        <w:t>48</w:t>
      </w:r>
      <w:r>
        <w:t>.</w:t>
      </w:r>
      <w:r>
        <w:tab/>
        <w:t>Extending final day</w:t>
      </w:r>
      <w:bookmarkEnd w:id="13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lastRenderedPageBreak/>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37" w:name="_Toc161750091"/>
      <w:r>
        <w:rPr>
          <w:rStyle w:val="CharSectno"/>
        </w:rPr>
        <w:t>49</w:t>
      </w:r>
      <w:r>
        <w:t>.</w:t>
      </w:r>
      <w:r>
        <w:tab/>
        <w:t>Request for WorkCover to direct payment</w:t>
      </w:r>
      <w:bookmarkEnd w:id="137"/>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 xml:space="preserve">If the payment is to satisfy a debt incurred or to recoup the cost of any payment that has been made, the request has to be accompanied by copies of relevant invoices or other sufficient </w:t>
      </w:r>
      <w:r>
        <w:lastRenderedPageBreak/>
        <w:t>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38" w:name="_Toc161750092"/>
      <w:r>
        <w:rPr>
          <w:rStyle w:val="CharPartNo"/>
        </w:rPr>
        <w:lastRenderedPageBreak/>
        <w:t>Part 7</w:t>
      </w:r>
      <w:r>
        <w:rPr>
          <w:b w:val="0"/>
        </w:rPr>
        <w:t> </w:t>
      </w:r>
      <w:r>
        <w:t>—</w:t>
      </w:r>
      <w:r>
        <w:rPr>
          <w:b w:val="0"/>
        </w:rPr>
        <w:t> </w:t>
      </w:r>
      <w:r>
        <w:rPr>
          <w:rStyle w:val="CharPartText"/>
        </w:rPr>
        <w:t>Infringement notices and modified penalties</w:t>
      </w:r>
      <w:bookmarkEnd w:id="138"/>
    </w:p>
    <w:p>
      <w:pPr>
        <w:pStyle w:val="Footnoteheading"/>
        <w:tabs>
          <w:tab w:val="left" w:pos="851"/>
        </w:tabs>
      </w:pPr>
      <w:r>
        <w:rPr>
          <w:snapToGrid w:val="0"/>
        </w:rPr>
        <w:tab/>
        <w:t>[</w:t>
      </w:r>
      <w:r>
        <w:t>Heading inserted: Gazette 28 Oct 2005 p. 4910.]</w:t>
      </w:r>
    </w:p>
    <w:p>
      <w:pPr>
        <w:pStyle w:val="Heading5"/>
      </w:pPr>
      <w:bookmarkStart w:id="139" w:name="_Toc161750093"/>
      <w:r>
        <w:rPr>
          <w:rStyle w:val="CharSectno"/>
        </w:rPr>
        <w:t>50</w:t>
      </w:r>
      <w:r>
        <w:t>.</w:t>
      </w:r>
      <w:r>
        <w:tab/>
        <w:t>Prescribed offences</w:t>
      </w:r>
      <w:bookmarkEnd w:id="139"/>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40" w:name="_Toc161750094"/>
      <w:r>
        <w:rPr>
          <w:rStyle w:val="CharSectno"/>
        </w:rPr>
        <w:t>51</w:t>
      </w:r>
      <w:r>
        <w:t>.</w:t>
      </w:r>
      <w:r>
        <w:tab/>
        <w:t>Prescribed modified penalties</w:t>
      </w:r>
      <w:bookmarkEnd w:id="140"/>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41" w:name="_Toc161750095"/>
      <w:r>
        <w:rPr>
          <w:rStyle w:val="CharSectno"/>
        </w:rPr>
        <w:t>52</w:t>
      </w:r>
      <w:r>
        <w:t>.</w:t>
      </w:r>
      <w:r>
        <w:tab/>
        <w:t>Prescribed form of infringement notice</w:t>
      </w:r>
      <w:bookmarkEnd w:id="141"/>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42" w:name="_Toc161750096"/>
      <w:r>
        <w:rPr>
          <w:rStyle w:val="CharSectno"/>
        </w:rPr>
        <w:t>53</w:t>
      </w:r>
      <w:r>
        <w:t>.</w:t>
      </w:r>
      <w:r>
        <w:tab/>
        <w:t>Prescribed form of withdrawal of notice</w:t>
      </w:r>
      <w:bookmarkEnd w:id="142"/>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143" w:name="_Toc161750097"/>
      <w:r>
        <w:rPr>
          <w:rStyle w:val="CharPartNo"/>
        </w:rPr>
        <w:lastRenderedPageBreak/>
        <w:t>Part 8</w:t>
      </w:r>
      <w:r>
        <w:t> — </w:t>
      </w:r>
      <w:r>
        <w:rPr>
          <w:rStyle w:val="CharPartText"/>
        </w:rPr>
        <w:t>Lodging documents</w:t>
      </w:r>
      <w:bookmarkEnd w:id="143"/>
    </w:p>
    <w:p>
      <w:pPr>
        <w:pStyle w:val="Footnoteheading"/>
      </w:pPr>
      <w:r>
        <w:tab/>
        <w:t>[Heading inserted: SL 2020/149 r. 8.]</w:t>
      </w:r>
    </w:p>
    <w:p>
      <w:pPr>
        <w:pStyle w:val="Heading5"/>
      </w:pPr>
      <w:bookmarkStart w:id="144" w:name="_Toc161750098"/>
      <w:r>
        <w:rPr>
          <w:rStyle w:val="CharSectno"/>
        </w:rPr>
        <w:t>54</w:t>
      </w:r>
      <w:r>
        <w:t>.</w:t>
      </w:r>
      <w:r>
        <w:tab/>
        <w:t>Terms used</w:t>
      </w:r>
      <w:bookmarkEnd w:id="144"/>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145" w:name="_Toc161750099"/>
      <w:r>
        <w:rPr>
          <w:rStyle w:val="CharSectno"/>
        </w:rPr>
        <w:lastRenderedPageBreak/>
        <w:t>55</w:t>
      </w:r>
      <w:r>
        <w:t>.</w:t>
      </w:r>
      <w:r>
        <w:tab/>
        <w:t>Completion of documents</w:t>
      </w:r>
      <w:bookmarkEnd w:id="145"/>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146" w:name="_Toc161750100"/>
      <w:r>
        <w:rPr>
          <w:rStyle w:val="CharSectno"/>
        </w:rPr>
        <w:t>56</w:t>
      </w:r>
      <w:r>
        <w:t>.</w:t>
      </w:r>
      <w:r>
        <w:tab/>
        <w:t>EDS exempt</w:t>
      </w:r>
      <w:bookmarkEnd w:id="146"/>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lastRenderedPageBreak/>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147" w:name="_Toc161750101"/>
      <w:r>
        <w:rPr>
          <w:rStyle w:val="CharSectno"/>
        </w:rPr>
        <w:t>57</w:t>
      </w:r>
      <w:r>
        <w:t>.</w:t>
      </w:r>
      <w:r>
        <w:tab/>
        <w:t>Lodging documents</w:t>
      </w:r>
      <w:bookmarkEnd w:id="147"/>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lastRenderedPageBreak/>
        <w:tab/>
        <w:t>[Regulation 57 inserted: SL 2020/149 r. 8.]</w:t>
      </w:r>
    </w:p>
    <w:p>
      <w:pPr>
        <w:pStyle w:val="Heading5"/>
      </w:pPr>
      <w:bookmarkStart w:id="148" w:name="_Toc161750102"/>
      <w:r>
        <w:rPr>
          <w:rStyle w:val="CharSectno"/>
        </w:rPr>
        <w:t>58</w:t>
      </w:r>
      <w:r>
        <w:t>.</w:t>
      </w:r>
      <w:r>
        <w:tab/>
        <w:t>Lodging by email</w:t>
      </w:r>
      <w:bookmarkEnd w:id="148"/>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149" w:name="_Toc161750103"/>
      <w:r>
        <w:rPr>
          <w:rStyle w:val="CharSectno"/>
        </w:rPr>
        <w:t>59</w:t>
      </w:r>
      <w:r>
        <w:t>.</w:t>
      </w:r>
      <w:r>
        <w:tab/>
        <w:t>Day of lodgment</w:t>
      </w:r>
      <w:bookmarkEnd w:id="149"/>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150" w:name="_Toc161750104"/>
      <w:r>
        <w:rPr>
          <w:rStyle w:val="CharSectno"/>
        </w:rPr>
        <w:lastRenderedPageBreak/>
        <w:t>60</w:t>
      </w:r>
      <w:r>
        <w:t>.</w:t>
      </w:r>
      <w:r>
        <w:tab/>
        <w:t>Notification by Director</w:t>
      </w:r>
      <w:bookmarkEnd w:id="150"/>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151" w:name="_Toc161750105"/>
      <w:r>
        <w:rPr>
          <w:rStyle w:val="CharPartNo"/>
        </w:rPr>
        <w:lastRenderedPageBreak/>
        <w:t>Part 9</w:t>
      </w:r>
      <w:r>
        <w:t> — </w:t>
      </w:r>
      <w:r>
        <w:rPr>
          <w:rStyle w:val="CharPartText"/>
        </w:rPr>
        <w:t>Variation of certain amounts</w:t>
      </w:r>
      <w:bookmarkEnd w:id="151"/>
    </w:p>
    <w:p>
      <w:pPr>
        <w:pStyle w:val="Footnoteheading"/>
      </w:pPr>
      <w:r>
        <w:tab/>
        <w:t>[Heading inserted: SL 2020/188 r. 16.]</w:t>
      </w:r>
    </w:p>
    <w:p>
      <w:pPr>
        <w:pStyle w:val="Heading5"/>
      </w:pPr>
      <w:bookmarkStart w:id="152" w:name="_Toc161750106"/>
      <w:r>
        <w:rPr>
          <w:rStyle w:val="CharSectno"/>
        </w:rPr>
        <w:t>61</w:t>
      </w:r>
      <w:r>
        <w:t>.</w:t>
      </w:r>
      <w:r>
        <w:tab/>
        <w:t>Amount C (Act s. 5A(1A))</w:t>
      </w:r>
      <w:bookmarkEnd w:id="152"/>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153" w:name="_Toc161750107"/>
      <w:r>
        <w:rPr>
          <w:rStyle w:val="CharSectno"/>
        </w:rPr>
        <w:t>62</w:t>
      </w:r>
      <w:r>
        <w:t>.</w:t>
      </w:r>
      <w:r>
        <w:tab/>
        <w:t>Prescribed amount (Act s. 5A(1A))</w:t>
      </w:r>
      <w:bookmarkEnd w:id="153"/>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154" w:name="_Toc161750108"/>
      <w:r>
        <w:rPr>
          <w:rStyle w:val="CharSectno"/>
        </w:rPr>
        <w:t>63</w:t>
      </w:r>
      <w:r>
        <w:t>.</w:t>
      </w:r>
      <w:r>
        <w:tab/>
        <w:t>Board and lodging value (Act Sch. 1 cl. 15)</w:t>
      </w:r>
      <w:bookmarkEnd w:id="154"/>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 xml:space="preserve">For the purposes of section 5A(1)(c) of the Act, the amount, which the sum assessed for the board or board and lodging is </w:t>
      </w:r>
      <w:r>
        <w:lastRenderedPageBreak/>
        <w:t>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155" w:name="_Toc161750109"/>
      <w:r>
        <w:rPr>
          <w:rStyle w:val="CharSectno"/>
        </w:rPr>
        <w:t>64</w:t>
      </w:r>
      <w:r>
        <w:t>.</w:t>
      </w:r>
      <w:r>
        <w:tab/>
        <w:t>Wheeled chair or similar appliance expenses (Act Sch. 1 cl. 17(4))</w:t>
      </w:r>
      <w:bookmarkEnd w:id="155"/>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156" w:name="_Toc161750110"/>
      <w:r>
        <w:rPr>
          <w:rStyle w:val="CharSectno"/>
        </w:rPr>
        <w:t>65</w:t>
      </w:r>
      <w:r>
        <w:t>.</w:t>
      </w:r>
      <w:r>
        <w:tab/>
        <w:t>Meals and lodging cost (Act Sch. 1 cl. 19(1))</w:t>
      </w:r>
      <w:bookmarkEnd w:id="156"/>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lastRenderedPageBreak/>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157" w:name="_Toc161750111"/>
      <w:r>
        <w:rPr>
          <w:rStyle w:val="CharSectno"/>
        </w:rPr>
        <w:t>66</w:t>
      </w:r>
      <w:r>
        <w:t>.</w:t>
      </w:r>
      <w:r>
        <w:tab/>
        <w:t>Rounding</w:t>
      </w:r>
      <w:bookmarkEnd w:id="157"/>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158" w:name="_Toc161750112"/>
      <w:r>
        <w:rPr>
          <w:rStyle w:val="CharPartNo"/>
        </w:rPr>
        <w:lastRenderedPageBreak/>
        <w:t>Part 9A</w:t>
      </w:r>
      <w:r>
        <w:t> — </w:t>
      </w:r>
      <w:r>
        <w:rPr>
          <w:rStyle w:val="CharPartText"/>
        </w:rPr>
        <w:t>Specified diseases contracted by firefighters</w:t>
      </w:r>
      <w:bookmarkEnd w:id="158"/>
    </w:p>
    <w:p>
      <w:pPr>
        <w:pStyle w:val="Footnoteheading"/>
      </w:pPr>
      <w:r>
        <w:tab/>
        <w:t>[Heading inserted: SL 2023/37 r. 4.]</w:t>
      </w:r>
    </w:p>
    <w:p>
      <w:pPr>
        <w:pStyle w:val="Heading5"/>
      </w:pPr>
      <w:bookmarkStart w:id="159" w:name="_Toc161750113"/>
      <w:r>
        <w:rPr>
          <w:rStyle w:val="CharSectno"/>
        </w:rPr>
        <w:t>66A</w:t>
      </w:r>
      <w:r>
        <w:t>.</w:t>
      </w:r>
      <w:r>
        <w:tab/>
        <w:t>Specified diseases for firefighters (Act Sch. 4A)</w:t>
      </w:r>
      <w:bookmarkEnd w:id="159"/>
    </w:p>
    <w:p>
      <w:pPr>
        <w:pStyle w:val="Subsection"/>
      </w:pPr>
      <w:r>
        <w:tab/>
      </w:r>
      <w:r>
        <w:tab/>
        <w:t xml:space="preserve">For the purposes of Schedule 4A item 13 of the Act — </w:t>
      </w:r>
    </w:p>
    <w:p>
      <w:pPr>
        <w:pStyle w:val="Indenta"/>
      </w:pPr>
      <w:r>
        <w:tab/>
        <w:t>(a)</w:t>
      </w:r>
      <w:r>
        <w:tab/>
        <w:t>each kind of cancer listed in column 1 of the Table is prescribed; and</w:t>
      </w:r>
    </w:p>
    <w:p>
      <w:pPr>
        <w:pStyle w:val="Indenta"/>
      </w:pPr>
      <w:r>
        <w:tab/>
        <w:t>(b)</w:t>
      </w:r>
      <w:r>
        <w:tab/>
        <w:t>the period listed in column 2 of the Table opposite the kind of cancer is the qualifying period for that cancer.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Column 1</w:t>
            </w:r>
          </w:p>
          <w:p>
            <w:pPr>
              <w:pStyle w:val="TableNAm"/>
              <w:jc w:val="center"/>
              <w:rPr>
                <w:b/>
              </w:rPr>
            </w:pPr>
            <w:r>
              <w:rPr>
                <w:b/>
              </w:rPr>
              <w:t>Disease</w:t>
            </w:r>
          </w:p>
        </w:tc>
        <w:tc>
          <w:tcPr>
            <w:tcW w:w="3034" w:type="dxa"/>
            <w:noWrap/>
          </w:tcPr>
          <w:p>
            <w:pPr>
              <w:pStyle w:val="TableNAm"/>
              <w:jc w:val="center"/>
              <w:rPr>
                <w:b/>
              </w:rPr>
            </w:pPr>
            <w:r>
              <w:rPr>
                <w:b/>
              </w:rPr>
              <w:t>Column 2</w:t>
            </w:r>
          </w:p>
          <w:p>
            <w:pPr>
              <w:pStyle w:val="TableNAm"/>
              <w:jc w:val="center"/>
              <w:rPr>
                <w:b/>
              </w:rPr>
            </w:pPr>
            <w:r>
              <w:rPr>
                <w:b/>
              </w:rPr>
              <w:t>Qualifying period</w:t>
            </w:r>
          </w:p>
        </w:tc>
      </w:tr>
      <w:tr>
        <w:trPr>
          <w:cantSplit/>
        </w:trPr>
        <w:tc>
          <w:tcPr>
            <w:tcW w:w="3033" w:type="dxa"/>
            <w:noWrap/>
          </w:tcPr>
          <w:p>
            <w:pPr>
              <w:pStyle w:val="TableNAm"/>
              <w:rPr>
                <w:szCs w:val="24"/>
              </w:rPr>
            </w:pPr>
            <w:r>
              <w:rPr>
                <w:szCs w:val="24"/>
              </w:rPr>
              <w:t>Malignant mesothelioma</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cervical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lung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ovarian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pancreatic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penile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skin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thyroid cancer</w:t>
            </w:r>
          </w:p>
        </w:tc>
        <w:tc>
          <w:tcPr>
            <w:tcW w:w="3034" w:type="dxa"/>
            <w:noWrap/>
          </w:tcPr>
          <w:p>
            <w:pPr>
              <w:pStyle w:val="TableNAm"/>
              <w:rPr>
                <w:szCs w:val="24"/>
              </w:rPr>
            </w:pPr>
            <w:r>
              <w:rPr>
                <w:szCs w:val="24"/>
              </w:rPr>
              <w:t>10 years</w:t>
            </w:r>
          </w:p>
        </w:tc>
      </w:tr>
    </w:tbl>
    <w:p>
      <w:pPr>
        <w:pStyle w:val="Footnotesection"/>
      </w:pPr>
      <w:r>
        <w:tab/>
        <w:t>[Regulation 66A inserted: SL 2023/37 r. 4; amended: SL 2023/123 r. 4.]</w:t>
      </w:r>
    </w:p>
    <w:p>
      <w:pPr>
        <w:pStyle w:val="Heading2"/>
      </w:pPr>
      <w:bookmarkStart w:id="160" w:name="_Toc161750114"/>
      <w:r>
        <w:rPr>
          <w:rStyle w:val="CharPartNo"/>
        </w:rPr>
        <w:lastRenderedPageBreak/>
        <w:t>Part 10</w:t>
      </w:r>
      <w:r>
        <w:t> — </w:t>
      </w:r>
      <w:r>
        <w:rPr>
          <w:rStyle w:val="CharPartText"/>
        </w:rPr>
        <w:t>Prescribed diseases: presumption of work</w:t>
      </w:r>
      <w:r>
        <w:rPr>
          <w:rStyle w:val="CharPartText"/>
        </w:rPr>
        <w:noBreakHyphen/>
        <w:t>related injury</w:t>
      </w:r>
      <w:bookmarkEnd w:id="160"/>
    </w:p>
    <w:p>
      <w:pPr>
        <w:pStyle w:val="Footnoteheading"/>
      </w:pPr>
      <w:r>
        <w:tab/>
        <w:t>[Heading inserted: SL 2020/188 r. 16.]</w:t>
      </w:r>
    </w:p>
    <w:p>
      <w:pPr>
        <w:pStyle w:val="Heading5"/>
      </w:pPr>
      <w:bookmarkStart w:id="161" w:name="_Toc161750115"/>
      <w:r>
        <w:rPr>
          <w:rStyle w:val="CharSectno"/>
        </w:rPr>
        <w:t>67</w:t>
      </w:r>
      <w:r>
        <w:t>.</w:t>
      </w:r>
      <w:r>
        <w:tab/>
        <w:t>COVID</w:t>
      </w:r>
      <w:r>
        <w:noBreakHyphen/>
        <w:t>19: prescribed disease and prescribed employment (Act s. 49F)</w:t>
      </w:r>
      <w:bookmarkEnd w:id="161"/>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162" w:name="_Toc161750116"/>
      <w:r>
        <w:rPr>
          <w:rStyle w:val="CharSectno"/>
        </w:rPr>
        <w:t>68</w:t>
      </w:r>
      <w:r>
        <w:t>.</w:t>
      </w:r>
      <w:r>
        <w:tab/>
        <w:t>Post</w:t>
      </w:r>
      <w:r>
        <w:noBreakHyphen/>
        <w:t>traumatic stress disorder: prescribed disease and prescribed employment (Act s. 49F)</w:t>
      </w:r>
      <w:bookmarkEnd w:id="162"/>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 person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lastRenderedPageBreak/>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in right of the State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keepNext/>
      </w:pPr>
      <w:r>
        <w:lastRenderedPageBreak/>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is working or worked in employment prescribed in subregulation (3)(a), (b) or (c)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2021</w:t>
      </w:r>
      <w:r>
        <w:t xml:space="preserve"> regulation 4 comes into operation; and</w:t>
      </w:r>
    </w:p>
    <w:p>
      <w:pPr>
        <w:pStyle w:val="Indenta"/>
        <w:keepNext/>
      </w:pPr>
      <w:r>
        <w:tab/>
        <w:t>(c)</w:t>
      </w:r>
      <w:r>
        <w:tab/>
        <w:t>in the case of a worker who is working or worked in employment prescribed in subregulation (3)(d) or (e)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p>
    <w:p>
      <w:pPr>
        <w:pStyle w:val="Footnotesection"/>
      </w:pPr>
      <w:r>
        <w:tab/>
        <w:t>[Regulation 68 inserted: SL 2021/221 r. 4; amended: SL 2023/37 r. 5; SL 2023/113 r. 4.]</w:t>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163" w:name="_Toc161750117"/>
      <w:r>
        <w:rPr>
          <w:rStyle w:val="CharSchNo"/>
          <w:rFonts w:ascii="Times" w:hAnsi="Times"/>
        </w:rPr>
        <w:lastRenderedPageBreak/>
        <w:t>Appendix I</w:t>
      </w:r>
      <w:bookmarkEnd w:id="163"/>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lastRenderedPageBreak/>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lastRenderedPageBreak/>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xml:space="preserve">* Before that impairment was suffered I had previously suffered a permanent impairment from a compensable personal injury by accident to that part or </w:t>
      </w:r>
      <w:r>
        <w:lastRenderedPageBreak/>
        <w:t>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lastRenderedPageBreak/>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lastRenderedPageBreak/>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lastRenderedPageBreak/>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lastRenderedPageBreak/>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lastRenderedPageBreak/>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lastRenderedPageBreak/>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lastRenderedPageBreak/>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lastRenderedPageBreak/>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w:t>
      </w:r>
      <w:r>
        <w:lastRenderedPageBreak/>
        <w:t xml:space="preserve">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lastRenderedPageBreak/>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lastRenderedPageBreak/>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lastRenderedPageBreak/>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w:t>
            </w:r>
            <w:r>
              <w:rPr>
                <w:sz w:val="20"/>
              </w:rPr>
              <w:lastRenderedPageBreak/>
              <w:t>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lastRenderedPageBreak/>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lastRenderedPageBreak/>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lastRenderedPageBreak/>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lastRenderedPageBreak/>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lastRenderedPageBreak/>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lastRenderedPageBreak/>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lastRenderedPageBreak/>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lastRenderedPageBreak/>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lastRenderedPageBreak/>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lastRenderedPageBreak/>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lastRenderedPageBreak/>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lastRenderedPageBreak/>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lastRenderedPageBreak/>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lastRenderedPageBreak/>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lastRenderedPageBreak/>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lastRenderedPageBreak/>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lastRenderedPageBreak/>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lastRenderedPageBreak/>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lastRenderedPageBreak/>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lastRenderedPageBreak/>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lastRenderedPageBreak/>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lastRenderedPageBreak/>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lastRenderedPageBreak/>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lastRenderedPageBreak/>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lastRenderedPageBreak/>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lastRenderedPageBreak/>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lastRenderedPageBreak/>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lastRenderedPageBreak/>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lastRenderedPageBreak/>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lastRenderedPageBreak/>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lastRenderedPageBreak/>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lastRenderedPageBreak/>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lastRenderedPageBreak/>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lastRenderedPageBreak/>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lastRenderedPageBreak/>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lastRenderedPageBreak/>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lastRenderedPageBreak/>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[Form 20 deleted: Gazette 28 Oct 2005 p. 4934.]</w:t>
      </w:r>
    </w:p>
    <w:p>
      <w:pPr>
        <w:pStyle w:val="yMiscellaneousHeading"/>
        <w:pageBreakBefore/>
      </w:pPr>
      <w:r>
        <w:rPr>
          <w:rStyle w:val="CharSClsNo"/>
          <w:b/>
          <w:bCs/>
        </w:rPr>
        <w:lastRenderedPageBreak/>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lastRenderedPageBreak/>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lastRenderedPageBreak/>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lastRenderedPageBreak/>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lastRenderedPageBreak/>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lastRenderedPageBreak/>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lastRenderedPageBreak/>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lastRenderedPageBreak/>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lastRenderedPageBreak/>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lastRenderedPageBreak/>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lastRenderedPageBreak/>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lastRenderedPageBreak/>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lastRenderedPageBreak/>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lastRenderedPageBreak/>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lastRenderedPageBreak/>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lastRenderedPageBreak/>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lastRenderedPageBreak/>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lastRenderedPageBreak/>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lastRenderedPageBreak/>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lastRenderedPageBreak/>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lastRenderedPageBreak/>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lastRenderedPageBreak/>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lastRenderedPageBreak/>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lastRenderedPageBreak/>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lastRenderedPageBreak/>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lastRenderedPageBreak/>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lastRenderedPageBreak/>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lastRenderedPageBreak/>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lastRenderedPageBreak/>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lastRenderedPageBreak/>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lastRenderedPageBreak/>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lastRenderedPageBreak/>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lastRenderedPageBreak/>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yScheduleHeading"/>
      </w:pPr>
      <w:bookmarkStart w:id="165" w:name="_Toc161750118"/>
      <w:r>
        <w:rPr>
          <w:rStyle w:val="CharSchNo"/>
        </w:rPr>
        <w:lastRenderedPageBreak/>
        <w:t>Appendix II</w:t>
      </w:r>
      <w:bookmarkEnd w:id="165"/>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lastRenderedPageBreak/>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lastRenderedPageBreak/>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lastRenderedPageBreak/>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166" w:name="_Toc161750119"/>
      <w:r>
        <w:rPr>
          <w:rStyle w:val="CharSchNo"/>
        </w:rPr>
        <w:lastRenderedPageBreak/>
        <w:t>Appendix III</w:t>
      </w:r>
      <w:bookmarkEnd w:id="166"/>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lastRenderedPageBreak/>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lastRenderedPageBreak/>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lastRenderedPageBreak/>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67" w:name="_Toc161750120"/>
      <w:r>
        <w:rPr>
          <w:rStyle w:val="CharSchNo"/>
        </w:rPr>
        <w:lastRenderedPageBreak/>
        <w:t>Appendix IV</w:t>
      </w:r>
      <w:r>
        <w:rPr>
          <w:rStyle w:val="CharSDivNo"/>
        </w:rPr>
        <w:t> </w:t>
      </w:r>
      <w:r>
        <w:t>—</w:t>
      </w:r>
      <w:r>
        <w:rPr>
          <w:rStyle w:val="CharSDivText"/>
        </w:rPr>
        <w:t> </w:t>
      </w:r>
      <w:r>
        <w:rPr>
          <w:rStyle w:val="CharSchText"/>
        </w:rPr>
        <w:t>Registered agents code of conduct</w:t>
      </w:r>
      <w:bookmarkEnd w:id="167"/>
    </w:p>
    <w:p>
      <w:pPr>
        <w:pStyle w:val="yShoulderClause"/>
      </w:pPr>
      <w:r>
        <w:t>[r. 26]</w:t>
      </w:r>
    </w:p>
    <w:p>
      <w:pPr>
        <w:pStyle w:val="yFootnoteheading"/>
      </w:pPr>
      <w:r>
        <w:tab/>
        <w:t>[Heading inserted: Gazette 28 Oct 2005 p. 4964.]</w:t>
      </w:r>
    </w:p>
    <w:p>
      <w:pPr>
        <w:pStyle w:val="yHeading5"/>
      </w:pPr>
      <w:bookmarkStart w:id="168" w:name="_Toc161750121"/>
      <w:r>
        <w:rPr>
          <w:rStyle w:val="CharSClsNo"/>
        </w:rPr>
        <w:t>1</w:t>
      </w:r>
      <w:r>
        <w:t>.</w:t>
      </w:r>
      <w:r>
        <w:rPr>
          <w:b w:val="0"/>
        </w:rPr>
        <w:tab/>
      </w:r>
      <w:r>
        <w:t>Duties of registered agent</w:t>
      </w:r>
      <w:bookmarkEnd w:id="16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169" w:name="_Toc161750122"/>
      <w:r>
        <w:rPr>
          <w:rStyle w:val="CharSClsNo"/>
        </w:rPr>
        <w:t>2</w:t>
      </w:r>
      <w:r>
        <w:t>.</w:t>
      </w:r>
      <w:r>
        <w:rPr>
          <w:b w:val="0"/>
        </w:rPr>
        <w:tab/>
      </w:r>
      <w:r>
        <w:t>Integrity and diligence</w:t>
      </w:r>
      <w:bookmarkEnd w:id="16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 xml:space="preserve">A registered agent must at all times use his or her best endeavours to complete work on behalf of a client as soon as is reasonably possible, </w:t>
      </w:r>
      <w:r>
        <w:lastRenderedPageBreak/>
        <w:t>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170" w:name="_Toc161750123"/>
      <w:r>
        <w:rPr>
          <w:rStyle w:val="CharSClsNo"/>
        </w:rPr>
        <w:t>3</w:t>
      </w:r>
      <w:r>
        <w:t>.</w:t>
      </w:r>
      <w:r>
        <w:rPr>
          <w:b w:val="0"/>
        </w:rPr>
        <w:tab/>
      </w:r>
      <w:r>
        <w:t>Confidentiality</w:t>
      </w:r>
      <w:bookmarkEnd w:id="17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171" w:name="_Toc161750124"/>
      <w:r>
        <w:rPr>
          <w:rStyle w:val="CharSClsNo"/>
        </w:rPr>
        <w:lastRenderedPageBreak/>
        <w:t>4</w:t>
      </w:r>
      <w:r>
        <w:t>.</w:t>
      </w:r>
      <w:r>
        <w:rPr>
          <w:b w:val="0"/>
        </w:rPr>
        <w:tab/>
      </w:r>
      <w:r>
        <w:t>Conflict of interest</w:t>
      </w:r>
      <w:bookmarkEnd w:id="17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172" w:name="_Toc161750125"/>
      <w:r>
        <w:rPr>
          <w:rStyle w:val="CharSClsNo"/>
        </w:rPr>
        <w:t>5</w:t>
      </w:r>
      <w:r>
        <w:t>.</w:t>
      </w:r>
      <w:r>
        <w:rPr>
          <w:b w:val="0"/>
        </w:rPr>
        <w:tab/>
      </w:r>
      <w:r>
        <w:t>Proceedings</w:t>
      </w:r>
      <w:bookmarkEnd w:id="172"/>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lastRenderedPageBreak/>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173" w:name="_Toc161750126"/>
      <w:r>
        <w:rPr>
          <w:rStyle w:val="CharSClsNo"/>
        </w:rPr>
        <w:t>6</w:t>
      </w:r>
      <w:r>
        <w:t>.</w:t>
      </w:r>
      <w:r>
        <w:rPr>
          <w:b w:val="0"/>
        </w:rPr>
        <w:tab/>
      </w:r>
      <w:r>
        <w:t>Advertising</w:t>
      </w:r>
      <w:bookmarkEnd w:id="17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174" w:name="_Toc161750127"/>
      <w:r>
        <w:rPr>
          <w:rStyle w:val="CharSClsNo"/>
        </w:rPr>
        <w:t>7</w:t>
      </w:r>
      <w:r>
        <w:t>.</w:t>
      </w:r>
      <w:r>
        <w:rPr>
          <w:b w:val="0"/>
        </w:rPr>
        <w:tab/>
      </w:r>
      <w:r>
        <w:t>Withdrawal</w:t>
      </w:r>
      <w:bookmarkEnd w:id="17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lastRenderedPageBreak/>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175" w:name="_Toc161750128"/>
      <w:r>
        <w:rPr>
          <w:rStyle w:val="CharSClsNo"/>
        </w:rPr>
        <w:lastRenderedPageBreak/>
        <w:t>8</w:t>
      </w:r>
      <w:r>
        <w:t>.</w:t>
      </w:r>
      <w:r>
        <w:rPr>
          <w:b w:val="0"/>
        </w:rPr>
        <w:tab/>
      </w:r>
      <w:r>
        <w:t>Fees</w:t>
      </w:r>
      <w:bookmarkEnd w:id="17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176" w:name="_Toc161750129"/>
      <w:r>
        <w:rPr>
          <w:rStyle w:val="CharSClsNo"/>
        </w:rPr>
        <w:t>9</w:t>
      </w:r>
      <w:r>
        <w:t>.</w:t>
      </w:r>
      <w:r>
        <w:rPr>
          <w:b w:val="0"/>
        </w:rPr>
        <w:tab/>
      </w:r>
      <w:r>
        <w:t>Records</w:t>
      </w:r>
      <w:bookmarkEnd w:id="176"/>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177" w:name="_Toc161750130"/>
      <w:r>
        <w:rPr>
          <w:rStyle w:val="CharSClsNo"/>
        </w:rPr>
        <w:t>10</w:t>
      </w:r>
      <w:r>
        <w:t>.</w:t>
      </w:r>
      <w:r>
        <w:rPr>
          <w:b w:val="0"/>
        </w:rPr>
        <w:tab/>
      </w:r>
      <w:r>
        <w:t>Trust moneys</w:t>
      </w:r>
      <w:bookmarkEnd w:id="177"/>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178" w:name="_Toc161750131"/>
      <w:r>
        <w:rPr>
          <w:rStyle w:val="CharSClsNo"/>
        </w:rPr>
        <w:lastRenderedPageBreak/>
        <w:t>11</w:t>
      </w:r>
      <w:r>
        <w:t>.</w:t>
      </w:r>
      <w:r>
        <w:rPr>
          <w:b w:val="0"/>
        </w:rPr>
        <w:tab/>
      </w:r>
      <w:r>
        <w:t>Costs</w:t>
      </w:r>
      <w:bookmarkEnd w:id="17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179" w:name="_Toc161750132"/>
      <w:r>
        <w:rPr>
          <w:rStyle w:val="CharSchNo"/>
        </w:rPr>
        <w:lastRenderedPageBreak/>
        <w:t>Appendix V</w:t>
      </w:r>
      <w:r>
        <w:t xml:space="preserve"> — </w:t>
      </w:r>
      <w:r>
        <w:rPr>
          <w:rStyle w:val="CharSchText"/>
        </w:rPr>
        <w:t>Prescribed offences and modified penalties</w:t>
      </w:r>
      <w:bookmarkEnd w:id="179"/>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lastRenderedPageBreak/>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lastRenderedPageBreak/>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lastRenderedPageBreak/>
        <w:tab/>
        <w:t>[Appendix V inserted: Gazette 28 Oct 2005 p. 4970</w:t>
      </w:r>
      <w:r>
        <w:noBreakHyphen/>
        <w:t>2; amended: Gazette 18 Nov 2011 p. 4826; 25 Feb 2014 p. 508.]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pPr>
      <w:bookmarkStart w:id="180" w:name="_Toc161750133"/>
      <w:r>
        <w:lastRenderedPageBreak/>
        <w:t>Notes</w:t>
      </w:r>
      <w:bookmarkEnd w:id="180"/>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1" w:name="_Toc161750134"/>
      <w:r>
        <w:t>Compilation table</w:t>
      </w:r>
      <w:bookmarkEnd w:id="18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lastRenderedPageBreak/>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top w:val="nil"/>
              <w:bottom w:val="nil"/>
            </w:tcBorders>
          </w:tcPr>
          <w:p>
            <w:pPr>
              <w:pStyle w:val="nTable"/>
              <w:spacing w:after="40"/>
              <w:ind w:right="113"/>
            </w:pPr>
            <w:r>
              <w:rPr>
                <w:i/>
              </w:rPr>
              <w:t>Workers’ Compensation and Injury Management Amendment Regulations (No. 2) 2020</w:t>
            </w:r>
          </w:p>
        </w:tc>
        <w:tc>
          <w:tcPr>
            <w:tcW w:w="1276" w:type="dxa"/>
            <w:tcBorders>
              <w:top w:val="nil"/>
              <w:bottom w:val="nil"/>
            </w:tcBorders>
          </w:tcPr>
          <w:p>
            <w:pPr>
              <w:pStyle w:val="nTable"/>
              <w:spacing w:after="40"/>
            </w:pPr>
            <w:r>
              <w:t>SL 2020/188 9 Oct 2020</w:t>
            </w:r>
          </w:p>
        </w:tc>
        <w:tc>
          <w:tcPr>
            <w:tcW w:w="2693" w:type="dxa"/>
            <w:tcBorders>
              <w:top w:val="nil"/>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2023</w:t>
            </w:r>
          </w:p>
        </w:tc>
        <w:tc>
          <w:tcPr>
            <w:tcW w:w="1276" w:type="dxa"/>
            <w:tcBorders>
              <w:top w:val="nil"/>
              <w:bottom w:val="nil"/>
            </w:tcBorders>
          </w:tcPr>
          <w:p>
            <w:pPr>
              <w:pStyle w:val="nTable"/>
              <w:spacing w:after="40"/>
            </w:pPr>
            <w:r>
              <w:t>SL 2023/37 5 May 2023</w:t>
            </w:r>
          </w:p>
        </w:tc>
        <w:tc>
          <w:tcPr>
            <w:tcW w:w="2693" w:type="dxa"/>
            <w:tcBorders>
              <w:top w:val="nil"/>
              <w:bottom w:val="nil"/>
            </w:tcBorders>
          </w:tcPr>
          <w:p>
            <w:pPr>
              <w:pStyle w:val="nTable"/>
              <w:spacing w:after="40"/>
              <w:rPr>
                <w:bCs/>
                <w:snapToGrid w:val="0"/>
                <w:spacing w:val="-2"/>
              </w:rPr>
            </w:pPr>
            <w:r>
              <w:rPr>
                <w:bCs/>
                <w:snapToGrid w:val="0"/>
                <w:spacing w:val="-2"/>
              </w:rPr>
              <w:t>r. 1 and 2: 5 May 2023 (see r. 2(a));</w:t>
            </w:r>
            <w:r>
              <w:rPr>
                <w:bCs/>
                <w:snapToGrid w:val="0"/>
                <w:spacing w:val="-2"/>
              </w:rPr>
              <w:br/>
              <w:t>Regulations other than r. 1 and 2: 6 May 2023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(No. 2) 2023</w:t>
            </w:r>
          </w:p>
        </w:tc>
        <w:tc>
          <w:tcPr>
            <w:tcW w:w="1276" w:type="dxa"/>
            <w:tcBorders>
              <w:top w:val="nil"/>
              <w:bottom w:val="nil"/>
            </w:tcBorders>
          </w:tcPr>
          <w:p>
            <w:pPr>
              <w:pStyle w:val="nTable"/>
              <w:spacing w:after="40"/>
            </w:pPr>
            <w:r>
              <w:t>SL 2023/113 26 Jul 2023</w:t>
            </w:r>
          </w:p>
        </w:tc>
        <w:tc>
          <w:tcPr>
            <w:tcW w:w="2693" w:type="dxa"/>
            <w:tcBorders>
              <w:top w:val="nil"/>
              <w:bottom w:val="nil"/>
            </w:tcBorders>
          </w:tcPr>
          <w:p>
            <w:pPr>
              <w:pStyle w:val="nTable"/>
              <w:spacing w:after="40"/>
              <w:rPr>
                <w:bCs/>
                <w:snapToGrid w:val="0"/>
                <w:spacing w:val="-2"/>
              </w:rPr>
            </w:pPr>
            <w:r>
              <w:rPr>
                <w:bCs/>
                <w:snapToGrid w:val="0"/>
                <w:spacing w:val="-2"/>
              </w:rPr>
              <w:t>r. 1 and 2: 26 Jul 2023 (see r. 2(a));</w:t>
            </w:r>
            <w:r>
              <w:rPr>
                <w:bCs/>
                <w:snapToGrid w:val="0"/>
                <w:spacing w:val="-2"/>
              </w:rPr>
              <w:br/>
              <w:t>Regulations other than r. 1 and 2: 27 Jul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Workers’ Compensation and Injury Management Amendment Regulations (No. 3) 2023</w:t>
            </w:r>
          </w:p>
        </w:tc>
        <w:tc>
          <w:tcPr>
            <w:tcW w:w="1276" w:type="dxa"/>
            <w:tcBorders>
              <w:bottom w:val="single" w:sz="4" w:space="0" w:color="auto"/>
            </w:tcBorders>
          </w:tcPr>
          <w:p>
            <w:pPr>
              <w:pStyle w:val="nTable"/>
              <w:spacing w:after="40"/>
            </w:pPr>
            <w:r>
              <w:t>SL 2023/123</w:t>
            </w:r>
            <w:r>
              <w:br/>
              <w:t>9 Aug 2023</w:t>
            </w:r>
          </w:p>
        </w:tc>
        <w:tc>
          <w:tcPr>
            <w:tcW w:w="2693" w:type="dxa"/>
            <w:tcBorders>
              <w:bottom w:val="single" w:sz="4" w:space="0" w:color="auto"/>
            </w:tcBorders>
          </w:tcPr>
          <w:p>
            <w:pPr>
              <w:pStyle w:val="nTable"/>
              <w:spacing w:after="40"/>
              <w:rPr>
                <w:bCs/>
                <w:snapToGrid w:val="0"/>
                <w:spacing w:val="-2"/>
              </w:rPr>
            </w:pPr>
            <w:r>
              <w:rPr>
                <w:bCs/>
                <w:snapToGrid w:val="0"/>
                <w:spacing w:val="-2"/>
              </w:rPr>
              <w:t>r. 1 and 2: 9 Aug 2023 (see r. 2(a))</w:t>
            </w:r>
            <w:r>
              <w:rPr>
                <w:bCs/>
                <w:snapToGrid w:val="0"/>
                <w:spacing w:val="-2"/>
              </w:rPr>
              <w:br/>
              <w:t>Regulations other than r. 1 and 2: 10 Aug 2023 (see r. 2(b))</w:t>
            </w:r>
          </w:p>
        </w:tc>
      </w:tr>
    </w:tbl>
    <w:p>
      <w:pPr>
        <w:pStyle w:val="nHeading3"/>
      </w:pPr>
      <w:bookmarkStart w:id="182" w:name="_Toc161750135"/>
      <w:r>
        <w:t>Uncommenced provisions table</w:t>
      </w:r>
      <w:bookmarkEnd w:id="182"/>
    </w:p>
    <w:p>
      <w:pPr>
        <w:pStyle w:val="nStatement"/>
        <w:keepNext/>
        <w:spacing w:after="240"/>
      </w:pPr>
      <w:r>
        <w:t xml:space="preserve">To view the text of the uncommenced provisions see </w:t>
      </w:r>
      <w:r>
        <w:rPr>
          <w:i/>
          <w:iCs/>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iCs/>
              </w:rPr>
              <w:t>Workers Compensation and Injury Management Act 2023</w:t>
            </w:r>
            <w:r>
              <w:t xml:space="preserve"> s. 620 assented to 24 Oct 2023</w:t>
            </w:r>
          </w:p>
        </w:tc>
        <w:tc>
          <w:tcPr>
            <w:tcW w:w="2693" w:type="dxa"/>
          </w:tcPr>
          <w:p>
            <w:pPr>
              <w:pStyle w:val="nTable"/>
              <w:spacing w:after="40"/>
            </w:pPr>
            <w:r>
              <w:t>1 Jul 2024 (see s. 2(d) and SL 2024/34 cl. 2)</w:t>
            </w:r>
          </w:p>
        </w:tc>
      </w:tr>
    </w:tbl>
    <w:p>
      <w:pPr>
        <w:pStyle w:val="nHeading3"/>
      </w:pPr>
      <w:bookmarkStart w:id="183" w:name="_Toc161750136"/>
      <w:r>
        <w:lastRenderedPageBreak/>
        <w:t>Other notes</w:t>
      </w:r>
      <w:bookmarkEnd w:id="183"/>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Pr>
        <w:sectPr>
          <w:headerReference w:type="even" r:id="rId38"/>
          <w:headerReference w:type="default" r:id="rId39"/>
          <w:pgSz w:w="11907" w:h="16840" w:code="9"/>
          <w:pgMar w:top="2376" w:right="2404" w:bottom="3544" w:left="2404" w:header="720" w:footer="3544" w:gutter="0"/>
          <w:cols w:space="720"/>
          <w:noEndnote/>
          <w:docGrid w:linePitch="326"/>
        </w:sectPr>
      </w:pPr>
    </w:p>
    <w:p>
      <w:pPr>
        <w:pStyle w:val="nHeading2"/>
        <w:rPr>
          <w:sz w:val="28"/>
        </w:rPr>
      </w:pPr>
      <w:bookmarkStart w:id="185" w:name="_Toc161750137"/>
      <w:r>
        <w:rPr>
          <w:sz w:val="28"/>
        </w:rPr>
        <w:lastRenderedPageBreak/>
        <w:t>Defined terms</w:t>
      </w:r>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agreement</w:t>
      </w:r>
      <w:r>
        <w:tab/>
        <w:t>54</w:t>
      </w:r>
    </w:p>
    <w:p>
      <w:pPr>
        <w:pStyle w:val="DefinedTerms"/>
      </w:pPr>
      <w:r>
        <w:t>ambulance emergency communications officer</w:t>
      </w:r>
      <w:r>
        <w:tab/>
        <w:t>68(1)</w:t>
      </w:r>
    </w:p>
    <w:p>
      <w:pPr>
        <w:pStyle w:val="DefinedTerms"/>
      </w:pPr>
      <w:r>
        <w:t>applicant</w:t>
      </w:r>
      <w:r>
        <w:tab/>
        <w:t>18B, 26</w:t>
      </w:r>
    </w:p>
    <w:p>
      <w:pPr>
        <w:pStyle w:val="DefinedTerms"/>
      </w:pPr>
      <w:r>
        <w:t>application</w:t>
      </w:r>
      <w:r>
        <w:tab/>
        <w:t>18B, 54</w:t>
      </w:r>
    </w:p>
    <w:p>
      <w:pPr>
        <w:pStyle w:val="DefinedTerms"/>
      </w:pPr>
      <w:r>
        <w:t>approved</w:t>
      </w:r>
      <w:r>
        <w:tab/>
        <w:t>19A</w:t>
      </w:r>
    </w:p>
    <w:p>
      <w:pPr>
        <w:pStyle w:val="DefinedTerms"/>
      </w:pPr>
      <w:r>
        <w:t>approved form</w:t>
      </w:r>
      <w:r>
        <w:tab/>
        <w:t>25(1)</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communications systems officer</w:t>
      </w:r>
      <w:r>
        <w:tab/>
        <w:t>68(1)</w:t>
      </w:r>
    </w:p>
    <w:p>
      <w:pPr>
        <w:pStyle w:val="DefinedTerms"/>
      </w:pPr>
      <w:r>
        <w:t>counselling psychologist</w:t>
      </w:r>
      <w:r>
        <w:tab/>
        <w:t>44A(1)</w:t>
      </w:r>
    </w:p>
    <w:p>
      <w:pPr>
        <w:pStyle w:val="DefinedTerms"/>
      </w:pPr>
      <w:r>
        <w:t>CPI</w:t>
      </w:r>
      <w:r>
        <w:tab/>
        <w:t>2AAA</w:t>
      </w:r>
    </w:p>
    <w:p>
      <w:pPr>
        <w:pStyle w:val="DefinedTerms"/>
      </w:pPr>
      <w:r>
        <w:t>criminal record check</w:t>
      </w:r>
      <w:r>
        <w:tab/>
        <w:t>28(6)</w:t>
      </w:r>
    </w:p>
    <w:p>
      <w:pPr>
        <w:pStyle w:val="DefinedTerms"/>
      </w:pPr>
      <w:r>
        <w:t>December WPI</w:t>
      </w:r>
      <w:r>
        <w:tab/>
        <w:t>2AAA</w:t>
      </w:r>
    </w:p>
    <w:p>
      <w:pPr>
        <w:pStyle w:val="DefinedTerms"/>
      </w:pPr>
      <w:r>
        <w:t>dispute resolution authority</w:t>
      </w:r>
      <w:r>
        <w:tab/>
        <w:t>18B</w:t>
      </w:r>
    </w:p>
    <w:p>
      <w:pPr>
        <w:pStyle w:val="DefinedTerms"/>
      </w:pPr>
      <w:r>
        <w:t>DSM-5</w:t>
      </w:r>
      <w:r>
        <w:tab/>
        <w:t>68(1)</w:t>
      </w:r>
    </w:p>
    <w:p>
      <w:pPr>
        <w:pStyle w:val="DefinedTerms"/>
      </w:pPr>
      <w:r>
        <w:t>EDS</w:t>
      </w:r>
      <w:r>
        <w:tab/>
        <w:t>54</w:t>
      </w:r>
    </w:p>
    <w:p>
      <w:pPr>
        <w:pStyle w:val="DefinedTerms"/>
      </w:pPr>
      <w:r>
        <w:t>EDS exempt</w:t>
      </w:r>
      <w:r>
        <w:tab/>
        <w:t>54</w:t>
      </w:r>
    </w:p>
    <w:p>
      <w:pPr>
        <w:pStyle w:val="DefinedTerms"/>
      </w:pPr>
      <w:r>
        <w:t>electronic notification</w:t>
      </w:r>
      <w:r>
        <w:tab/>
        <w:t>60(1)</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health professional</w:t>
      </w:r>
      <w:r>
        <w:tab/>
        <w:t>67(1)</w:t>
      </w:r>
    </w:p>
    <w:p>
      <w:pPr>
        <w:pStyle w:val="DefinedTerms"/>
      </w:pPr>
      <w:r>
        <w:t>incident</w:t>
      </w:r>
      <w:r>
        <w:tab/>
        <w:t>68(1)</w:t>
      </w:r>
    </w:p>
    <w:p>
      <w:pPr>
        <w:pStyle w:val="DefinedTerms"/>
      </w:pPr>
      <w:r>
        <w:t>independent agent</w:t>
      </w:r>
      <w:r>
        <w:tab/>
        <w:t>26</w:t>
      </w:r>
    </w:p>
    <w:p>
      <w:pPr>
        <w:pStyle w:val="DefinedTerms"/>
      </w:pPr>
      <w:r>
        <w:t>Insurer/Self-Insurer Electronic Data Specification (Edition Q1)</w:t>
      </w:r>
      <w:r>
        <w:tab/>
        <w:t>13(3)</w:t>
      </w:r>
    </w:p>
    <w:p>
      <w:pPr>
        <w:pStyle w:val="DefinedTerms"/>
      </w:pPr>
      <w:r>
        <w:lastRenderedPageBreak/>
        <w:t>legal service</w:t>
      </w:r>
      <w:r>
        <w:tab/>
        <w:t>18B</w:t>
      </w:r>
    </w:p>
    <w:p>
      <w:pPr>
        <w:pStyle w:val="DefinedTerms"/>
      </w:pPr>
      <w:r>
        <w:t>lodge</w:t>
      </w:r>
      <w:r>
        <w:tab/>
        <w:t>12(1AA)</w:t>
      </w:r>
    </w:p>
    <w:p>
      <w:pPr>
        <w:pStyle w:val="DefinedTerms"/>
      </w:pPr>
      <w:r>
        <w:t>L peak</w:t>
      </w:r>
      <w:r>
        <w:tab/>
        <w:t>19I(2)</w:t>
      </w:r>
    </w:p>
    <w:p>
      <w:pPr>
        <w:pStyle w:val="DefinedTerms"/>
      </w:pPr>
      <w:r>
        <w:t>March CPI</w:t>
      </w:r>
      <w:r>
        <w:tab/>
        <w:t>2AAA</w:t>
      </w:r>
    </w:p>
    <w:p>
      <w:pPr>
        <w:pStyle w:val="DefinedTerms"/>
      </w:pPr>
      <w:r>
        <w:t>MBS item</w:t>
      </w:r>
      <w:r>
        <w:tab/>
        <w:t>17AB(3)</w:t>
      </w:r>
    </w:p>
    <w:p>
      <w:pPr>
        <w:pStyle w:val="DefinedTerms"/>
      </w:pPr>
      <w:r>
        <w:t>NATA</w:t>
      </w:r>
      <w:r>
        <w:tab/>
        <w:t>67(1)</w:t>
      </w:r>
    </w:p>
    <w:p>
      <w:pPr>
        <w:pStyle w:val="DefinedTerms"/>
      </w:pPr>
      <w:r>
        <w:t>notify</w:t>
      </w:r>
      <w:r>
        <w:tab/>
        <w:t>60(1)</w:t>
      </w:r>
    </w:p>
    <w:p>
      <w:pPr>
        <w:pStyle w:val="DefinedTerms"/>
      </w:pPr>
      <w:r>
        <w:t>paramedic</w:t>
      </w:r>
      <w:r>
        <w:tab/>
        <w:t>68(1)</w:t>
      </w:r>
    </w:p>
    <w:p>
      <w:pPr>
        <w:pStyle w:val="DefinedTerms"/>
      </w:pPr>
      <w:r>
        <w:t>Part 8 document</w:t>
      </w:r>
      <w:r>
        <w:tab/>
        <w:t>54</w:t>
      </w:r>
    </w:p>
    <w:p>
      <w:pPr>
        <w:pStyle w:val="DefinedTerms"/>
      </w:pPr>
      <w:r>
        <w:t>pending application</w:t>
      </w:r>
      <w:r>
        <w:tab/>
        <w:t>18LA(1)</w:t>
      </w:r>
    </w:p>
    <w:p>
      <w:pPr>
        <w:pStyle w:val="DefinedTerms"/>
      </w:pPr>
      <w:r>
        <w:t>prescribed details</w:t>
      </w:r>
      <w:r>
        <w:tab/>
        <w:t>18L</w:t>
      </w:r>
    </w:p>
    <w:p>
      <w:pPr>
        <w:pStyle w:val="DefinedTerms"/>
      </w:pPr>
      <w:r>
        <w:t>psychiatrist</w:t>
      </w:r>
      <w:r>
        <w:tab/>
        <w:t>68(1)</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working day</w:t>
      </w:r>
      <w:r>
        <w:tab/>
        <w:t>59(1)</w:t>
      </w:r>
    </w:p>
    <w:p>
      <w:pPr>
        <w:pStyle w:val="DefinedTerms"/>
      </w:pPr>
      <w:r>
        <w:t>WPI</w:t>
      </w:r>
      <w:r>
        <w:tab/>
        <w:t>2AAA</w:t>
      </w:r>
    </w:p>
    <w:p/>
    <w:p>
      <w:pPr>
        <w:sectPr>
          <w:headerReference w:type="even" r:id="rId40"/>
          <w:headerReference w:type="default" r:id="rId4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02EA0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55B4FD4" w14:textId="6F43C5B0" w:rsidR="00792932" w:rsidRDefault="002D5FC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56EF">
                        <w:rPr>
                          <w:sz w:val="16"/>
                        </w:rPr>
                        <w:t>2023</w:t>
                      </w:r>
                      <w:r>
                        <w:rPr>
                          <w:sz w:val="16"/>
                        </w:rPr>
                        <w:fldChar w:fldCharType="end"/>
                      </w:r>
                      <w:r>
                        <w:rPr>
                          <w:sz w:val="16"/>
                        </w:rPr>
                        <w:t>.</w:t>
                      </w:r>
                    </w:p>
                    <w:p w14:paraId="7B12731F" w14:textId="77777777" w:rsidR="00792932" w:rsidRDefault="002D5FC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D756D0" w14:textId="6D6BB5FF" w:rsidR="00792932" w:rsidRDefault="002D5FC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56EF">
                        <w:rPr>
                          <w:sz w:val="16"/>
                        </w:rPr>
                        <w:t>2023</w:t>
                      </w:r>
                      <w:r>
                        <w:rPr>
                          <w:sz w:val="16"/>
                        </w:rPr>
                        <w:fldChar w:fldCharType="end"/>
                      </w:r>
                      <w:r>
                        <w:rPr>
                          <w:sz w:val="16"/>
                        </w:rPr>
                        <w:t>.</w:t>
                      </w:r>
                    </w:p>
                    <w:p w14:paraId="192A286E" w14:textId="77777777" w:rsidR="00792932" w:rsidRDefault="002D5FC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08-k0-02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08-k0-02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08-k0-02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08-k0-02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08-k0-02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08-k0-02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4" w:name="Schedule"/>
    <w:bookmarkEnd w:id="1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6" w:name="DefinedTerms"/>
    <w:bookmarkEnd w:id="18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8161143"/>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 w:name="WAFER_20230724095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5416_GUID" w:val="6d0d7948-d959-436c-a840-b94e2e61c1ad"/>
    <w:docVar w:name="WAFER_20230724095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5446_GUID" w:val="a3dcc1bb-b1c0-4d0a-b730-4202652fa67a"/>
    <w:docVar w:name="WAFER_20230804102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14_GUID" w:val="59d39a1f-ed44-4a0e-aa84-e4cd8c866985"/>
    <w:docVar w:name="WAFER_20231025162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5162022_GUID" w:val="2a813989-aaa9-4979-8379-bb971dfd873e"/>
    <w:docVar w:name="WAFER_20231229114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4122_GUID" w:val="15c8e463-5257-4d9a-a8aa-ed243b116cc3"/>
    <w:docVar w:name="WAFER_20231229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5242_GUID" w:val="aa43b2b0-334e-488e-86a0-a3eefefd967e"/>
    <w:docVar w:name="WAFER_20240315092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526_GUID" w:val="cc70bf37-6286-41ed-a8df-9a7dc000730c"/>
    <w:docVar w:name="WAFER_2024031816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61143_GUID" w:val="f27a950a-4be0-400e-bbde-1b1a11e8e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4.jpeg"/><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5.xml"/><Relationship Id="rId20" Type="http://schemas.openxmlformats.org/officeDocument/2006/relationships/footer" Target="footer6.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51751-8F39-40CE-B39D-A405682C7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55428</Words>
  <Characters>272152</Characters>
  <Application>Microsoft Office Word</Application>
  <DocSecurity>0</DocSecurity>
  <Lines>19439</Lines>
  <Paragraphs>11699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1982 - 08-k0-02</dc:title>
  <dc:subject/>
  <dc:creator/>
  <cp:keywords/>
  <dc:description/>
  <cp:lastModifiedBy>Master Repository Process</cp:lastModifiedBy>
  <cp:revision>4</cp:revision>
  <cp:lastPrinted>2021-12-22T01:50:00Z</cp:lastPrinted>
  <dcterms:created xsi:type="dcterms:W3CDTF">2025-06-18T04:41:00Z</dcterms:created>
  <dcterms:modified xsi:type="dcterms:W3CDTF">2025-06-18T04:43:00Z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24 Oct 2023</vt:lpwstr>
  </property>
  <property fmtid="{D5CDD505-2E9C-101B-9397-08002B2CF9AE}" pid="9" name="Suffix">
    <vt:lpwstr>08-k0-02</vt:lpwstr>
  </property>
  <property fmtid="{D5CDD505-2E9C-101B-9397-08002B2CF9AE}" pid="10" name="Official">
    <vt:lpwstr/>
  </property>
  <property fmtid="{D5CDD505-2E9C-101B-9397-08002B2CF9AE}" pid="11" name="CommencementDate">
    <vt:lpwstr>20231024</vt:lpwstr>
  </property>
  <property fmtid="{D5CDD505-2E9C-101B-9397-08002B2CF9AE}" pid="12" name="CommencementAsAt">
    <vt:filetime>2023-10-23T16:00:00Z</vt:filetime>
  </property>
  <property fmtid="{D5CDD505-2E9C-101B-9397-08002B2CF9AE}" pid="13" name="CommencementYear">
    <vt:lpwstr>2023</vt:lpwstr>
  </property>
</Properties>
</file>