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_Toc161750496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_Toc161750497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_Toc161750498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_Toc161750499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_Toc161750500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_Toc161750501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_Toc161750502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_Toc161750503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_Toc161750504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_Toc161750505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_Toc161750506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_Toc161750507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_Toc161750508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_Toc161750509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keepNext w:val="0"/>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keepNext w:val="0"/>
        <w:tabs>
          <w:tab w:val="right" w:leader="dot" w:pos="7077"/>
        </w:tabs>
        <w:rPr>
          <w:rFonts w:asciiTheme="minorHAnsi" w:eastAsiaTheme="minorEastAsia" w:hAnsiTheme="minorHAnsi" w:cstheme="minorBidi"/>
          <w:b w:val="0"/>
          <w:sz w:val="22"/>
          <w:szCs w:val="22"/>
        </w:rPr>
      </w:pPr>
      <w:r>
        <w:t>Division 1 — Procedures</w:t>
      </w:r>
    </w:p>
    <w:p>
      <w:pPr>
        <w:pStyle w:val="TOC6"/>
        <w:keepNext w:val="0"/>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keepNext w:val="0"/>
        <w:tabs>
          <w:tab w:val="right" w:leader="dot" w:pos="7077"/>
        </w:tabs>
        <w:rPr>
          <w:rFonts w:asciiTheme="minorHAnsi" w:eastAsiaTheme="minorEastAsia" w:hAnsiTheme="minorHAnsi" w:cstheme="minorBidi"/>
          <w:b w:val="0"/>
          <w:szCs w:val="22"/>
        </w:rPr>
      </w:pPr>
      <w:r>
        <w:t>Part 2 — Medical procedures</w:t>
      </w:r>
    </w:p>
    <w:p>
      <w:pPr>
        <w:pStyle w:val="TOC4"/>
        <w:keepNext w:val="0"/>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lastRenderedPageBreak/>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 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_Toc161750528 \h </w:instrText>
      </w:r>
      <w:r>
        <w:fldChar w:fldCharType="separate"/>
      </w:r>
      <w:r>
        <w:t>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_Toc161750529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840"/>
      </w:pPr>
      <w:r>
        <w:t>Workers’ Compensation and Injury Management (Scales of Fees) Regulations 1998</w:t>
      </w:r>
    </w:p>
    <w:p>
      <w:pPr>
        <w:pStyle w:val="Heading5"/>
        <w:spacing w:before="280"/>
        <w:rPr>
          <w:snapToGrid w:val="0"/>
        </w:rPr>
      </w:pPr>
      <w:bookmarkStart w:id="2" w:name="_Toc161750496"/>
      <w:r>
        <w:rPr>
          <w:rStyle w:val="CharSectno"/>
        </w:rPr>
        <w:t>1</w:t>
      </w:r>
      <w:r>
        <w:rPr>
          <w:snapToGrid w:val="0"/>
        </w:rPr>
        <w:t>.</w:t>
      </w:r>
      <w:r>
        <w:rPr>
          <w:snapToGrid w:val="0"/>
        </w:rPr>
        <w:tab/>
        <w:t>Citation</w:t>
      </w:r>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161750497"/>
      <w:r>
        <w:rPr>
          <w:rStyle w:val="CharSectno"/>
        </w:rPr>
        <w:t>2</w:t>
      </w:r>
      <w:r>
        <w:rPr>
          <w:snapToGrid w:val="0"/>
        </w:rPr>
        <w:t>.</w:t>
      </w:r>
      <w:r>
        <w:rPr>
          <w:snapToGrid w:val="0"/>
        </w:rPr>
        <w:tab/>
        <w:t>Scales of fees — medical specialists and other medical practitioners</w:t>
      </w:r>
      <w:bookmarkEnd w:id="3"/>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2023.</w:t>
      </w:r>
    </w:p>
    <w:p>
      <w:pPr>
        <w:pStyle w:val="Footnotesection"/>
        <w:keepLines w:val="0"/>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 SL 2023/155 r. 4.]</w:t>
      </w:r>
    </w:p>
    <w:p>
      <w:pPr>
        <w:pStyle w:val="Heading5"/>
        <w:rPr>
          <w:snapToGrid w:val="0"/>
        </w:rPr>
      </w:pPr>
      <w:bookmarkStart w:id="4" w:name="_Toc161750498"/>
      <w:r>
        <w:rPr>
          <w:rStyle w:val="CharSectno"/>
        </w:rPr>
        <w:lastRenderedPageBreak/>
        <w:t>3</w:t>
      </w:r>
      <w:r>
        <w:rPr>
          <w:snapToGrid w:val="0"/>
        </w:rPr>
        <w:t>.</w:t>
      </w:r>
      <w:r>
        <w:rPr>
          <w:snapToGrid w:val="0"/>
        </w:rPr>
        <w:tab/>
        <w:t>Scale of fees — physiotherapists</w:t>
      </w:r>
      <w:bookmarkEnd w:id="4"/>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5" w:name="_Toc161750499"/>
      <w:r>
        <w:rPr>
          <w:rStyle w:val="CharSectno"/>
        </w:rPr>
        <w:t>4</w:t>
      </w:r>
      <w:r>
        <w:rPr>
          <w:snapToGrid w:val="0"/>
        </w:rPr>
        <w:t>.</w:t>
      </w:r>
      <w:r>
        <w:rPr>
          <w:snapToGrid w:val="0"/>
        </w:rPr>
        <w:tab/>
        <w:t>Scale of fees — chiropractors</w:t>
      </w:r>
      <w:bookmarkEnd w:id="5"/>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6" w:name="_Toc161750500"/>
      <w:r>
        <w:rPr>
          <w:rStyle w:val="CharSectno"/>
        </w:rPr>
        <w:t>5</w:t>
      </w:r>
      <w:r>
        <w:rPr>
          <w:snapToGrid w:val="0"/>
        </w:rPr>
        <w:t>.</w:t>
      </w:r>
      <w:r>
        <w:rPr>
          <w:snapToGrid w:val="0"/>
        </w:rPr>
        <w:tab/>
        <w:t>Scale of fees — occupational therapists</w:t>
      </w:r>
      <w:bookmarkEnd w:id="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7" w:name="_Toc161750501"/>
      <w:r>
        <w:rPr>
          <w:rStyle w:val="CharSectno"/>
        </w:rPr>
        <w:t>6</w:t>
      </w:r>
      <w:r>
        <w:t>.</w:t>
      </w:r>
      <w:r>
        <w:tab/>
        <w:t>Scale of fees — clinical psychologists</w:t>
      </w:r>
      <w:bookmarkEnd w:id="7"/>
    </w:p>
    <w:p>
      <w:pPr>
        <w:pStyle w:val="Subsection"/>
      </w:pPr>
      <w:r>
        <w:tab/>
        <w:t>(1)</w:t>
      </w:r>
      <w:r>
        <w:tab/>
        <w:t>Under section 292(2)(a)(vi) of the Act, the hourly rate of $280.65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 SL 2023/155 r. 5.]</w:t>
      </w:r>
    </w:p>
    <w:p>
      <w:pPr>
        <w:pStyle w:val="Heading5"/>
      </w:pPr>
      <w:bookmarkStart w:id="8" w:name="_Toc161750502"/>
      <w:r>
        <w:rPr>
          <w:rStyle w:val="CharSectno"/>
        </w:rPr>
        <w:t>6A</w:t>
      </w:r>
      <w:r>
        <w:t>.</w:t>
      </w:r>
      <w:r>
        <w:tab/>
        <w:t>Scale of fees — counselling psychology</w:t>
      </w:r>
      <w:bookmarkEnd w:id="8"/>
    </w:p>
    <w:p>
      <w:pPr>
        <w:pStyle w:val="Subsection"/>
      </w:pPr>
      <w:r>
        <w:tab/>
      </w:r>
      <w:r>
        <w:tab/>
        <w:t>Under section 292(2)(a)(viii) of the Act, the hourly rate of $280.65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rPr>
          <w:snapToGrid w:val="0"/>
        </w:rPr>
      </w:pPr>
      <w:bookmarkStart w:id="9" w:name="_Toc161750503"/>
      <w:r>
        <w:rPr>
          <w:rStyle w:val="CharSectno"/>
        </w:rPr>
        <w:t>7</w:t>
      </w:r>
      <w:r>
        <w:rPr>
          <w:snapToGrid w:val="0"/>
        </w:rPr>
        <w:t>.</w:t>
      </w:r>
      <w:r>
        <w:rPr>
          <w:snapToGrid w:val="0"/>
        </w:rPr>
        <w:tab/>
        <w:t>Scale of fees — speech pathologists</w:t>
      </w:r>
      <w:bookmarkEnd w:id="9"/>
    </w:p>
    <w:p>
      <w:pPr>
        <w:pStyle w:val="Subsection"/>
        <w:keepNext/>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w:t>
      </w:r>
      <w:r>
        <w:rPr>
          <w:snapToGrid w:val="0"/>
        </w:rPr>
        <w:lastRenderedPageBreak/>
        <w:t xml:space="preserve">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0" w:name="_Toc161750504"/>
      <w:r>
        <w:rPr>
          <w:rStyle w:val="CharSectno"/>
        </w:rPr>
        <w:t>7A</w:t>
      </w:r>
      <w:r>
        <w:t>.</w:t>
      </w:r>
      <w:r>
        <w:tab/>
        <w:t>Scale of fees — osteopaths</w:t>
      </w:r>
      <w:bookmarkEnd w:id="10"/>
    </w:p>
    <w:p>
      <w:pPr>
        <w:pStyle w:val="Subsection"/>
      </w:pPr>
      <w:r>
        <w:tab/>
      </w:r>
      <w:r>
        <w:tab/>
        <w:t xml:space="preserve">Under section 292(2)(a)(viii) of the Act, the amount of $88.70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pPr>
      <w:bookmarkStart w:id="11" w:name="_Toc161750505"/>
      <w:r>
        <w:rPr>
          <w:rStyle w:val="CharSectno"/>
        </w:rPr>
        <w:t>7B</w:t>
      </w:r>
      <w:r>
        <w:t>.</w:t>
      </w:r>
      <w:r>
        <w:tab/>
        <w:t>Scale of fees — exercise physiologists</w:t>
      </w:r>
      <w:bookmarkEnd w:id="1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2" w:name="_Toc161750506"/>
      <w:r>
        <w:rPr>
          <w:rStyle w:val="CharSectno"/>
        </w:rPr>
        <w:t>7C</w:t>
      </w:r>
      <w:r>
        <w:t>.</w:t>
      </w:r>
      <w:r>
        <w:tab/>
        <w:t>Scale of fees — acupuncturists</w:t>
      </w:r>
      <w:bookmarkEnd w:id="12"/>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lastRenderedPageBreak/>
        <w:t>Health Practitioner Regulation National Law (Western Australia)</w:t>
      </w:r>
      <w:r>
        <w:t xml:space="preserve"> in the Division of acupuncture.</w:t>
      </w:r>
    </w:p>
    <w:p>
      <w:pPr>
        <w:pStyle w:val="Subsection"/>
        <w:keepNext/>
      </w:pPr>
      <w:r>
        <w:tab/>
        <w:t>(2)</w:t>
      </w:r>
      <w:r>
        <w:tab/>
        <w:t xml:space="preserve">Under section 292(2)(a)(viii) of the Act, the fixed fee of $86.65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5; SL 2023/155 r. 5.]</w:t>
      </w:r>
    </w:p>
    <w:p>
      <w:pPr>
        <w:pStyle w:val="Heading5"/>
        <w:rPr>
          <w:snapToGrid w:val="0"/>
        </w:rPr>
      </w:pPr>
      <w:bookmarkStart w:id="13" w:name="_Toc161750507"/>
      <w:r>
        <w:rPr>
          <w:rStyle w:val="CharSectno"/>
        </w:rPr>
        <w:t>8</w:t>
      </w:r>
      <w:r>
        <w:rPr>
          <w:snapToGrid w:val="0"/>
        </w:rPr>
        <w:t>.</w:t>
      </w:r>
      <w:r>
        <w:rPr>
          <w:snapToGrid w:val="0"/>
        </w:rPr>
        <w:tab/>
        <w:t>Scale of fees — vocational rehabilitation providers</w:t>
      </w:r>
      <w:bookmarkEnd w:id="13"/>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$209.35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pPr>
      <w:bookmarkStart w:id="14" w:name="_Toc161750508"/>
      <w:r>
        <w:rPr>
          <w:rStyle w:val="CharSectno"/>
        </w:rPr>
        <w:t>9</w:t>
      </w:r>
      <w:r>
        <w:t>.</w:t>
      </w:r>
      <w:r>
        <w:tab/>
        <w:t>Scale of maximum fees — approved medical specialists</w:t>
      </w:r>
      <w:bookmarkEnd w:id="14"/>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lastRenderedPageBreak/>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5" w:name="_Toc161750509"/>
      <w:r>
        <w:rPr>
          <w:rStyle w:val="CharSectno"/>
        </w:rPr>
        <w:t>10</w:t>
      </w:r>
      <w:r>
        <w:t>.</w:t>
      </w:r>
      <w:r>
        <w:tab/>
        <w:t>Effect of GST</w:t>
      </w:r>
      <w:bookmarkEnd w:id="15"/>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 w:name="_Toc161386935"/>
      <w:bookmarkStart w:id="17" w:name="_Toc161386995"/>
      <w:bookmarkStart w:id="18" w:name="_Toc161746962"/>
      <w:bookmarkStart w:id="19" w:name="_Toc161747332"/>
      <w:bookmarkStart w:id="20" w:name="_Toc161750510"/>
      <w:r>
        <w:rPr>
          <w:rStyle w:val="CharSchNo"/>
        </w:rPr>
        <w:lastRenderedPageBreak/>
        <w:t>Schedule 1</w:t>
      </w:r>
      <w:r>
        <w:t> — </w:t>
      </w:r>
      <w:r>
        <w:rPr>
          <w:rStyle w:val="CharSchText"/>
        </w:rPr>
        <w:t>Scale of fees: medical specialists and other medical practitioners</w:t>
      </w:r>
      <w:bookmarkEnd w:id="16"/>
      <w:bookmarkEnd w:id="17"/>
      <w:bookmarkEnd w:id="18"/>
      <w:bookmarkEnd w:id="19"/>
      <w:bookmarkEnd w:id="20"/>
    </w:p>
    <w:p>
      <w:pPr>
        <w:pStyle w:val="yShoulderClause"/>
      </w:pPr>
      <w:r>
        <w:t>[r. 2]</w:t>
      </w:r>
    </w:p>
    <w:p>
      <w:pPr>
        <w:pStyle w:val="yFootnoteheading"/>
      </w:pPr>
      <w:r>
        <w:tab/>
        <w:t>[Heading inserted: SL 2023/155 r. 6.]</w:t>
      </w:r>
    </w:p>
    <w:p>
      <w:pPr>
        <w:pStyle w:val="yHeading3"/>
      </w:pPr>
      <w:bookmarkStart w:id="21" w:name="_Toc161386936"/>
      <w:bookmarkStart w:id="22" w:name="_Toc161386996"/>
      <w:bookmarkStart w:id="23" w:name="_Toc161746963"/>
      <w:bookmarkStart w:id="24" w:name="_Toc161747333"/>
      <w:bookmarkStart w:id="25" w:name="_Toc161750511"/>
      <w:r>
        <w:rPr>
          <w:rStyle w:val="CharSDivNo"/>
        </w:rPr>
        <w:t>Part 1</w:t>
      </w:r>
      <w:r>
        <w:t> — </w:t>
      </w:r>
      <w:r>
        <w:rPr>
          <w:rStyle w:val="CharSDivText"/>
        </w:rPr>
        <w:t>Medical specialists and other medical practitioners</w:t>
      </w:r>
      <w:bookmarkEnd w:id="21"/>
      <w:bookmarkEnd w:id="22"/>
      <w:bookmarkEnd w:id="23"/>
      <w:bookmarkEnd w:id="24"/>
      <w:bookmarkEnd w:id="25"/>
    </w:p>
    <w:p>
      <w:pPr>
        <w:pStyle w:val="yFootnoteheading"/>
      </w:pPr>
      <w:r>
        <w:tab/>
        <w:t>[Heading inserted: SL 2023/155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spacing w:after="120"/>
              <w:rPr>
                <w:b/>
              </w:rPr>
            </w:pPr>
            <w:r>
              <w:rPr>
                <w:b/>
              </w:rPr>
              <w:tab/>
              <w:t>Type of service/by whom</w:t>
            </w:r>
          </w:p>
        </w:tc>
        <w:tc>
          <w:tcPr>
            <w:tcW w:w="1134" w:type="dxa"/>
            <w:noWrap/>
          </w:tcPr>
          <w:p>
            <w:pPr>
              <w:pStyle w:val="yTableNAm"/>
              <w:rPr>
                <w:b/>
              </w:rPr>
            </w:pPr>
            <w:r>
              <w:rPr>
                <w:b/>
              </w:rPr>
              <w:t>Fee</w:t>
            </w: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$87.30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$159.40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$244.80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$52.05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$67.80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$130.90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$198.05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$268.35</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$65.55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$130.90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$238.30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$369.00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$103.70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$112.45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$174.25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$238.30</w:t>
            </w:r>
          </w:p>
        </w:tc>
      </w:tr>
    </w:tbl>
    <w:p>
      <w:pPr>
        <w:pStyle w:val="yMiscellaneousHeading"/>
        <w:jc w:val="left"/>
      </w:pPr>
      <w:r>
        <w:t>VISITS</w:t>
      </w:r>
    </w:p>
    <w:p>
      <w:pPr>
        <w:pStyle w:val="yMiscellaneousHeading"/>
        <w:jc w:val="left"/>
      </w:pPr>
      <w:r>
        <w:t>Consultations at a place other than the Consulting Rooms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$109.15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$149.20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$221.40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$308.50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$130.90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$194.65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$298.65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$436.10</w:t>
            </w:r>
          </w:p>
        </w:tc>
      </w:tr>
    </w:tbl>
    <w:p>
      <w:pPr>
        <w:pStyle w:val="yMiscellaneousHeading"/>
        <w:keepNext w:val="0"/>
        <w:jc w:val="left"/>
      </w:pPr>
      <w:r>
        <w:lastRenderedPageBreak/>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noWrap/>
          </w:tcPr>
          <w:p>
            <w:pPr>
              <w:pStyle w:val="yTableNAm"/>
            </w:pPr>
            <w:r>
              <w:t>per hour</w:t>
            </w:r>
          </w:p>
        </w:tc>
        <w:tc>
          <w:tcPr>
            <w:tcW w:w="1134" w:type="dxa"/>
            <w:noWrap/>
            <w:vAlign w:val="bottom"/>
          </w:tcPr>
          <w:p>
            <w:pPr>
              <w:pStyle w:val="yTableNAm"/>
              <w:jc w:val="right"/>
            </w:pPr>
            <w:r>
              <w:rPr>
                <w:szCs w:val="22"/>
              </w:rPr>
              <w:t>$328.15</w:t>
            </w:r>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$5.90</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$331.30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$165.65</w:t>
            </w:r>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$396.50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$228.75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$331.30</w:t>
            </w:r>
          </w:p>
        </w:tc>
      </w:tr>
      <w:tr>
        <w:tc>
          <w:tcPr>
            <w:tcW w:w="5245" w:type="dxa"/>
            <w:noWrap/>
          </w:tcPr>
          <w:p>
            <w:pPr>
              <w:pStyle w:val="yTableNAm"/>
            </w:pPr>
            <w:r>
              <w:t>subsequent attendances</w:t>
            </w:r>
          </w:p>
        </w:tc>
        <w:tc>
          <w:tcPr>
            <w:tcW w:w="1134" w:type="dxa"/>
            <w:noWrap/>
            <w:vAlign w:val="bottom"/>
          </w:tcPr>
          <w:p>
            <w:pPr>
              <w:pStyle w:val="yTableNAm"/>
              <w:jc w:val="right"/>
            </w:pPr>
            <w:r>
              <w:t>$165.65</w:t>
            </w:r>
          </w:p>
        </w:tc>
      </w:tr>
    </w:tbl>
    <w:p>
      <w:pPr>
        <w:pStyle w:val="yMiscellaneousHeading"/>
        <w:jc w:val="left"/>
      </w:pPr>
      <w:r>
        <w:lastRenderedPageBreak/>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$396.50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$228.75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$336.60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$165.65</w:t>
            </w:r>
          </w:p>
        </w:tc>
      </w:tr>
    </w:tbl>
    <w:p>
      <w:pPr>
        <w:pStyle w:val="yMiscellaneousHeading"/>
        <w:keepNext w:val="0"/>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$396.50</w:t>
            </w:r>
          </w:p>
        </w:tc>
      </w:tr>
      <w:tr>
        <w:tc>
          <w:tcPr>
            <w:tcW w:w="5245" w:type="dxa"/>
            <w:noWrap/>
          </w:tcPr>
          <w:p>
            <w:pPr>
              <w:pStyle w:val="yTableNAm"/>
            </w:pPr>
            <w:r>
              <w:t>subsequent attendances</w:t>
            </w:r>
          </w:p>
        </w:tc>
        <w:tc>
          <w:tcPr>
            <w:tcW w:w="1134" w:type="dxa"/>
            <w:noWrap/>
            <w:vAlign w:val="bottom"/>
          </w:tcPr>
          <w:p>
            <w:pPr>
              <w:pStyle w:val="yTableNAm"/>
              <w:jc w:val="right"/>
            </w:pPr>
            <w:r>
              <w:t>$228.75</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$43.45</w:t>
            </w:r>
          </w:p>
        </w:tc>
      </w:tr>
      <w:tr>
        <w:tc>
          <w:tcPr>
            <w:tcW w:w="5245" w:type="dxa"/>
            <w:noWrap/>
          </w:tcPr>
          <w:p>
            <w:pPr>
              <w:pStyle w:val="yTableNAm"/>
            </w:pPr>
            <w:r>
              <w:tab/>
              <w:t>more than 5 minutes to 15 minutes</w:t>
            </w:r>
          </w:p>
        </w:tc>
        <w:tc>
          <w:tcPr>
            <w:tcW w:w="1134" w:type="dxa"/>
            <w:noWrap/>
            <w:vAlign w:val="bottom"/>
          </w:tcPr>
          <w:p>
            <w:pPr>
              <w:pStyle w:val="yTableNAm"/>
              <w:jc w:val="right"/>
            </w:pPr>
            <w:r>
              <w:t>$53.55</w:t>
            </w:r>
          </w:p>
        </w:tc>
      </w:tr>
      <w:tr>
        <w:tc>
          <w:tcPr>
            <w:tcW w:w="5245" w:type="dxa"/>
            <w:noWrap/>
          </w:tcPr>
          <w:p>
            <w:pPr>
              <w:pStyle w:val="yTableNAm"/>
            </w:pPr>
            <w:r>
              <w:tab/>
              <w:t>more than 15 minutes to 30 minutes</w:t>
            </w:r>
          </w:p>
        </w:tc>
        <w:tc>
          <w:tcPr>
            <w:tcW w:w="1134" w:type="dxa"/>
            <w:noWrap/>
            <w:vAlign w:val="bottom"/>
          </w:tcPr>
          <w:p>
            <w:pPr>
              <w:pStyle w:val="yTableNAm"/>
              <w:jc w:val="right"/>
            </w:pPr>
            <w:r>
              <w:t>$112.00</w:t>
            </w:r>
          </w:p>
        </w:tc>
      </w:tr>
      <w:tr>
        <w:tc>
          <w:tcPr>
            <w:tcW w:w="5245" w:type="dxa"/>
            <w:noWrap/>
          </w:tcPr>
          <w:p>
            <w:pPr>
              <w:pStyle w:val="yTableNAm"/>
            </w:pPr>
            <w:r>
              <w:tab/>
              <w:t>more than 30 minutes</w:t>
            </w:r>
          </w:p>
        </w:tc>
        <w:tc>
          <w:tcPr>
            <w:tcW w:w="1134" w:type="dxa"/>
            <w:noWrap/>
            <w:vAlign w:val="bottom"/>
          </w:tcPr>
          <w:p>
            <w:pPr>
              <w:pStyle w:val="yTableNAm"/>
              <w:jc w:val="right"/>
            </w:pPr>
            <w:r>
              <w:t>$169.10</w:t>
            </w:r>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jc w:val="left"/>
      </w:pPr>
      <w:r>
        <w:lastRenderedPageBreak/>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$5.90</w:t>
            </w:r>
          </w:p>
        </w:tc>
      </w:tr>
    </w:tbl>
    <w:p>
      <w:pPr>
        <w:pStyle w:val="yMiscellaneousHeading"/>
        <w:jc w:val="left"/>
        <w:rPr>
          <w:b/>
          <w:i/>
        </w:rPr>
      </w:pPr>
      <w:r>
        <w:rPr>
          <w:b/>
          <w:i/>
        </w:rPr>
        <w:t>CONSULTANT PSYCHIATRISTS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$97.20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$193.80</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$290.25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$388.40</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$439.50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$490.50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$159.50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$257.50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$351.45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$449.60</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$541.90</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$129.00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$281.30</w:t>
            </w:r>
          </w:p>
        </w:tc>
      </w:tr>
    </w:tbl>
    <w:p>
      <w:pPr>
        <w:pStyle w:val="yMiscellaneousHeading"/>
        <w:jc w:val="left"/>
      </w:pPr>
      <w:r>
        <w:lastRenderedPageBreak/>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$5.90</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$188.25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$98.25</w:t>
            </w:r>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$253.70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$161.85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$188.25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$98.25</w:t>
            </w:r>
          </w:p>
        </w:tc>
      </w:tr>
    </w:tbl>
    <w:p>
      <w:pPr>
        <w:pStyle w:val="yMiscellaneousHeading"/>
        <w:jc w:val="left"/>
      </w:pPr>
      <w:r>
        <w:lastRenderedPageBreak/>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$253.40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$161.50</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$43.45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$53.55</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$112.00</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$169.10</w:t>
            </w:r>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$5.90</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28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$97.90</w:t>
            </w:r>
          </w:p>
        </w:tc>
      </w:tr>
    </w:tbl>
    <w:p>
      <w:pPr>
        <w:pStyle w:val="yMiscellaneousBody"/>
        <w:spacing w:before="0"/>
      </w:pP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lastRenderedPageBreak/>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lastRenderedPageBreak/>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lastRenderedPageBreak/>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26" w:name="_Toc161386937"/>
      <w:bookmarkStart w:id="27" w:name="_Toc161386997"/>
      <w:bookmarkStart w:id="28" w:name="_Toc161746964"/>
      <w:bookmarkStart w:id="29" w:name="_Toc161747334"/>
      <w:bookmarkStart w:id="30" w:name="_Toc161750512"/>
      <w:r>
        <w:t>Division 1 — Procedures</w:t>
      </w:r>
      <w:bookmarkEnd w:id="26"/>
      <w:bookmarkEnd w:id="27"/>
      <w:bookmarkEnd w:id="28"/>
      <w:bookmarkEnd w:id="29"/>
      <w:bookmarkEnd w:id="30"/>
    </w:p>
    <w:p>
      <w:pPr>
        <w:pStyle w:val="yFootnoteheading"/>
      </w:pPr>
      <w:r>
        <w:tab/>
        <w:t>[Heading inserted: SL 2023/155 r. 6.]</w:t>
      </w:r>
    </w:p>
    <w:tbl>
      <w:tblPr>
        <w:tblW w:w="6946" w:type="dxa"/>
        <w:tblInd w:w="142" w:type="dxa"/>
        <w:tblLayout w:type="fixed"/>
        <w:tblCellMar>
          <w:left w:w="142" w:type="dxa"/>
          <w:right w:w="142" w:type="dxa"/>
        </w:tblCellMar>
        <w:tblLook w:val="0000" w:firstRow="0" w:lastRow="0" w:firstColumn="0" w:lastColumn="0" w:noHBand="0" w:noVBand="0"/>
      </w:tblPr>
      <w:tblGrid>
        <w:gridCol w:w="5954"/>
        <w:gridCol w:w="992"/>
      </w:tblGrid>
      <w:tr>
        <w:trPr>
          <w:cantSplit/>
          <w:tblHeader/>
        </w:trPr>
        <w:tc>
          <w:tcPr>
            <w:tcW w:w="5954" w:type="dxa"/>
            <w:tcBorders>
              <w:top w:val="single" w:sz="4" w:space="0" w:color="auto"/>
              <w:bottom w:val="single" w:sz="4" w:space="0" w:color="auto"/>
            </w:tcBorders>
            <w:noWrap/>
          </w:tcPr>
          <w:p>
            <w:pPr>
              <w:pStyle w:val="yTableNAm"/>
              <w:rPr>
                <w:b/>
              </w:rPr>
            </w:pPr>
            <w:r>
              <w:rPr>
                <w:b/>
              </w:rPr>
              <w:t>Description of procedure, etc.</w:t>
            </w:r>
          </w:p>
        </w:tc>
        <w:tc>
          <w:tcPr>
            <w:tcW w:w="992"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954" w:type="dxa"/>
            <w:tcBorders>
              <w:top w:val="single" w:sz="4" w:space="0" w:color="auto"/>
            </w:tcBorders>
            <w:noWrap/>
          </w:tcPr>
          <w:p>
            <w:pPr>
              <w:pStyle w:val="yTableNAm"/>
              <w:rPr>
                <w:b/>
              </w:rPr>
            </w:pPr>
            <w:r>
              <w:rPr>
                <w:b/>
              </w:rPr>
              <w:t>Head</w:t>
            </w:r>
          </w:p>
        </w:tc>
        <w:tc>
          <w:tcPr>
            <w:tcW w:w="992"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muscles, salivary glands and superficial blood vessels of the head,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plastic repair of cleft lip</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electroconvulsive therapy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lastRenderedPageBreak/>
              <w:t>Anaesthesia for all procedures on external, middle or inner ear,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otoscopy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all procedures on eye unless otherwise specified</w:t>
            </w:r>
          </w:p>
        </w:tc>
        <w:tc>
          <w:tcPr>
            <w:tcW w:w="992" w:type="dxa"/>
            <w:noWrap/>
            <w:vAlign w:val="bottom"/>
          </w:tcPr>
          <w:p>
            <w:pPr>
              <w:pStyle w:val="yTableNAm"/>
              <w:keepNext/>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lens surgery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retinal surgery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corneal transplant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vitrectomy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of conjunctiva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ophthalmoscopy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nose and accessory sinuses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soft tissue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intraoral procedures, including biopsy,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cleft palate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excision of retropharyngeal tumour</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radical intraoral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facial bones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intracranial procedures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subdural taps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burr holes</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rPr>
                <w:rStyle w:val="DraftersNotes"/>
                <w:b w:val="0"/>
                <w:i w:val="0"/>
              </w:rPr>
            </w:pPr>
            <w:r>
              <w:lastRenderedPageBreak/>
              <w:t>—</w:t>
            </w:r>
            <w:r>
              <w:tab/>
              <w:t>intracranial vascular procedures, including those for aneurysms and arterio</w:t>
            </w:r>
            <w:r>
              <w:noBreakHyphen/>
              <w:t>venous abnormalities</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tabs>
                <w:tab w:val="clear" w:pos="567"/>
                <w:tab w:val="left" w:pos="425"/>
              </w:tabs>
              <w:ind w:left="425" w:hanging="283"/>
            </w:pPr>
            <w:r>
              <w:t>—</w:t>
            </w:r>
            <w:r>
              <w:tab/>
              <w:t>spinal fluid shunt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ablation of intracranial nerve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cranial bone procedures</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rPr>
                <w:b/>
              </w:rPr>
            </w:pPr>
            <w:r>
              <w:rPr>
                <w:b/>
              </w:rPr>
              <w:t>Neck</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neck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incision and drainage of large haematoma, large abscess, cellulitis or similar lesion causing life threatening airway obstruction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 xml:space="preserve">Anaesthesia for all procedures on oesophagus, thyroid, larynx, trachea and lymphatic system muscles, nerves or other deep tissues of the neck unless otherwise specified </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laser surgery to the airway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procedures on major vessels of neck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simple ligation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rPr>
                <w:b/>
              </w:rPr>
            </w:pPr>
            <w:r>
              <w:rPr>
                <w:b/>
              </w:rPr>
              <w:t>Thorax (chest wall/shoulder girdle)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chest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breast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reconstructive procedures on the breast (e.g. reduction or augmentation, mammoplasty)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lastRenderedPageBreak/>
              <w:t>—</w:t>
            </w:r>
            <w:r>
              <w:tab/>
              <w:t>mastectomy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reconstructive procedures on the breast using myocutaneous flaps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radical or modified radical procedures on breast with internal mammary node dissection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electrical conversion of arrhythmias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percutaneous bone marrow biopsy of the sternum</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clavicle, scapula or sternum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partial rib resection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thoracoplasty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extensive procedures (e.g. pectus excavatum)</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rPr>
                <w:b/>
              </w:rPr>
            </w:pPr>
            <w:r>
              <w:rPr>
                <w:b/>
              </w:rPr>
              <w:t>Intrathoracic</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open procedures on the oesophagus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closed chest procedures (including rigid oesophagoscopy or bronchoscopy)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needle biopsy of pleura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pneumocentesis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thoracoscopy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mediastinoscopy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thoracotomy procedures involving lungs, pleura, diaphragm and mediastinum unless otherwise specified</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pulmonary decortication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pulmonary resection with thoracoplasty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intrathoracic repair of trauma to trachea and bronchi</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lastRenderedPageBreak/>
              <w:t>Anaesthesia for all open procedures on the heart, pericardium and great vessels of the chest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and lung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Cadaver harvesting of heart and/or lungs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Spine and spinal cord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cervical spine and/or cord unless otherwise specified (for myelography and discography see items in ‘Other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posterior cervical laminectomy in sitting position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on the thoracic spine and/or cord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thoracolumbar sympathectomy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in the lumbar region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lumbar sympathectomy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chemonucleolysis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extensive spine and spinal cord procedures</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manipulation of spine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spinal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rPr>
                <w:b/>
              </w:rPr>
            </w:pPr>
            <w:r>
              <w:rPr>
                <w:b/>
              </w:rPr>
              <w:t>Upper abdomen</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upper abdominal wall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 unless otherwise specified</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lastRenderedPageBreak/>
              <w:t>Anaesthesia for upper gastrointestinal endoscopic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upper gastrointestinal endoscopic procedures in association with imaging techniques including fluoroscopy and ultrasound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upper gastrointestinal endoscopic procedures in association with acute gastrointestinal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hernia repairs in upper abdomen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omphalocele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transabdominal repair of diaphragmatic hernia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all procedures on major abdominal blood vessels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bariatric surgery in a patient with clinically severe obesity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partial hepatectomy (excluding liver biopsy)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extended or trisegmental hepatectomy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pancreatectomy, partial or total (e.g. Whipple procedure)</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pPr>
            <w:r>
              <w:t>Anaesthesia for liver transplant (recipient)</w:t>
            </w:r>
          </w:p>
        </w:tc>
        <w:tc>
          <w:tcPr>
            <w:tcW w:w="992" w:type="dxa"/>
            <w:noWrap/>
            <w:vAlign w:val="bottom"/>
          </w:tcPr>
          <w:p>
            <w:pPr>
              <w:pStyle w:val="yTableNAm"/>
              <w:tabs>
                <w:tab w:val="clear" w:pos="567"/>
                <w:tab w:val="right" w:pos="403"/>
              </w:tabs>
              <w:ind w:right="142"/>
              <w:jc w:val="right"/>
            </w:pPr>
            <w:r>
              <w:t>30</w:t>
            </w:r>
          </w:p>
        </w:tc>
      </w:tr>
      <w:tr>
        <w:trPr>
          <w:cantSplit/>
        </w:trPr>
        <w:tc>
          <w:tcPr>
            <w:tcW w:w="5954" w:type="dxa"/>
            <w:noWrap/>
          </w:tcPr>
          <w:p>
            <w:pPr>
              <w:pStyle w:val="yTableNAm"/>
            </w:pPr>
            <w:r>
              <w:t>Anaesthesia for 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percutaneous procedures on an intra</w:t>
            </w:r>
            <w:r>
              <w:noBreakHyphen/>
              <w:t>abdominal organ in the upper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keepNext/>
              <w:rPr>
                <w:b/>
              </w:rPr>
            </w:pPr>
            <w:r>
              <w:rPr>
                <w:b/>
              </w:rPr>
              <w:lastRenderedPageBreak/>
              <w:t>Lower abdomen</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lipectomy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nerves, muscles, tendons and fascia of the lower abdominal wall (with the exception of abdominal lipectomy)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lower intestinal endoscopic procedures (modifier for prone position is not applicable)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hernia repairs in lower abdomen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within the peritoneal cavity in the lower abdomen (including appendicetomy)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bowel resection, including laparascopic bowel resection,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amniocentesis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prostatectomy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hysterectomy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ovarian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pelvic exenteration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Caesarean section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lastRenderedPageBreak/>
              <w:t>—</w:t>
            </w:r>
            <w:r>
              <w:tab/>
              <w:t>Caesarean hysterectomy or hysterectomy within 24 hours of delivery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extraperitoneal procedures in lower abdomen, including urinary tract,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total cystectomy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adrenalectomy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renal transplant (donor or recipient)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major lower abdominal vessels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inferior vena cava ligation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percutaneous umbrella insertion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percutaneous procedures on an intra</w:t>
            </w:r>
            <w:r>
              <w:noBreakHyphen/>
              <w:t>abdominal organ in the lower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rPr>
                <w:b/>
              </w:rPr>
            </w:pPr>
            <w:r>
              <w:rPr>
                <w:b/>
              </w:rPr>
              <w:t>Perineum</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perineum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vulvectomy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transurethral procedures (including urethrocystoscopy)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transurethral resection of bladder tumour(s)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transurethral resection of prostate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post</w:t>
            </w:r>
            <w:r>
              <w:noBreakHyphen/>
              <w:t>transurethral resection bleeding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lastRenderedPageBreak/>
              <w:t>Anaesthesia for all procedures on male external genitalia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undescended testis,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procedures on the cord and/or testes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inguinal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abdominal approach</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orchiopexy,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complete amputation of the penis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complete amputation of the penis with bilateral inguinal lymphadenectomy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complete amputation of the penis with bilateral inguinal and iliac lymphadenectomy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insertion of penile prosthesis (perianal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vaginal procedures (including biopsy of labia, vagina, cervix or endometrium)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transvaginal assisted reproductive services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vaginal hysterectomy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vaginal delivery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purse string ligation of cervix</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culdoscopy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hysteroscopy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correction of inverted uterus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evacuation of retained products of conception, as a complication of confinement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lastRenderedPageBreak/>
              <w:t>—</w:t>
            </w:r>
            <w:r>
              <w:tab/>
              <w:t>for vaginal procedures in the management of post partum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rPr>
                <w:b/>
              </w:rPr>
            </w:pPr>
            <w:r>
              <w:rPr>
                <w:b/>
              </w:rPr>
              <w:t>Pelvis — except hip</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pelvic region, except external genitalia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bone marrow biopsy of the anterior iliac crest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percutaneous bone marrow biopsy of the posterior iliac crest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percutaneous bone marrow harvesting from the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procedures on bony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body cast application or revision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interpelviabdominal (hind 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radical procedures for tumour of pelvis, except hind quarter amputation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closed procedures involving symphysis pubis or sacroiliac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involving symphysis pubis or sacroiliac joint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keepNext/>
              <w:rPr>
                <w:b/>
              </w:rPr>
            </w:pPr>
            <w:r>
              <w:rPr>
                <w:b/>
              </w:rPr>
              <w:t>Upper leg — except knee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leg</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on the nerves, muscles, tendons, fascia or bursae of the upper leg</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involving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arthroscopic procedures of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lastRenderedPageBreak/>
              <w:t>Anaesthesia for all open procedures involving hip joint unless otherwise specified</w:t>
            </w:r>
          </w:p>
        </w:tc>
        <w:tc>
          <w:tcPr>
            <w:tcW w:w="992" w:type="dxa"/>
            <w:noWrap/>
            <w:vAlign w:val="bottom"/>
          </w:tcPr>
          <w:p>
            <w:pPr>
              <w:pStyle w:val="yTableNAm"/>
              <w:keepNext/>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hip disarticulation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total hip replacement or revision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bilateral total hip replacement</w:t>
            </w:r>
          </w:p>
        </w:tc>
        <w:tc>
          <w:tcPr>
            <w:tcW w:w="992" w:type="dxa"/>
            <w:noWrap/>
            <w:vAlign w:val="bottom"/>
          </w:tcPr>
          <w:p>
            <w:pPr>
              <w:pStyle w:val="yTableNAm"/>
              <w:tabs>
                <w:tab w:val="clear" w:pos="567"/>
                <w:tab w:val="right" w:pos="403"/>
              </w:tabs>
              <w:ind w:right="142"/>
              <w:jc w:val="right"/>
            </w:pPr>
            <w:r>
              <w:t>14</w:t>
            </w:r>
          </w:p>
        </w:tc>
      </w:tr>
      <w:tr>
        <w:trPr>
          <w:cantSplit/>
        </w:trPr>
        <w:tc>
          <w:tcPr>
            <w:tcW w:w="5954"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amputation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procedures involving veins of the upper leg including exploration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involving arteries of the upper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femoral artery ligation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femoral artery 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microsurgical reimplantation of upper leg</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Knee and popliteal area</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knee and/or popliteal area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the knee and/or popliteal area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the knee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lastRenderedPageBreak/>
              <w:t>Anaesthesia for all closed procedures on upper ends of the tibia and fibula and/or patella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upper ends of the tibia and fibula and/or patella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on the knee joint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knee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bilateral knee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disarticulation of knee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cast applications, removal or repair involving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veins of the knee and popliteal area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repair of arteriovenous fistula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arteries of the knee and popliteal area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Lower leg — below knee (includes ankle and foot)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lower leg, ankle and foot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 of ankle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gastrocnemius recession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pPr>
            <w:r>
              <w:lastRenderedPageBreak/>
              <w:t>Anaesthesia for all open procedures on the bones of the lower leg, ankle and foot, including amputation, unless otherwise specified</w:t>
            </w:r>
          </w:p>
        </w:tc>
        <w:tc>
          <w:tcPr>
            <w:tcW w:w="992" w:type="dxa"/>
            <w:noWrap/>
            <w:vAlign w:val="bottom"/>
          </w:tcPr>
          <w:p>
            <w:pPr>
              <w:pStyle w:val="yTableNAm"/>
              <w:keepNext/>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osteotomy or osteoplasty of tibia and fibula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total ankle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lower leg cast application, removal or repair</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arteries of the lower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lower leg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venous thrombectomy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for microsurgical reimplantation of the lower leg, ankle or foot</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the toe</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Shoulder and axilla (includes humeral head and neck, sternoclavicular joint, acromioclavicular joint and shoulder joint)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shoulder or axilla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shoulder and axilla, including axillary dissection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humeral head and neck, sternoclavicular joint, acromioclavicular joint or the shoulder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arthroscopic procedures of the shoulder joint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lastRenderedPageBreak/>
              <w:t>Anaesthesia for all open procedures on the humeral head and neck, sternoclavicular joint, acromioclavicular joint or the shoulder joint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shoulder disarticulation</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interthoracoscapular (forequarter)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total shoulder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arteries of shoulder and axilla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brachial aneurysm</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bypass graft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femoral bypass graft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veins of shoulder and axilla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shoulder cast application, removal or repair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shoulder spica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rPr>
                <w:b/>
              </w:rPr>
            </w:pPr>
            <w:r>
              <w:rPr>
                <w:b/>
              </w:rPr>
              <w:t>Upper arm and elbow</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arm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upper arm and elbow,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tenotomy, elbow to shoulder, open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tenoplasty, elbow to shoulder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tenodesis, rupture of long tendon of biceps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humerus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elbow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lastRenderedPageBreak/>
              <w:t>Anaesthesia for all open procedures on the humerus and elbow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procedures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total elbow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procedures on the arteries of the upper arm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upper arm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microsurgical reimplantation of the upper arm</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Forearm, wrist and hand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forearm, wrist and hand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the forearm, wrist and hand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radius, ulna, wrist or hand bones</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radius, ulna, wrist or hand bones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total wrist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arthroscopic procedures of the wrist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arteries of the forearm, wrist and hand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forearm, wrist and hand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lastRenderedPageBreak/>
              <w:t>Anaesthesia for forearm, wrist or hand cast application, removal or repair</w:t>
            </w:r>
          </w:p>
        </w:tc>
        <w:tc>
          <w:tcPr>
            <w:tcW w:w="992" w:type="dxa"/>
            <w:noWrap/>
            <w:vAlign w:val="bottom"/>
          </w:tcPr>
          <w:p>
            <w:pPr>
              <w:pStyle w:val="yTableNAm"/>
              <w:keepNext/>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for microsurgical reimplantation of forearm, wrist or hand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a finger</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Burns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excision of debridement of burns with or without skin grafting</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where the burnt area involves not more than 3% of total body surface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where the burnt area involves more than 3% but less than 10% of total body surface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where the burnt area involves 10% or more but less than 20% of total body surface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where the burnt area involves 20% or more but less than 30% of total body surface</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where the burnt area involves 30% or more but less than 40% of total body surface</w:t>
            </w:r>
          </w:p>
        </w:tc>
        <w:tc>
          <w:tcPr>
            <w:tcW w:w="992" w:type="dxa"/>
            <w:noWrap/>
            <w:vAlign w:val="bottom"/>
          </w:tcPr>
          <w:p>
            <w:pPr>
              <w:pStyle w:val="yTableNAm"/>
              <w:tabs>
                <w:tab w:val="clear" w:pos="567"/>
                <w:tab w:val="right" w:pos="403"/>
              </w:tabs>
              <w:ind w:right="142"/>
              <w:jc w:val="right"/>
            </w:pPr>
            <w:r>
              <w:t>11</w:t>
            </w:r>
          </w:p>
        </w:tc>
      </w:tr>
      <w:tr>
        <w:trPr>
          <w:cantSplit/>
        </w:trPr>
        <w:tc>
          <w:tcPr>
            <w:tcW w:w="5954" w:type="dxa"/>
            <w:noWrap/>
          </w:tcPr>
          <w:p>
            <w:pPr>
              <w:pStyle w:val="yTableNAm"/>
              <w:tabs>
                <w:tab w:val="clear" w:pos="567"/>
                <w:tab w:val="left" w:pos="425"/>
              </w:tabs>
              <w:ind w:left="425" w:hanging="283"/>
            </w:pPr>
            <w:r>
              <w:t>—</w:t>
            </w:r>
            <w:r>
              <w:tab/>
              <w:t>where the burnt area involves 40% or more but less than 50% of total body surface</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where the burnt area involves 50% or more but less than 60% of total body surface</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where the burnt area involves 60% or more but less than 70% of total body surface</w:t>
            </w:r>
          </w:p>
        </w:tc>
        <w:tc>
          <w:tcPr>
            <w:tcW w:w="992" w:type="dxa"/>
            <w:noWrap/>
            <w:vAlign w:val="bottom"/>
          </w:tcPr>
          <w:p>
            <w:pPr>
              <w:pStyle w:val="yTableNAm"/>
              <w:tabs>
                <w:tab w:val="clear" w:pos="567"/>
                <w:tab w:val="right" w:pos="403"/>
              </w:tabs>
              <w:ind w:right="142"/>
              <w:jc w:val="right"/>
            </w:pPr>
            <w:r>
              <w:t>17</w:t>
            </w:r>
          </w:p>
        </w:tc>
      </w:tr>
      <w:tr>
        <w:trPr>
          <w:cantSplit/>
        </w:trPr>
        <w:tc>
          <w:tcPr>
            <w:tcW w:w="5954" w:type="dxa"/>
            <w:noWrap/>
          </w:tcPr>
          <w:p>
            <w:pPr>
              <w:pStyle w:val="yTableNAm"/>
              <w:tabs>
                <w:tab w:val="clear" w:pos="567"/>
                <w:tab w:val="left" w:pos="425"/>
              </w:tabs>
              <w:ind w:left="425" w:hanging="283"/>
            </w:pPr>
            <w:r>
              <w:t>—</w:t>
            </w:r>
            <w:r>
              <w:tab/>
              <w:t>where the burnt area involves 70% or more but less than 80% of total body surface</w:t>
            </w:r>
          </w:p>
        </w:tc>
        <w:tc>
          <w:tcPr>
            <w:tcW w:w="992" w:type="dxa"/>
            <w:noWrap/>
            <w:vAlign w:val="bottom"/>
          </w:tcPr>
          <w:p>
            <w:pPr>
              <w:pStyle w:val="yTableNAm"/>
              <w:tabs>
                <w:tab w:val="clear" w:pos="567"/>
                <w:tab w:val="right" w:pos="403"/>
              </w:tabs>
              <w:ind w:right="142"/>
              <w:jc w:val="right"/>
            </w:pPr>
            <w:r>
              <w:t>19</w:t>
            </w:r>
          </w:p>
        </w:tc>
      </w:tr>
      <w:tr>
        <w:trPr>
          <w:cantSplit/>
        </w:trPr>
        <w:tc>
          <w:tcPr>
            <w:tcW w:w="5954" w:type="dxa"/>
            <w:noWrap/>
          </w:tcPr>
          <w:p>
            <w:pPr>
              <w:pStyle w:val="yTableNAm"/>
              <w:tabs>
                <w:tab w:val="clear" w:pos="567"/>
                <w:tab w:val="left" w:pos="425"/>
              </w:tabs>
              <w:ind w:left="425" w:hanging="283"/>
            </w:pPr>
            <w:r>
              <w:t>—</w:t>
            </w:r>
            <w:r>
              <w:tab/>
              <w:t>where the burnt area involves 80% or more of total body surface</w:t>
            </w:r>
          </w:p>
        </w:tc>
        <w:tc>
          <w:tcPr>
            <w:tcW w:w="992" w:type="dxa"/>
            <w:noWrap/>
            <w:vAlign w:val="bottom"/>
          </w:tcPr>
          <w:p>
            <w:pPr>
              <w:pStyle w:val="yTableNAm"/>
              <w:tabs>
                <w:tab w:val="clear" w:pos="567"/>
                <w:tab w:val="right" w:pos="403"/>
              </w:tabs>
              <w:ind w:right="142"/>
              <w:jc w:val="right"/>
            </w:pPr>
            <w:r>
              <w:t>21</w:t>
            </w:r>
          </w:p>
        </w:tc>
      </w:tr>
      <w:tr>
        <w:trPr>
          <w:cantSplit/>
        </w:trPr>
        <w:tc>
          <w:tcPr>
            <w:tcW w:w="5954" w:type="dxa"/>
            <w:noWrap/>
          </w:tcPr>
          <w:p>
            <w:pPr>
              <w:pStyle w:val="yTableNAm"/>
              <w:keepNext/>
              <w:rPr>
                <w:b/>
              </w:rPr>
            </w:pPr>
            <w:r>
              <w:rPr>
                <w:b/>
              </w:rPr>
              <w:lastRenderedPageBreak/>
              <w:t>Other Procedures</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keepNext/>
            </w:pPr>
            <w:r>
              <w:t>Anaesthesia for injection procedure for myelography</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posterior fossa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injection procedure for discography</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arteriogram</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arteriograms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carotid, cerebral or vertebral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retrograde, brachial or femoral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computerised axial tomography scanning, magnetic resonance scanning, ultrasound scanning or digital subtraction angiography scanning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radiology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retrograde cystography, retrograde urethrography or retrograde cystourethrography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Initiation of management of anaesthesia for fluoroscopy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bronchography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phlebography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heart, 2 dimensional real time transoesophageal examination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venous cannulation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cardiac catheterisation including coronary arteriography, ventriculography, cardiac mapping, insertion of automatic defibrillator or transvenous pacemaker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lastRenderedPageBreak/>
              <w:t>Anaesthesia for cardiac electrophysiological procedures including radio frequency ablation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central vein catheterisation or insertion of right heart balloon catheter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lumbar puncture, cisternal puncture or epidural injection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harvesting of bone marrow for the purpose of transplantation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muscle biopsy for malignant hyperpyrexia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electroencephalography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brain stem evoked audiometry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electrocochleography by extratympanic method or transtympanic membrane insertion method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 therapeutic procedure where it can be demonstrated that there is a clinical need for anaesthesia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during hyperbaric therapy where the medical practitioner is not confined in the chamber (including the administration of oxygen)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during hyperbaric therapy where the medical practitioner is confined in the chamber (including the administration of oxygen)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brachytherapy using radioactive sealed sources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therapeutic nuclear medicine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radiotherapy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tcBorders>
              <w:bottom w:val="single" w:sz="4" w:space="0" w:color="auto"/>
            </w:tcBorders>
            <w:noWrap/>
          </w:tcPr>
          <w:p>
            <w:pPr>
              <w:pStyle w:val="yTableNAm"/>
            </w:pPr>
            <w:r>
              <w:t>Anaesthesia where no procedure ensues</w:t>
            </w:r>
          </w:p>
        </w:tc>
        <w:tc>
          <w:tcPr>
            <w:tcW w:w="992"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jc w:val="left"/>
        <w:rPr>
          <w:b/>
          <w:bCs/>
        </w:rPr>
      </w:pPr>
      <w:r>
        <w:rPr>
          <w:b/>
          <w:bCs/>
        </w:rPr>
        <w:t>Note — Unlisted anaesthetic procedures</w:t>
      </w:r>
    </w:p>
    <w:tbl>
      <w:tblPr>
        <w:tblW w:w="6521" w:type="dxa"/>
        <w:tblInd w:w="142"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31" w:name="_Toc161386938"/>
      <w:bookmarkStart w:id="32" w:name="_Toc161386998"/>
      <w:bookmarkStart w:id="33" w:name="_Toc161746965"/>
      <w:bookmarkStart w:id="34" w:name="_Toc161747335"/>
      <w:bookmarkStart w:id="35" w:name="_Toc161750513"/>
      <w:r>
        <w:lastRenderedPageBreak/>
        <w:t>Division 2 — Therapeutic and diagnostic services</w:t>
      </w:r>
      <w:bookmarkEnd w:id="31"/>
      <w:bookmarkEnd w:id="32"/>
      <w:bookmarkEnd w:id="33"/>
      <w:bookmarkEnd w:id="34"/>
      <w:bookmarkEnd w:id="35"/>
    </w:p>
    <w:p>
      <w:pPr>
        <w:pStyle w:val="yFootnoteheading"/>
        <w:keepNext/>
      </w:pPr>
      <w:r>
        <w:tab/>
        <w:t>[Heading inserted: SL 2023/155 r. 6.]</w:t>
      </w:r>
    </w:p>
    <w:tbl>
      <w:tblPr>
        <w:tblW w:w="6946" w:type="dxa"/>
        <w:tblInd w:w="142" w:type="dxa"/>
        <w:tblLayout w:type="fixed"/>
        <w:tblCellMar>
          <w:left w:w="113" w:type="dxa"/>
          <w:right w:w="113" w:type="dxa"/>
        </w:tblCellMar>
        <w:tblLook w:val="0000" w:firstRow="0" w:lastRow="0" w:firstColumn="0" w:lastColumn="0" w:noHBand="0" w:noVBand="0"/>
      </w:tblPr>
      <w:tblGrid>
        <w:gridCol w:w="4111"/>
        <w:gridCol w:w="945"/>
        <w:gridCol w:w="945"/>
        <w:gridCol w:w="945"/>
      </w:tblGrid>
      <w:tr>
        <w:trPr>
          <w:cantSplit/>
          <w:tblHeader/>
        </w:trPr>
        <w:tc>
          <w:tcPr>
            <w:tcW w:w="4111" w:type="dxa"/>
            <w:tcBorders>
              <w:top w:val="single" w:sz="4" w:space="0" w:color="auto"/>
              <w:bottom w:val="single" w:sz="4" w:space="0" w:color="auto"/>
            </w:tcBorders>
            <w:noWrap/>
          </w:tcPr>
          <w:p>
            <w:pPr>
              <w:pStyle w:val="yTableNAm"/>
              <w:rPr>
                <w:b/>
              </w:rPr>
            </w:pPr>
            <w:r>
              <w:rPr>
                <w:b/>
              </w:rPr>
              <w:t>Description of service, etc.</w:t>
            </w:r>
          </w:p>
        </w:tc>
        <w:tc>
          <w:tcPr>
            <w:tcW w:w="945" w:type="dxa"/>
            <w:tcBorders>
              <w:top w:val="single" w:sz="4" w:space="0" w:color="auto"/>
              <w:bottom w:val="single" w:sz="4" w:space="0" w:color="auto"/>
            </w:tcBorders>
            <w:noWrap/>
            <w:vAlign w:val="bottom"/>
          </w:tcPr>
          <w:p>
            <w:pPr>
              <w:pStyle w:val="yTableNAm"/>
              <w:jc w:val="center"/>
              <w:rPr>
                <w:b/>
              </w:rPr>
            </w:pPr>
            <w:r>
              <w:rPr>
                <w:b/>
              </w:rPr>
              <w:t>MUs</w:t>
            </w:r>
          </w:p>
        </w:tc>
        <w:tc>
          <w:tcPr>
            <w:tcW w:w="945" w:type="dxa"/>
            <w:tcBorders>
              <w:top w:val="single" w:sz="4" w:space="0" w:color="auto"/>
              <w:bottom w:val="single" w:sz="4" w:space="0" w:color="auto"/>
            </w:tcBorders>
            <w:noWrap/>
            <w:vAlign w:val="bottom"/>
          </w:tcPr>
          <w:p>
            <w:pPr>
              <w:pStyle w:val="yTableNAm"/>
              <w:jc w:val="center"/>
              <w:rPr>
                <w:b/>
              </w:rPr>
            </w:pPr>
            <w:r>
              <w:rPr>
                <w:b/>
              </w:rPr>
              <w:t>TUs</w:t>
            </w:r>
          </w:p>
        </w:tc>
        <w:tc>
          <w:tcPr>
            <w:tcW w:w="94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4111" w:type="dxa"/>
            <w:noWrap/>
          </w:tcPr>
          <w:p>
            <w:pPr>
              <w:pStyle w:val="yTableNAm"/>
            </w:pPr>
            <w:r>
              <w:t>Administration of blood or bone marrow already collected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Venous cannulation and blood transfusion (or blood products)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Intubation, endotracheal, not associated with anaesthesia, when subsequent management is not in an intensive care unit</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Awake endotracheal intubation with flexible fibreoptic scope, associated with difficult airway,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Double lumen endobronchial tube or bronchial blocker, insertion of,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Monitoring of depth of anaesthesia, incorporating continuous measurement of the EEG during anaesthesia for the diagnosis of awareness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Venous cannulation and commencement of intravenous infusion, under age of 3 years,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lastRenderedPageBreak/>
              <w:t>Venous cannulation,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Venous cannulation and commencement of intravenous infusion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Right heart balloon catheter, insertion of, including pulmonary wedge pressure and cardiac output measurement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pPr>
            <w:r>
              <w:t>Central vein catheterisation, percutaneous via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Central vein catheterisation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Central venous pressure monitoring</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cannulation, percutaneous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puncture, withdrawal of blood for diagnosis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w:t>
            </w:r>
          </w:p>
        </w:tc>
      </w:tr>
      <w:tr>
        <w:trPr>
          <w:cantSplit/>
        </w:trPr>
        <w:tc>
          <w:tcPr>
            <w:tcW w:w="4111" w:type="dxa"/>
            <w:noWrap/>
          </w:tcPr>
          <w:p>
            <w:pPr>
              <w:pStyle w:val="yTableNAm"/>
            </w:pPr>
            <w:r>
              <w:t>Arterial cannulation,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Catheterisation, umbilical artery, newborn, for diagnosis or therapy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w:t>
            </w:r>
            <w:r>
              <w:noBreakHyphen/>
              <w:t>arterial infusion or retrograde intravenous perfusion of a sympatholytic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Intravenous regional anaesthesia of limb by retrograde perfusion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Perfusion of limb or organ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12</w:t>
            </w:r>
          </w:p>
        </w:tc>
      </w:tr>
      <w:tr>
        <w:trPr>
          <w:cantSplit/>
        </w:trPr>
        <w:tc>
          <w:tcPr>
            <w:tcW w:w="4111" w:type="dxa"/>
            <w:noWrap/>
          </w:tcPr>
          <w:p>
            <w:pPr>
              <w:pStyle w:val="yTableNAm"/>
            </w:pPr>
            <w:r>
              <w:t>Medical management of cardio</w:t>
            </w:r>
            <w:r>
              <w:noBreakHyphen/>
              <w:t>pulmonary bypass perfusion using heart/lung machine</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Hypothermia, total body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keepNext/>
            </w:pPr>
            <w:r>
              <w:lastRenderedPageBreak/>
              <w:t>Deep hypothermia to a core temperature of less than 22 degrees in association with circulatory arrest</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15</w:t>
            </w:r>
          </w:p>
        </w:tc>
      </w:tr>
      <w:tr>
        <w:trPr>
          <w:cantSplit/>
        </w:trPr>
        <w:tc>
          <w:tcPr>
            <w:tcW w:w="4111" w:type="dxa"/>
            <w:noWrap/>
          </w:tcPr>
          <w:p>
            <w:pPr>
              <w:pStyle w:val="yTableNAm"/>
            </w:pPr>
            <w:r>
              <w:t>Standby medical management of cardio</w:t>
            </w:r>
            <w:r>
              <w:noBreakHyphen/>
              <w:t>pulmonary bypass perfusion using heart/lung machine</w:t>
            </w:r>
          </w:p>
        </w:tc>
        <w:tc>
          <w:tcPr>
            <w:tcW w:w="945" w:type="dxa"/>
            <w:noWrap/>
            <w:vAlign w:val="bottom"/>
          </w:tcPr>
          <w:p>
            <w:pPr>
              <w:pStyle w:val="yTableNAm"/>
              <w:jc w:val="center"/>
            </w:pPr>
            <w:r>
              <w:t>no</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Major nerve block (proximal to the elbow or knee), including intercostal nerve block(s) or plexus block to provide post operative pain relief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Minor nerve block (specify type) to provide post operative pain relief (does not include subcutaneous infiltration)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or epidural injection (subsequent) of a therapeutic substance,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Subarachnoid puncture, lumbar, diagnostic</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Insertion of subarachnoid drain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lastRenderedPageBreak/>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lastRenderedPageBreak/>
              <w:t>Interpleural block, initial injection or commencement of infusion of a therapeutic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epidural or caudal injection of neurolytic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Intrathecal, epidural or caudal injection of substance other than anaesthetic, contrast or neurolytic solutions, not being a service to which another item in the Group applies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Epidural injection of blood for blood patch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Injection of an anaesthetic agent</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425"/>
              </w:tabs>
              <w:ind w:left="425" w:hanging="283"/>
            </w:pPr>
            <w:r>
              <w:t>—</w:t>
            </w:r>
            <w:r>
              <w:tab/>
              <w:t>trigeminal nerve, primary division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trigeminal nerve, peripheral branch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facial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retrobulbar or peribulbar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greater occipital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vagus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phrenic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spinal accessory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cervical plexus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brachial plexus</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suprascapular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 single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nerves, multiple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ilioinguinal, iliohypogastric or genito femoral nerves,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pudendal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lastRenderedPageBreak/>
              <w:t>—</w:t>
            </w:r>
            <w:r>
              <w:tab/>
              <w:t>ulnar, radial or median nerve of main trunk, 1 or more of, not being associated with a brachial plexus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paracervical (uterine)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obturator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femoral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saphenous, sural, popliteal or posterior tibial nerve of main trunk,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paravertebral nerves, multiple levels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other peripheral nerve or branch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sphenopalatine ganglion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carotid sinus, as an independent percutaneous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stellate ganglion (cervical sympathetic block)</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lumbar or thoracic nerves (paravertebral sympathetic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coeliac plexus or splanchnic nerves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Cranial nerve other than trigeminal,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lastRenderedPageBreak/>
              <w:t>Nerve branch, not covered by any other item in this Group,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Coeliac plexus or splanchnic nerves,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Lumbar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Cervical or thoracic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Cardioversion, elective, electrical conversion of arrhythmia, external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Hyperbaric oxygen treatment when the specialist is inside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Hyperbaric oxygen treatment when the specialist is outside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8</w:t>
            </w:r>
          </w:p>
        </w:tc>
      </w:tr>
      <w:tr>
        <w:tc>
          <w:tcPr>
            <w:tcW w:w="4111"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lastRenderedPageBreak/>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14</w:t>
            </w:r>
          </w:p>
        </w:tc>
      </w:tr>
      <w:tr>
        <w:trPr>
          <w:cantSplit/>
        </w:trPr>
        <w:tc>
          <w:tcPr>
            <w:tcW w:w="4111"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The use of 2</w:t>
            </w:r>
            <w:r>
              <w:noBreakHyphen/>
              <w:t>dimensional imaging ultrasound guidance to assist percutaneous neural blockade involving the branchial plexus, or femoral and/or 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tcBorders>
              <w:bottom w:val="single" w:sz="4" w:space="0" w:color="auto"/>
            </w:tcBorders>
            <w:noWrap/>
          </w:tcPr>
          <w:p>
            <w:pPr>
              <w:pStyle w:val="yTableNAm"/>
            </w:pPr>
            <w:r>
              <w:t>Assistance in the administration of an anaesthetic</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ind w:left="-68" w:right="284"/>
              <w:jc w:val="right"/>
            </w:pPr>
            <w:r>
              <w:t>5</w:t>
            </w:r>
          </w:p>
        </w:tc>
      </w:tr>
    </w:tbl>
    <w:p>
      <w:pPr>
        <w:pStyle w:val="yMiscellaneousHeading"/>
        <w:ind w:left="142"/>
        <w:jc w:val="left"/>
        <w:rPr>
          <w:b/>
          <w:bCs/>
        </w:rPr>
      </w:pPr>
      <w:r>
        <w:rPr>
          <w:b/>
          <w:bCs/>
        </w:rPr>
        <w:t>Note — Unlisted services</w:t>
      </w:r>
    </w:p>
    <w:tbl>
      <w:tblPr>
        <w:tblW w:w="6663" w:type="dxa"/>
        <w:tblInd w:w="142" w:type="dxa"/>
        <w:tblLayout w:type="fixed"/>
        <w:tblCellMar>
          <w:left w:w="113" w:type="dxa"/>
          <w:right w:w="113" w:type="dxa"/>
        </w:tblCellMar>
        <w:tblLook w:val="0000" w:firstRow="0" w:lastRow="0" w:firstColumn="0" w:lastColumn="0" w:noHBand="0" w:noVBand="0"/>
      </w:tblPr>
      <w:tblGrid>
        <w:gridCol w:w="6663"/>
      </w:tblGrid>
      <w:tr>
        <w:trPr>
          <w:cantSplit/>
        </w:trPr>
        <w:tc>
          <w:tcPr>
            <w:tcW w:w="6663" w:type="dxa"/>
            <w:noWrap/>
          </w:tcPr>
          <w:p>
            <w:pPr>
              <w:pStyle w:val="yTableNAm"/>
              <w:rPr>
                <w:rStyle w:val="DraftersNotes"/>
                <w:b w:val="0"/>
                <w:i w:val="0"/>
              </w:rPr>
            </w:pPr>
            <w:r>
              <w:rPr>
                <w:i/>
              </w:rPr>
              <w:t>For an unlisted service, the number of units is to be determined by reference to the nearest listed anaesthetic procedure.</w:t>
            </w:r>
          </w:p>
        </w:tc>
      </w:tr>
    </w:tbl>
    <w:p>
      <w:pPr>
        <w:pStyle w:val="yFootnotesection"/>
      </w:pPr>
      <w:r>
        <w:tab/>
        <w:t>[Part 1 inserted: SL 2023/155 r. 6.]</w:t>
      </w:r>
    </w:p>
    <w:p>
      <w:pPr>
        <w:pStyle w:val="yHeading3"/>
      </w:pPr>
      <w:bookmarkStart w:id="36" w:name="_Toc161386939"/>
      <w:bookmarkStart w:id="37" w:name="_Toc161386999"/>
      <w:bookmarkStart w:id="38" w:name="_Toc161746966"/>
      <w:bookmarkStart w:id="39" w:name="_Toc161747336"/>
      <w:bookmarkStart w:id="40" w:name="_Toc161750514"/>
      <w:r>
        <w:rPr>
          <w:rStyle w:val="CharSDivNo"/>
        </w:rPr>
        <w:t>Part 2</w:t>
      </w:r>
      <w:r>
        <w:t> — </w:t>
      </w:r>
      <w:r>
        <w:rPr>
          <w:rStyle w:val="CharSDivText"/>
        </w:rPr>
        <w:t>Medical procedures</w:t>
      </w:r>
      <w:bookmarkEnd w:id="36"/>
      <w:bookmarkEnd w:id="37"/>
      <w:bookmarkEnd w:id="38"/>
      <w:bookmarkEnd w:id="39"/>
      <w:bookmarkEnd w:id="40"/>
    </w:p>
    <w:p>
      <w:pPr>
        <w:pStyle w:val="yFootnoteheading"/>
      </w:pPr>
      <w:r>
        <w:tab/>
        <w:t>[Heading inserted: SL 2023/155 r. 6.]</w:t>
      </w:r>
    </w:p>
    <w:tbl>
      <w:tblPr>
        <w:tblW w:w="0" w:type="auto"/>
        <w:tblInd w:w="142"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$72.75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$206.80</w:t>
            </w:r>
          </w:p>
        </w:tc>
      </w:tr>
      <w:tr>
        <w:trPr>
          <w:cantSplit/>
        </w:trPr>
        <w:tc>
          <w:tcPr>
            <w:tcW w:w="5670" w:type="dxa"/>
            <w:noWrap/>
          </w:tcPr>
          <w:p>
            <w:pPr>
              <w:pStyle w:val="yTableNAm"/>
            </w:pPr>
            <w:r>
              <w:lastRenderedPageBreak/>
              <w:t>Extensive burns</w:t>
            </w:r>
          </w:p>
        </w:tc>
        <w:tc>
          <w:tcPr>
            <w:tcW w:w="1134" w:type="dxa"/>
            <w:noWrap/>
            <w:vAlign w:val="bottom"/>
          </w:tcPr>
          <w:p>
            <w:pPr>
              <w:pStyle w:val="yTableNAm"/>
              <w:jc w:val="right"/>
            </w:pPr>
            <w:r>
              <w:t>$125.60</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$437.80</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$206.80</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$96.50</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rPr>
                <w:rStyle w:val="DraftersNotes"/>
              </w:rPr>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$390.10</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$517.40</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$139.45</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$165.40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$186.00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$666.90</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$330.20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$222.90</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$250.55</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$334.35</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$390.10</w:t>
            </w:r>
          </w:p>
        </w:tc>
      </w:tr>
      <w:tr>
        <w:trPr>
          <w:cantSplit/>
        </w:trPr>
        <w:tc>
          <w:tcPr>
            <w:tcW w:w="5670" w:type="dxa"/>
            <w:noWrap/>
          </w:tcPr>
          <w:p>
            <w:pPr>
              <w:pStyle w:val="yTableNAm"/>
            </w:pPr>
            <w:r>
              <w:lastRenderedPageBreak/>
              <w:t>Toe, by closed reduction</w:t>
            </w:r>
          </w:p>
        </w:tc>
        <w:tc>
          <w:tcPr>
            <w:tcW w:w="1134" w:type="dxa"/>
            <w:noWrap/>
            <w:vAlign w:val="bottom"/>
          </w:tcPr>
          <w:p>
            <w:pPr>
              <w:pStyle w:val="yTableNAm"/>
              <w:jc w:val="right"/>
            </w:pPr>
            <w:r>
              <w:t>$139.45</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$60.70</w:t>
            </w:r>
          </w:p>
        </w:tc>
      </w:tr>
      <w:tr>
        <w:trPr>
          <w:cantSplit/>
        </w:trPr>
        <w:tc>
          <w:tcPr>
            <w:tcW w:w="5670" w:type="dxa"/>
            <w:noWrap/>
          </w:tcPr>
          <w:p>
            <w:pPr>
              <w:pStyle w:val="yTableNAm"/>
            </w:pPr>
            <w:r>
              <w:tab/>
              <w:t>superficial</w:t>
            </w:r>
          </w:p>
        </w:tc>
        <w:tc>
          <w:tcPr>
            <w:tcW w:w="1134" w:type="dxa"/>
            <w:noWrap/>
            <w:vAlign w:val="bottom"/>
          </w:tcPr>
          <w:p>
            <w:pPr>
              <w:pStyle w:val="yTableNAm"/>
              <w:jc w:val="right"/>
            </w:pPr>
            <w:r>
              <w:t>$270.65</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$756.30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$195.00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$195.00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$199.10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$1 114.40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$497.40</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$696.40</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$278.65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$557.00</w:t>
            </w:r>
          </w:p>
        </w:tc>
      </w:tr>
      <w:tr>
        <w:trPr>
          <w:cantSplit/>
        </w:trPr>
        <w:tc>
          <w:tcPr>
            <w:tcW w:w="5670" w:type="dxa"/>
            <w:noWrap/>
          </w:tcPr>
          <w:p>
            <w:pPr>
              <w:pStyle w:val="yTableNAm"/>
            </w:pPr>
            <w:r>
              <w:lastRenderedPageBreak/>
              <w:tab/>
              <w:t>by open management</w:t>
            </w:r>
          </w:p>
        </w:tc>
        <w:tc>
          <w:tcPr>
            <w:tcW w:w="1134" w:type="dxa"/>
            <w:noWrap/>
            <w:vAlign w:val="bottom"/>
          </w:tcPr>
          <w:p>
            <w:pPr>
              <w:pStyle w:val="yTableNAm"/>
              <w:jc w:val="right"/>
            </w:pPr>
            <w:r>
              <w:t>$1 114.40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$127.45</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$1 005.05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$1 671.55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$2 238.80</w:t>
            </w:r>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$199.10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$302.55</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$302.55</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$517.40</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$151.30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$226.85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$226.85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$497.40</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$756.30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$875.60</w:t>
            </w:r>
          </w:p>
        </w:tc>
      </w:tr>
      <w:tr>
        <w:trPr>
          <w:cantSplit/>
        </w:trPr>
        <w:tc>
          <w:tcPr>
            <w:tcW w:w="5670" w:type="dxa"/>
            <w:noWrap/>
          </w:tcPr>
          <w:p>
            <w:pPr>
              <w:pStyle w:val="yTableNAm"/>
            </w:pPr>
            <w:r>
              <w:t>At shoulder</w:t>
            </w:r>
          </w:p>
        </w:tc>
        <w:tc>
          <w:tcPr>
            <w:tcW w:w="1134" w:type="dxa"/>
            <w:noWrap/>
            <w:vAlign w:val="bottom"/>
          </w:tcPr>
          <w:p>
            <w:pPr>
              <w:pStyle w:val="yTableNAm"/>
              <w:jc w:val="right"/>
            </w:pPr>
            <w:r>
              <w:t>$1 482.40</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$2 945.10</w:t>
            </w:r>
          </w:p>
        </w:tc>
      </w:tr>
      <w:tr>
        <w:trPr>
          <w:cantSplit/>
        </w:trPr>
        <w:tc>
          <w:tcPr>
            <w:tcW w:w="5670" w:type="dxa"/>
            <w:noWrap/>
          </w:tcPr>
          <w:p>
            <w:pPr>
              <w:pStyle w:val="yTableNAm"/>
            </w:pPr>
            <w:r>
              <w:t>1 digit of foot</w:t>
            </w:r>
          </w:p>
        </w:tc>
        <w:tc>
          <w:tcPr>
            <w:tcW w:w="1134" w:type="dxa"/>
            <w:noWrap/>
            <w:vAlign w:val="bottom"/>
          </w:tcPr>
          <w:p>
            <w:pPr>
              <w:pStyle w:val="yTableNAm"/>
              <w:jc w:val="right"/>
            </w:pPr>
            <w:r>
              <w:t>$397.90</w:t>
            </w:r>
          </w:p>
        </w:tc>
      </w:tr>
      <w:tr>
        <w:trPr>
          <w:cantSplit/>
        </w:trPr>
        <w:tc>
          <w:tcPr>
            <w:tcW w:w="5670" w:type="dxa"/>
            <w:noWrap/>
          </w:tcPr>
          <w:p>
            <w:pPr>
              <w:pStyle w:val="yTableNAm"/>
            </w:pPr>
            <w:r>
              <w:t>2 digits of 1 foot</w:t>
            </w:r>
          </w:p>
        </w:tc>
        <w:tc>
          <w:tcPr>
            <w:tcW w:w="1134" w:type="dxa"/>
            <w:noWrap/>
            <w:vAlign w:val="bottom"/>
          </w:tcPr>
          <w:p>
            <w:pPr>
              <w:pStyle w:val="yTableNAm"/>
              <w:jc w:val="right"/>
            </w:pPr>
            <w:r>
              <w:t>$597.10</w:t>
            </w:r>
          </w:p>
        </w:tc>
      </w:tr>
      <w:tr>
        <w:trPr>
          <w:cantSplit/>
        </w:trPr>
        <w:tc>
          <w:tcPr>
            <w:tcW w:w="5670" w:type="dxa"/>
            <w:noWrap/>
          </w:tcPr>
          <w:p>
            <w:pPr>
              <w:pStyle w:val="yTableNAm"/>
            </w:pPr>
            <w:r>
              <w:t>3 digits of 1 foot</w:t>
            </w:r>
          </w:p>
        </w:tc>
        <w:tc>
          <w:tcPr>
            <w:tcW w:w="1134" w:type="dxa"/>
            <w:noWrap/>
            <w:vAlign w:val="bottom"/>
          </w:tcPr>
          <w:p>
            <w:pPr>
              <w:pStyle w:val="yTableNAm"/>
              <w:jc w:val="right"/>
            </w:pPr>
            <w:r>
              <w:t>$806.00</w:t>
            </w:r>
          </w:p>
        </w:tc>
      </w:tr>
      <w:tr>
        <w:trPr>
          <w:cantSplit/>
        </w:trPr>
        <w:tc>
          <w:tcPr>
            <w:tcW w:w="5670" w:type="dxa"/>
            <w:noWrap/>
          </w:tcPr>
          <w:p>
            <w:pPr>
              <w:pStyle w:val="yTableNAm"/>
            </w:pPr>
            <w:r>
              <w:t>4 digits of 1 foot</w:t>
            </w:r>
          </w:p>
        </w:tc>
        <w:tc>
          <w:tcPr>
            <w:tcW w:w="1134" w:type="dxa"/>
            <w:noWrap/>
            <w:vAlign w:val="bottom"/>
          </w:tcPr>
          <w:p>
            <w:pPr>
              <w:pStyle w:val="yTableNAm"/>
              <w:jc w:val="right"/>
            </w:pPr>
            <w:r>
              <w:t>$1 005.05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$1 203.90</w:t>
            </w:r>
          </w:p>
        </w:tc>
      </w:tr>
      <w:tr>
        <w:trPr>
          <w:cantSplit/>
        </w:trPr>
        <w:tc>
          <w:tcPr>
            <w:tcW w:w="5670" w:type="dxa"/>
            <w:noWrap/>
          </w:tcPr>
          <w:p>
            <w:pPr>
              <w:pStyle w:val="yTableNAm"/>
            </w:pPr>
            <w:r>
              <w:lastRenderedPageBreak/>
              <w:t>Foot, midtarsal or transmetatarsal</w:t>
            </w:r>
          </w:p>
        </w:tc>
        <w:tc>
          <w:tcPr>
            <w:tcW w:w="1134" w:type="dxa"/>
            <w:noWrap/>
            <w:vAlign w:val="bottom"/>
          </w:tcPr>
          <w:p>
            <w:pPr>
              <w:pStyle w:val="yTableNAm"/>
              <w:jc w:val="right"/>
            </w:pPr>
            <w:r>
              <w:t>$756.30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$1 293.65</w:t>
            </w:r>
          </w:p>
        </w:tc>
      </w:tr>
      <w:tr>
        <w:trPr>
          <w:cantSplit/>
        </w:trPr>
        <w:tc>
          <w:tcPr>
            <w:tcW w:w="5670" w:type="dxa"/>
            <w:noWrap/>
          </w:tcPr>
          <w:p>
            <w:pPr>
              <w:pStyle w:val="yTableNAm"/>
            </w:pPr>
            <w:r>
              <w:t>At hip</w:t>
            </w:r>
          </w:p>
        </w:tc>
        <w:tc>
          <w:tcPr>
            <w:tcW w:w="1134" w:type="dxa"/>
            <w:noWrap/>
            <w:vAlign w:val="bottom"/>
          </w:tcPr>
          <w:p>
            <w:pPr>
              <w:pStyle w:val="yTableNAm"/>
              <w:jc w:val="right"/>
            </w:pPr>
            <w:r>
              <w:t>$1 820.65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$250.55, whichever is greater.</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2023/155 r. 6.]</w:t>
      </w:r>
    </w:p>
    <w:p>
      <w:pPr>
        <w:pStyle w:val="yHeading3"/>
      </w:pPr>
      <w:bookmarkStart w:id="41" w:name="_Toc161386940"/>
      <w:bookmarkStart w:id="42" w:name="_Toc161387000"/>
      <w:bookmarkStart w:id="43" w:name="_Toc161746967"/>
      <w:bookmarkStart w:id="44" w:name="_Toc161747337"/>
      <w:bookmarkStart w:id="45" w:name="_Toc161750515"/>
      <w:r>
        <w:rPr>
          <w:rStyle w:val="CharSDivNo"/>
        </w:rPr>
        <w:t>Part 3</w:t>
      </w:r>
      <w:r>
        <w:t> — </w:t>
      </w:r>
      <w:r>
        <w:rPr>
          <w:rStyle w:val="CharSDivText"/>
        </w:rPr>
        <w:t>Diagnostic Imaging Services</w:t>
      </w:r>
      <w:bookmarkEnd w:id="41"/>
      <w:bookmarkEnd w:id="42"/>
      <w:bookmarkEnd w:id="43"/>
      <w:bookmarkEnd w:id="44"/>
      <w:bookmarkEnd w:id="45"/>
    </w:p>
    <w:p>
      <w:pPr>
        <w:pStyle w:val="yFootnoteheading"/>
      </w:pPr>
      <w:r>
        <w:tab/>
        <w:t>[Heading inserted: SL 2023/155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248.50</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84.55</w:t>
            </w:r>
          </w:p>
        </w:tc>
      </w:tr>
      <w:tr>
        <w:tblPrEx>
          <w:tblCellMar>
            <w:left w:w="108" w:type="dxa"/>
            <w:right w:w="108" w:type="dxa"/>
          </w:tblCellMar>
        </w:tblPrEx>
        <w:trPr>
          <w:cantSplit/>
          <w:trHeight w:val="373"/>
          <w:jc w:val="center"/>
        </w:trPr>
        <w:tc>
          <w:tcPr>
            <w:tcW w:w="4535" w:type="dxa"/>
            <w:noWrap/>
            <w:vAlign w:val="bottom"/>
          </w:tcPr>
          <w:p>
            <w:pPr>
              <w:pStyle w:val="yTableNAm"/>
            </w:pPr>
            <w:r>
              <w:lastRenderedPageBreak/>
              <w:t>55048</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615.35</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379.90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789.90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55294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248.10</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60.90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283.60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127.25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55766</w:t>
            </w:r>
          </w:p>
        </w:tc>
        <w:tc>
          <w:tcPr>
            <w:tcW w:w="1134" w:type="dxa"/>
            <w:noWrap/>
            <w:vAlign w:val="bottom"/>
          </w:tcPr>
          <w:p>
            <w:pPr>
              <w:pStyle w:val="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195.10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341.45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243.80</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84.55</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400.05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512.90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517.20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512.90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594.95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461.65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691.10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461.65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lastRenderedPageBreak/>
              <w:t>56036</w:t>
            </w:r>
          </w:p>
        </w:tc>
        <w:tc>
          <w:tcPr>
            <w:tcW w:w="1134" w:type="dxa"/>
            <w:noWrap/>
            <w:vAlign w:val="bottom"/>
          </w:tcPr>
          <w:p>
            <w:pPr>
              <w:pStyle w:val="yTableNAm"/>
              <w:jc w:val="right"/>
            </w:pPr>
            <w:r>
              <w:t>691.10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472.05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697.75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669.35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605.30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820.50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512.90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738.55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512.90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738.55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789.90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984.75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957.35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1 149.05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57001</w:t>
            </w:r>
          </w:p>
        </w:tc>
        <w:tc>
          <w:tcPr>
            <w:tcW w:w="1134" w:type="dxa"/>
            <w:noWrap/>
            <w:vAlign w:val="bottom"/>
          </w:tcPr>
          <w:p>
            <w:pPr>
              <w:pStyle w:val="yTableNAm"/>
              <w:jc w:val="right"/>
            </w:pPr>
            <w:r>
              <w:t>957.55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1 164.85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318.35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964.35</w:t>
            </w:r>
          </w:p>
        </w:tc>
      </w:tr>
    </w:tbl>
    <w:p>
      <w:pPr>
        <w:pStyle w:val="yMiscellaneousBody"/>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70.40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127.85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76.85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155.90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76.85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144.45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235.15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57915</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78.00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185.40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130.55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182.40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314.80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111.45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230.45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314.80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95.05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211.65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83.75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58503</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144.20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133.85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164.35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374.05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359.10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299.00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327.60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112.70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213.00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261.25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187.00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328.15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320.50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181.10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487.20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464.35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330.00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50.55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212.10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59303</w:t>
            </w:r>
          </w:p>
        </w:tc>
        <w:tc>
          <w:tcPr>
            <w:tcW w:w="1134" w:type="dxa"/>
            <w:noWrap/>
            <w:vAlign w:val="bottom"/>
          </w:tcPr>
          <w:p>
            <w:pPr>
              <w:pStyle w:val="yTableNAm"/>
              <w:jc w:val="right"/>
            </w:pPr>
            <w:r>
              <w:t>127.75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206.15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124.30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111.50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228.75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179.95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269.40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340.15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319.05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536.65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255.15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175.00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329.70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519.70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317.30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398.85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60024</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114.15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227.75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341.65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70.40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151.20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234.30</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lastRenderedPageBreak/>
              <w:t>60918</w:t>
            </w:r>
          </w:p>
        </w:tc>
        <w:tc>
          <w:tcPr>
            <w:tcW w:w="1134" w:type="dxa"/>
            <w:noWrap/>
            <w:vAlign w:val="bottom"/>
          </w:tcPr>
          <w:p>
            <w:pPr>
              <w:pStyle w:val="yTableNAm"/>
              <w:keepNext/>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90.25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613.45</w:t>
            </w:r>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670.30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553.70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766.45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415.50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461.75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809.20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705.45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716.85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736.20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842.15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907.05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3 678.75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893.70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261.65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1 048.15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lastRenderedPageBreak/>
              <w:t>61383</w:t>
            </w:r>
          </w:p>
        </w:tc>
        <w:tc>
          <w:tcPr>
            <w:tcW w:w="1154" w:type="dxa"/>
            <w:noWrap/>
            <w:vAlign w:val="bottom"/>
          </w:tcPr>
          <w:p>
            <w:pPr>
              <w:pStyle w:val="yTableNAm"/>
              <w:keepNext/>
              <w:jc w:val="right"/>
            </w:pPr>
            <w:r>
              <w:t>1 140.40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1 255.05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606.90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786.20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676.25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748.25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1 105.05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450.45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1 104.25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1 594.30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412.30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875.65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1 096.30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1 012.50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990.95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1 203.55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907.05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1 123.10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1 228.20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893.70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1 373.10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523.35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608.85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832.50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61450</w:t>
            </w:r>
          </w:p>
        </w:tc>
        <w:tc>
          <w:tcPr>
            <w:tcW w:w="1154" w:type="dxa"/>
            <w:noWrap/>
            <w:vAlign w:val="bottom"/>
          </w:tcPr>
          <w:p>
            <w:pPr>
              <w:pStyle w:val="yTableNAm"/>
              <w:jc w:val="right"/>
            </w:pPr>
            <w:r>
              <w:t>725.50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939.35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635.20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858.55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963.20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237.80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635.20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320.05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706.10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1 823.60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461.75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1 188.45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1 188.45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135.90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407.90</w:t>
            </w:r>
          </w:p>
        </w:tc>
      </w:tr>
    </w:tbl>
    <w:p>
      <w:pPr>
        <w:pStyle w:val="yFootnotesection"/>
      </w:pPr>
      <w:r>
        <w:tab/>
        <w:t>[Part 3 inserted: SL 2023/155 r. 6.]</w:t>
      </w:r>
    </w:p>
    <w:p>
      <w:pPr>
        <w:pStyle w:val="yScheduleHeading"/>
      </w:pPr>
      <w:bookmarkStart w:id="46" w:name="_Toc161386941"/>
      <w:bookmarkStart w:id="47" w:name="_Toc161387001"/>
      <w:bookmarkStart w:id="48" w:name="_Toc161746968"/>
      <w:bookmarkStart w:id="49" w:name="_Toc161747338"/>
      <w:bookmarkStart w:id="50" w:name="_Toc161750516"/>
      <w:r>
        <w:rPr>
          <w:rStyle w:val="CharSchNo"/>
        </w:rPr>
        <w:lastRenderedPageBreak/>
        <w:t>Schedule 2</w:t>
      </w:r>
      <w:r>
        <w:t> — </w:t>
      </w:r>
      <w:r>
        <w:rPr>
          <w:rStyle w:val="CharSchText"/>
        </w:rPr>
        <w:t>Scale of fees: physiotherapists</w:t>
      </w:r>
      <w:bookmarkEnd w:id="46"/>
      <w:bookmarkEnd w:id="47"/>
      <w:bookmarkEnd w:id="48"/>
      <w:bookmarkEnd w:id="49"/>
      <w:bookmarkEnd w:id="50"/>
    </w:p>
    <w:p>
      <w:pPr>
        <w:pStyle w:val="yShoulderClause"/>
      </w:pPr>
      <w:r>
        <w:t>[r. 3]</w:t>
      </w:r>
    </w:p>
    <w:p>
      <w:pPr>
        <w:pStyle w:val="yFootnoteheading"/>
      </w:pPr>
      <w:r>
        <w:tab/>
        <w:t>[Heading inserted: SL 2023/155 r. 6.]</w:t>
      </w:r>
    </w:p>
    <w:p>
      <w:pPr>
        <w:pStyle w:val="yHeading3"/>
      </w:pPr>
      <w:bookmarkStart w:id="51" w:name="_Toc161386942"/>
      <w:bookmarkStart w:id="52" w:name="_Toc161387002"/>
      <w:bookmarkStart w:id="53" w:name="_Toc161746969"/>
      <w:bookmarkStart w:id="54" w:name="_Toc161747339"/>
      <w:bookmarkStart w:id="55" w:name="_Toc161750517"/>
      <w:r>
        <w:rPr>
          <w:rStyle w:val="CharSDivNo"/>
        </w:rPr>
        <w:t>Part 1</w:t>
      </w:r>
      <w:r>
        <w:t> — </w:t>
      </w:r>
      <w:r>
        <w:rPr>
          <w:rStyle w:val="CharSDivText"/>
        </w:rPr>
        <w:t>General</w:t>
      </w:r>
      <w:bookmarkEnd w:id="51"/>
      <w:bookmarkEnd w:id="52"/>
      <w:bookmarkEnd w:id="53"/>
      <w:bookmarkEnd w:id="54"/>
      <w:bookmarkEnd w:id="55"/>
    </w:p>
    <w:p>
      <w:pPr>
        <w:pStyle w:val="yFootnoteheading"/>
      </w:pPr>
      <w:r>
        <w:tab/>
        <w:t>[Heading inserted: SL 2023/155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$97.20</w:t>
            </w:r>
          </w:p>
        </w:tc>
      </w:tr>
      <w:t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 xml:space="preserve">Provisional diagnosis; goals of treatment; treatment plan. Discussion with the patient regarding working hypothesis and treatment goals and expected outcomes; initial treatment and response; advice regarding </w:t>
            </w:r>
            <w:r>
              <w:lastRenderedPageBreak/>
              <w:t>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$177.35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lastRenderedPageBreak/>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2023/155 r. 6.]</w:t>
      </w:r>
    </w:p>
    <w:p>
      <w:pPr>
        <w:pStyle w:val="yHeading3"/>
        <w:rPr>
          <w:rStyle w:val="DraftersNotes"/>
          <w:b/>
          <w:i w:val="0"/>
        </w:rPr>
      </w:pPr>
      <w:bookmarkStart w:id="56" w:name="_Toc161386943"/>
      <w:bookmarkStart w:id="57" w:name="_Toc161387003"/>
      <w:bookmarkStart w:id="58" w:name="_Toc161746970"/>
      <w:bookmarkStart w:id="59" w:name="_Toc161747340"/>
      <w:bookmarkStart w:id="60" w:name="_Toc161750518"/>
      <w:r>
        <w:rPr>
          <w:rStyle w:val="CharSDivNo"/>
        </w:rPr>
        <w:t>Part 2</w:t>
      </w:r>
      <w:r>
        <w:t> — </w:t>
      </w:r>
      <w:r>
        <w:rPr>
          <w:rStyle w:val="CharSDivText"/>
        </w:rPr>
        <w:t>Exercise based programs</w:t>
      </w:r>
      <w:bookmarkEnd w:id="56"/>
      <w:bookmarkEnd w:id="57"/>
      <w:bookmarkEnd w:id="58"/>
      <w:bookmarkEnd w:id="59"/>
      <w:bookmarkEnd w:id="60"/>
    </w:p>
    <w:p>
      <w:pPr>
        <w:pStyle w:val="yFootnoteheading"/>
      </w:pPr>
      <w:r>
        <w:tab/>
        <w:t>[Heading inserted: SL 2023/155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$221.50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$221.50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$221.50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lastRenderedPageBreak/>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$221.50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$221.50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$177.35</w:t>
            </w:r>
            <w:r>
              <w:br/>
              <w:t>per hour**</w:t>
            </w:r>
          </w:p>
        </w:tc>
      </w:tr>
      <w:tr>
        <w:trPr>
          <w:cantSplit/>
        </w:trPr>
        <w:tc>
          <w:tcPr>
            <w:tcW w:w="1560" w:type="dxa"/>
            <w:tcBorders>
              <w:top w:val="single" w:sz="4" w:space="0" w:color="auto"/>
              <w:bottom w:val="single" w:sz="4" w:space="0" w:color="auto"/>
            </w:tcBorders>
            <w:noWrap/>
          </w:tcPr>
          <w:p>
            <w:pPr>
              <w:pStyle w:val="yTableNAm"/>
            </w:pPr>
            <w:r>
              <w:lastRenderedPageBreak/>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$22.20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$221.50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2023/155 r. 6.]</w:t>
      </w:r>
    </w:p>
    <w:p>
      <w:pPr>
        <w:pStyle w:val="yScheduleHeading"/>
      </w:pPr>
      <w:bookmarkStart w:id="61" w:name="_Toc161386944"/>
      <w:bookmarkStart w:id="62" w:name="_Toc161387004"/>
      <w:bookmarkStart w:id="63" w:name="_Toc161746971"/>
      <w:bookmarkStart w:id="64" w:name="_Toc161747341"/>
      <w:bookmarkStart w:id="65" w:name="_Toc161750519"/>
      <w:r>
        <w:rPr>
          <w:rStyle w:val="CharSchNo"/>
        </w:rPr>
        <w:lastRenderedPageBreak/>
        <w:t>Schedule 3</w:t>
      </w:r>
      <w:r>
        <w:rPr>
          <w:rStyle w:val="CharSDivNo"/>
        </w:rPr>
        <w:t> </w:t>
      </w:r>
      <w:r>
        <w:t>—</w:t>
      </w:r>
      <w:r>
        <w:rPr>
          <w:rStyle w:val="CharSDivText"/>
        </w:rPr>
        <w:t> </w:t>
      </w:r>
      <w:r>
        <w:rPr>
          <w:rStyle w:val="CharSchText"/>
        </w:rPr>
        <w:t>Scale of fees: chiropractors</w:t>
      </w:r>
      <w:bookmarkEnd w:id="61"/>
      <w:bookmarkEnd w:id="62"/>
      <w:bookmarkEnd w:id="63"/>
      <w:bookmarkEnd w:id="64"/>
      <w:bookmarkEnd w:id="65"/>
    </w:p>
    <w:p>
      <w:pPr>
        <w:pStyle w:val="yShoulderClause"/>
      </w:pPr>
      <w:r>
        <w:t>[r. 4]</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$76.75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$64.05</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$152.55</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$229.05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$1.05</w:t>
            </w:r>
          </w:p>
        </w:tc>
      </w:tr>
    </w:tbl>
    <w:p>
      <w:pPr>
        <w:pStyle w:val="yFootnotesection"/>
      </w:pPr>
      <w:r>
        <w:tab/>
        <w:t>[Schedule 3 inserted: SL 2023/155 r. 6.]</w:t>
      </w:r>
    </w:p>
    <w:p>
      <w:pPr>
        <w:pStyle w:val="yScheduleHeading"/>
      </w:pPr>
      <w:bookmarkStart w:id="66" w:name="_Toc161386945"/>
      <w:bookmarkStart w:id="67" w:name="_Toc161387005"/>
      <w:bookmarkStart w:id="68" w:name="_Toc161746972"/>
      <w:bookmarkStart w:id="69" w:name="_Toc161747342"/>
      <w:bookmarkStart w:id="70" w:name="_Toc161750520"/>
      <w:r>
        <w:rPr>
          <w:rStyle w:val="CharSchNo"/>
        </w:rPr>
        <w:lastRenderedPageBreak/>
        <w:t>Schedule 4</w:t>
      </w:r>
      <w:r>
        <w:rPr>
          <w:rStyle w:val="CharSDivNo"/>
        </w:rPr>
        <w:t> </w:t>
      </w:r>
      <w:r>
        <w:t>—</w:t>
      </w:r>
      <w:r>
        <w:rPr>
          <w:rStyle w:val="CharSDivText"/>
        </w:rPr>
        <w:t> </w:t>
      </w:r>
      <w:r>
        <w:rPr>
          <w:rStyle w:val="CharSchText"/>
        </w:rPr>
        <w:t>Scale of fees: occupational therapists</w:t>
      </w:r>
      <w:bookmarkEnd w:id="66"/>
      <w:bookmarkEnd w:id="67"/>
      <w:bookmarkEnd w:id="68"/>
      <w:bookmarkEnd w:id="69"/>
      <w:bookmarkEnd w:id="70"/>
    </w:p>
    <w:p>
      <w:pPr>
        <w:pStyle w:val="yShoulderClause"/>
      </w:pPr>
      <w:r>
        <w:t>[r. 5]</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$33.00</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$66.45</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$109.55</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$164.25</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$219.25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$72.00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$219.25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$97.20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2023/155 r. 6.]</w:t>
      </w:r>
    </w:p>
    <w:p>
      <w:pPr>
        <w:pStyle w:val="yScheduleHeading"/>
      </w:pPr>
      <w:bookmarkStart w:id="71" w:name="_Toc161386946"/>
      <w:bookmarkStart w:id="72" w:name="_Toc161387006"/>
      <w:bookmarkStart w:id="73" w:name="_Toc161746973"/>
      <w:bookmarkStart w:id="74" w:name="_Toc161747343"/>
      <w:bookmarkStart w:id="75" w:name="_Toc161750521"/>
      <w:r>
        <w:rPr>
          <w:rStyle w:val="CharSchNo"/>
        </w:rPr>
        <w:lastRenderedPageBreak/>
        <w:t>Schedule 5</w:t>
      </w:r>
      <w:r>
        <w:rPr>
          <w:rStyle w:val="CharSDivNo"/>
        </w:rPr>
        <w:t> </w:t>
      </w:r>
      <w:r>
        <w:t>—</w:t>
      </w:r>
      <w:r>
        <w:rPr>
          <w:rStyle w:val="CharSDivText"/>
        </w:rPr>
        <w:t> </w:t>
      </w:r>
      <w:r>
        <w:rPr>
          <w:rStyle w:val="CharSchText"/>
        </w:rPr>
        <w:t>Scale of fees: speech pathologists</w:t>
      </w:r>
      <w:bookmarkEnd w:id="71"/>
      <w:bookmarkEnd w:id="72"/>
      <w:bookmarkEnd w:id="73"/>
      <w:bookmarkEnd w:id="74"/>
      <w:bookmarkEnd w:id="75"/>
    </w:p>
    <w:p>
      <w:pPr>
        <w:pStyle w:val="yShoulderClause"/>
      </w:pPr>
      <w:r>
        <w:t>[r. 7]</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$202.50</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$262.25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$88.30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$114.70</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$154.80</w:t>
            </w:r>
          </w:p>
        </w:tc>
      </w:tr>
    </w:tbl>
    <w:p>
      <w:pPr>
        <w:pStyle w:val="yFootnotesection"/>
      </w:pPr>
      <w:r>
        <w:tab/>
        <w:t>[Schedule 5 inserted: SL 2023/155 r. 6.]</w:t>
      </w:r>
    </w:p>
    <w:p>
      <w:pPr>
        <w:pStyle w:val="yScheduleHeading"/>
      </w:pPr>
      <w:bookmarkStart w:id="76" w:name="_Toc161386947"/>
      <w:bookmarkStart w:id="77" w:name="_Toc161387007"/>
      <w:bookmarkStart w:id="78" w:name="_Toc161746974"/>
      <w:bookmarkStart w:id="79" w:name="_Toc161747344"/>
      <w:bookmarkStart w:id="80" w:name="_Toc161750522"/>
      <w:r>
        <w:rPr>
          <w:rStyle w:val="CharSchNo"/>
        </w:rPr>
        <w:lastRenderedPageBreak/>
        <w:t>Schedule 5A</w:t>
      </w:r>
      <w:r>
        <w:rPr>
          <w:rStyle w:val="CharSDivNo"/>
        </w:rPr>
        <w:t> </w:t>
      </w:r>
      <w:r>
        <w:t>—</w:t>
      </w:r>
      <w:r>
        <w:rPr>
          <w:rStyle w:val="CharSDivText"/>
        </w:rPr>
        <w:t> </w:t>
      </w:r>
      <w:r>
        <w:rPr>
          <w:rStyle w:val="CharSchText"/>
        </w:rPr>
        <w:t>Scale of fees: exercise physiologists</w:t>
      </w:r>
      <w:bookmarkEnd w:id="76"/>
      <w:bookmarkEnd w:id="77"/>
      <w:bookmarkEnd w:id="78"/>
      <w:bookmarkEnd w:id="79"/>
      <w:bookmarkEnd w:id="80"/>
    </w:p>
    <w:p>
      <w:pPr>
        <w:pStyle w:val="yShoulderClause"/>
      </w:pPr>
      <w:r>
        <w:t>[r. 7B]</w:t>
      </w:r>
    </w:p>
    <w:p>
      <w:pPr>
        <w:pStyle w:val="yFootnoteheading"/>
      </w:pPr>
      <w:r>
        <w:tab/>
        <w:t>[Heading inserted: SL 2023/155 r. 6.]</w:t>
      </w:r>
    </w:p>
    <w:p>
      <w:pPr>
        <w:pStyle w:val="yHeading3"/>
      </w:pPr>
      <w:bookmarkStart w:id="81" w:name="_Toc161386948"/>
      <w:bookmarkStart w:id="82" w:name="_Toc161387008"/>
      <w:bookmarkStart w:id="83" w:name="_Toc161746975"/>
      <w:bookmarkStart w:id="84" w:name="_Toc161747345"/>
      <w:bookmarkStart w:id="85" w:name="_Toc161750523"/>
      <w:r>
        <w:t>Exercise</w:t>
      </w:r>
      <w:r>
        <w:noBreakHyphen/>
        <w:t>based programs</w:t>
      </w:r>
      <w:bookmarkEnd w:id="81"/>
      <w:bookmarkEnd w:id="82"/>
      <w:bookmarkEnd w:id="83"/>
      <w:bookmarkEnd w:id="84"/>
      <w:bookmarkEnd w:id="85"/>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vMerge w:val="restart"/>
            <w:tcBorders>
              <w:top w:val="single" w:sz="4" w:space="0" w:color="auto"/>
            </w:tcBorders>
            <w:noWrap/>
          </w:tcPr>
          <w:p>
            <w:pPr>
              <w:pStyle w:val="yTableNAm"/>
            </w:pPr>
            <w:r>
              <w:t>EPE20</w:t>
            </w:r>
          </w:p>
        </w:tc>
        <w:tc>
          <w:tcPr>
            <w:tcW w:w="4536" w:type="dxa"/>
            <w:vMerge w:val="restart"/>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p>
            <w:pPr>
              <w:pStyle w:val="yTableNAm"/>
            </w:pPr>
            <w:r>
              <w:t>Communication/liaison with relevant parties.</w:t>
            </w:r>
          </w:p>
          <w:p>
            <w:pPr>
              <w:pStyle w:val="yTableNAm"/>
            </w:pPr>
            <w:r>
              <w:t>Physiological assessment/testing.</w:t>
            </w:r>
          </w:p>
          <w:p>
            <w:pPr>
              <w:pStyle w:val="yTableNAm"/>
            </w:pPr>
            <w:r>
              <w:t>Screening questionnaires relating to worker’s level of function.</w:t>
            </w:r>
          </w:p>
          <w:p>
            <w:pPr>
              <w:pStyle w:val="yTableNAm"/>
            </w:pPr>
            <w:r>
              <w:t>Program design based on above.</w:t>
            </w:r>
          </w:p>
          <w:p>
            <w:pPr>
              <w:pStyle w:val="yTableNAm"/>
            </w:pPr>
            <w:r>
              <w:t>Exercise facility/equipment coordination (pool or gym based).</w:t>
            </w:r>
          </w:p>
          <w:p>
            <w:pPr>
              <w:pStyle w:val="yTableNAm"/>
            </w:pPr>
            <w:r>
              <w:t>Provider to patient ratio must be 1:1 for the duration of the consultation.</w:t>
            </w:r>
          </w:p>
        </w:tc>
        <w:tc>
          <w:tcPr>
            <w:tcW w:w="1276" w:type="dxa"/>
            <w:tcBorders>
              <w:top w:val="single" w:sz="4" w:space="0" w:color="auto"/>
            </w:tcBorders>
            <w:noWrap/>
          </w:tcPr>
          <w:p>
            <w:pPr>
              <w:pStyle w:val="yTableNAm"/>
            </w:pPr>
          </w:p>
          <w:p>
            <w:pPr>
              <w:pStyle w:val="yTableNAm"/>
            </w:pPr>
            <w:r>
              <w:t>$221.50</w:t>
            </w:r>
            <w:r>
              <w:br/>
              <w:t>per hour to a maximum of 2 hours**</w:t>
            </w: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tcBorders>
              <w:bottom w:val="single" w:sz="4" w:space="0" w:color="auto"/>
            </w:tcBorders>
            <w:noWrap/>
          </w:tcPr>
          <w:p>
            <w:pPr>
              <w:pStyle w:val="yTableNAm"/>
            </w:pPr>
          </w:p>
        </w:tc>
        <w:tc>
          <w:tcPr>
            <w:tcW w:w="4536" w:type="dxa"/>
            <w:vMerge/>
            <w:tcBorders>
              <w:bottom w:val="single" w:sz="4" w:space="0" w:color="auto"/>
            </w:tcBorders>
            <w:noWrap/>
          </w:tcPr>
          <w:p>
            <w:pPr>
              <w:pStyle w:val="yTableNAm"/>
            </w:pP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r>
              <w:br/>
            </w:r>
          </w:p>
          <w:p>
            <w:pPr>
              <w:pStyle w:val="yTableNAm"/>
            </w:pPr>
            <w:r>
              <w:t>$221.50</w:t>
            </w:r>
            <w:r>
              <w:br/>
              <w:t>per hour to a maximum of 1 hour**</w:t>
            </w:r>
          </w:p>
        </w:tc>
      </w:tr>
      <w:tr>
        <w:trPr>
          <w:cantSplit/>
        </w:trPr>
        <w:tc>
          <w:tcPr>
            <w:tcW w:w="992" w:type="dxa"/>
            <w:tcBorders>
              <w:top w:val="single" w:sz="4" w:space="0" w:color="auto"/>
            </w:tcBorders>
            <w:noWrap/>
          </w:tcPr>
          <w:p>
            <w:pPr>
              <w:pStyle w:val="yTableNAm"/>
            </w:pPr>
            <w:r>
              <w:lastRenderedPageBreak/>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$221.50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lastRenderedPageBreak/>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$177.35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$22.20</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$221.50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2023/155 r. 6.]</w:t>
      </w:r>
    </w:p>
    <w:p>
      <w:pPr>
        <w:pStyle w:val="yScheduleHeading"/>
      </w:pPr>
      <w:bookmarkStart w:id="86" w:name="_Toc161386949"/>
      <w:bookmarkStart w:id="87" w:name="_Toc161387009"/>
      <w:bookmarkStart w:id="88" w:name="_Toc161746976"/>
      <w:bookmarkStart w:id="89" w:name="_Toc161747346"/>
      <w:bookmarkStart w:id="90" w:name="_Toc161750524"/>
      <w:r>
        <w:rPr>
          <w:rStyle w:val="CharSchNo"/>
        </w:rPr>
        <w:lastRenderedPageBreak/>
        <w:t>Schedule 6</w:t>
      </w:r>
      <w:r>
        <w:t> — </w:t>
      </w:r>
      <w:r>
        <w:rPr>
          <w:rStyle w:val="CharSchText"/>
        </w:rPr>
        <w:t>Scale of maximum fees: approved medical specialists</w:t>
      </w:r>
      <w:bookmarkEnd w:id="86"/>
      <w:bookmarkEnd w:id="87"/>
      <w:bookmarkEnd w:id="88"/>
      <w:bookmarkEnd w:id="89"/>
      <w:bookmarkEnd w:id="90"/>
    </w:p>
    <w:p>
      <w:pPr>
        <w:pStyle w:val="yShoulderClause"/>
      </w:pPr>
      <w:r>
        <w:t>[r. 9]</w:t>
      </w:r>
    </w:p>
    <w:p>
      <w:pPr>
        <w:pStyle w:val="yFootnoteheading"/>
      </w:pPr>
      <w:r>
        <w:tab/>
        <w:t>[Heading inserted: SL 2023/155 r. 6.]</w:t>
      </w:r>
    </w:p>
    <w:p>
      <w:pPr>
        <w:pStyle w:val="yHeading3"/>
      </w:pPr>
      <w:bookmarkStart w:id="91" w:name="_Toc161386950"/>
      <w:bookmarkStart w:id="92" w:name="_Toc161387010"/>
      <w:bookmarkStart w:id="93" w:name="_Toc161746977"/>
      <w:bookmarkStart w:id="94" w:name="_Toc161747347"/>
      <w:bookmarkStart w:id="95" w:name="_Toc161750525"/>
      <w:r>
        <w:rPr>
          <w:rStyle w:val="CharSDivNo"/>
        </w:rPr>
        <w:t>Part 1</w:t>
      </w:r>
      <w:r>
        <w:t> — </w:t>
      </w:r>
      <w:r>
        <w:rPr>
          <w:rStyle w:val="CharSDivText"/>
        </w:rPr>
        <w:t>Assessments</w:t>
      </w:r>
      <w:bookmarkEnd w:id="91"/>
      <w:bookmarkEnd w:id="92"/>
      <w:bookmarkEnd w:id="93"/>
      <w:bookmarkEnd w:id="94"/>
      <w:bookmarkEnd w:id="95"/>
    </w:p>
    <w:p>
      <w:pPr>
        <w:pStyle w:val="yFootnoteheading"/>
        <w:spacing w:after="60"/>
      </w:pPr>
      <w:r>
        <w:tab/>
        <w:t>[Heading inserted: SL 2023/155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$1 494.25 (or, if an interpreter is present at the examination, $1 867.80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$1 867.80 (or, if an interpreter is present at the examination, $2 241.35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$2 241.35 (or, if an interpreter is present at the examination, $2 614.70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$1 494.25 (or, if an interpreter is present at the examination, $1 867.80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$2 241.35 (or, if an interpreter is present at the examination, $2 614.70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$3 735.25 (or, if an interpreter is present at the examination, $4 108.75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$747.05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$1 120.60 (or, if an interpreter is present at the examination, $1 494.25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$373.60</w:t>
            </w:r>
          </w:p>
        </w:tc>
      </w:tr>
    </w:tbl>
    <w:p>
      <w:pPr>
        <w:pStyle w:val="yFootnotesection"/>
      </w:pPr>
      <w:r>
        <w:tab/>
        <w:t>[Part 1 inserted: SL 2023/155 r. 6.]</w:t>
      </w:r>
    </w:p>
    <w:p>
      <w:pPr>
        <w:pStyle w:val="yHeading3"/>
      </w:pPr>
      <w:bookmarkStart w:id="96" w:name="_Toc161386951"/>
      <w:bookmarkStart w:id="97" w:name="_Toc161387011"/>
      <w:bookmarkStart w:id="98" w:name="_Toc161746978"/>
      <w:bookmarkStart w:id="99" w:name="_Toc161747348"/>
      <w:bookmarkStart w:id="100" w:name="_Toc161750526"/>
      <w:r>
        <w:rPr>
          <w:rStyle w:val="CharSDivNo"/>
        </w:rPr>
        <w:lastRenderedPageBreak/>
        <w:t>Part 2</w:t>
      </w:r>
      <w:r>
        <w:t> — </w:t>
      </w:r>
      <w:r>
        <w:rPr>
          <w:rStyle w:val="CharSDivText"/>
        </w:rPr>
        <w:t>Attempted assessments</w:t>
      </w:r>
      <w:bookmarkEnd w:id="96"/>
      <w:bookmarkEnd w:id="97"/>
      <w:bookmarkEnd w:id="98"/>
      <w:bookmarkEnd w:id="99"/>
      <w:bookmarkEnd w:id="100"/>
    </w:p>
    <w:p>
      <w:pPr>
        <w:pStyle w:val="yFootnoteheading"/>
        <w:keepNext/>
      </w:pPr>
      <w:r>
        <w:tab/>
        <w:t>[Heading inserted: SL 2023/155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c>
          <w:tcPr>
            <w:tcW w:w="425" w:type="dxa"/>
            <w:tcBorders>
              <w:top w:val="single" w:sz="4" w:space="0" w:color="auto"/>
            </w:tcBorders>
            <w:noWrap/>
          </w:tcPr>
          <w:p>
            <w:pPr>
              <w:pStyle w:val="yTableNAm"/>
              <w:keepNext/>
            </w:pPr>
            <w:r>
              <w:t>1.</w:t>
            </w:r>
          </w:p>
        </w:tc>
        <w:tc>
          <w:tcPr>
            <w:tcW w:w="4113" w:type="dxa"/>
            <w:tcBorders>
              <w:top w:val="single" w:sz="4" w:space="0" w:color="auto"/>
            </w:tcBorders>
            <w:noWrap/>
          </w:tcPr>
          <w:p>
            <w:pPr>
              <w:pStyle w:val="yTableNAm"/>
              <w:keepNext/>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keepNext/>
            </w:pPr>
            <w:r>
              <w:t>$747.05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2023/155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2" w:name="_Toc161386952"/>
      <w:bookmarkStart w:id="103" w:name="_Toc161387012"/>
      <w:bookmarkStart w:id="104" w:name="_Toc161746979"/>
      <w:bookmarkStart w:id="105" w:name="_Toc161747349"/>
      <w:bookmarkStart w:id="106" w:name="_Toc161750527"/>
      <w:r>
        <w:lastRenderedPageBreak/>
        <w:t>Notes</w:t>
      </w:r>
      <w:bookmarkEnd w:id="102"/>
      <w:bookmarkEnd w:id="103"/>
      <w:bookmarkEnd w:id="104"/>
      <w:bookmarkEnd w:id="105"/>
      <w:bookmarkEnd w:id="106"/>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xml:space="preserve">. For provisions that have come into operation, and for information about any reprints, see the compilation table. </w:t>
      </w:r>
    </w:p>
    <w:p>
      <w:pPr>
        <w:pStyle w:val="nHeading3"/>
      </w:pPr>
      <w:bookmarkStart w:id="107" w:name="_Toc161750528"/>
      <w:r>
        <w:t>Compilation table</w:t>
      </w:r>
      <w:bookmarkEnd w:id="10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2022</w:t>
            </w:r>
          </w:p>
        </w:tc>
        <w:tc>
          <w:tcPr>
            <w:tcW w:w="1276" w:type="dxa"/>
            <w:tcBorders>
              <w:top w:val="nil"/>
              <w:bottom w:val="nil"/>
            </w:tcBorders>
          </w:tcPr>
          <w:p>
            <w:pPr>
              <w:pStyle w:val="nTable"/>
              <w:spacing w:after="40"/>
            </w:pPr>
            <w:r>
              <w:t>SL 2022/164 7 Oct 2022</w:t>
            </w:r>
          </w:p>
        </w:tc>
        <w:tc>
          <w:tcPr>
            <w:tcW w:w="2693" w:type="dxa"/>
            <w:tcBorders>
              <w:top w:val="nil"/>
              <w:bottom w:val="nil"/>
            </w:tcBorders>
          </w:tcPr>
          <w:p>
            <w:pPr>
              <w:pStyle w:val="nTable"/>
              <w:spacing w:after="40"/>
            </w:pPr>
            <w:r>
              <w:t>r. 1 and 2: 7 Oct 2022 (see r. 2(a));</w:t>
            </w:r>
            <w:r>
              <w:br/>
              <w:t>Regulations other than r. 1 and 2: 1 Nov 2022 (see r. 2(b))</w:t>
            </w:r>
          </w:p>
        </w:tc>
      </w:tr>
      <w:tr>
        <w:trPr>
          <w:cantSplit/>
        </w:trPr>
        <w:tc>
          <w:tcPr>
            <w:tcW w:w="3119" w:type="dxa"/>
            <w:tcBorders>
              <w:top w:val="nil"/>
              <w:bottom w:val="single" w:sz="4" w:space="0" w:color="auto"/>
            </w:tcBorders>
          </w:tcPr>
          <w:p>
            <w:pPr>
              <w:pStyle w:val="nTable"/>
              <w:spacing w:after="40"/>
              <w:rPr>
                <w:i/>
              </w:rPr>
            </w:pPr>
            <w:r>
              <w:rPr>
                <w:i/>
              </w:rPr>
              <w:lastRenderedPageBreak/>
              <w:t>Workers’ Compensation and Injury Management (Scales of Fees) Amendment Regulations 2023</w:t>
            </w:r>
          </w:p>
        </w:tc>
        <w:tc>
          <w:tcPr>
            <w:tcW w:w="1276" w:type="dxa"/>
            <w:tcBorders>
              <w:top w:val="nil"/>
              <w:bottom w:val="single" w:sz="4" w:space="0" w:color="auto"/>
            </w:tcBorders>
          </w:tcPr>
          <w:p>
            <w:pPr>
              <w:pStyle w:val="nTable"/>
              <w:spacing w:after="40"/>
            </w:pPr>
            <w:r>
              <w:t>SL 2023/155 18 Oct 2023</w:t>
            </w:r>
          </w:p>
        </w:tc>
        <w:tc>
          <w:tcPr>
            <w:tcW w:w="2693" w:type="dxa"/>
            <w:tcBorders>
              <w:top w:val="nil"/>
              <w:bottom w:val="single" w:sz="4" w:space="0" w:color="auto"/>
            </w:tcBorders>
          </w:tcPr>
          <w:p>
            <w:pPr>
              <w:pStyle w:val="nTable"/>
              <w:spacing w:after="40"/>
            </w:pPr>
            <w:r>
              <w:t>r. 1 and 2: 18 Oct 2023 (see r. 2(a))</w:t>
            </w:r>
            <w:r>
              <w:br/>
              <w:t>Regulations other than r. 1 and 2: 1 Nov 2023 (see r. 2(b))</w:t>
            </w:r>
          </w:p>
        </w:tc>
      </w:tr>
    </w:tbl>
    <w:p>
      <w:pPr>
        <w:pStyle w:val="nHeading3"/>
      </w:pPr>
      <w:bookmarkStart w:id="108" w:name="_Toc161750529"/>
      <w:r>
        <w:t>Uncommenced provisions table</w:t>
      </w:r>
      <w:bookmarkEnd w:id="108"/>
    </w:p>
    <w:p>
      <w:pPr>
        <w:pStyle w:val="nStatement"/>
        <w:keepNext/>
        <w:spacing w:after="240"/>
      </w:pPr>
      <w:r>
        <w:t xml:space="preserve">To view the text of the uncommenced provisions see </w:t>
      </w:r>
      <w:r>
        <w:rPr>
          <w:i/>
          <w:iCs/>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Workers Compensation and Injury Management Act 2023</w:t>
            </w:r>
            <w:r>
              <w:rPr>
                <w:iCs/>
              </w:rPr>
              <w:t xml:space="preserve"> s. 621 assented to 24 Oct 2023</w:t>
            </w:r>
          </w:p>
        </w:tc>
        <w:tc>
          <w:tcPr>
            <w:tcW w:w="2693" w:type="dxa"/>
          </w:tcPr>
          <w:p>
            <w:pPr>
              <w:pStyle w:val="nTable"/>
              <w:spacing w:after="40"/>
            </w:pPr>
            <w:r>
              <w:rPr>
                <w:noProof/>
              </w:rPr>
              <w:t>1 Jul 2024</w:t>
            </w:r>
            <w:r>
              <w:t xml:space="preserve"> (see s. 2(d)</w:t>
            </w:r>
            <w:r>
              <w:rPr>
                <w:noProof/>
              </w:rPr>
              <w:t xml:space="preserve"> and SL 2024/34 cl. 2</w:t>
            </w:r>
            <w:r>
              <w:t>)</w:t>
            </w:r>
          </w:p>
        </w:tc>
      </w:tr>
    </w:tbl>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8"/>
          <w:headerReference w:type="default" r:id="rId29"/>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110" w:name="_Toc161386955"/>
      <w:bookmarkStart w:id="111" w:name="_Toc161387015"/>
      <w:bookmarkStart w:id="112" w:name="_Toc161746982"/>
      <w:bookmarkStart w:id="113" w:name="_Toc161747352"/>
      <w:bookmarkStart w:id="114" w:name="_Toc161750530"/>
      <w:r>
        <w:rPr>
          <w:sz w:val="28"/>
        </w:rPr>
        <w:lastRenderedPageBreak/>
        <w:t>Defined terms</w:t>
      </w:r>
      <w:bookmarkEnd w:id="110"/>
      <w:bookmarkEnd w:id="111"/>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 hours</w:t>
      </w:r>
      <w:r>
        <w:tab/>
        <w:t>Sch. 1</w:t>
      </w:r>
    </w:p>
    <w:p>
      <w:pPr>
        <w:pStyle w:val="DefinedTerms"/>
      </w:pPr>
      <w:r>
        <w:t>closed reduction</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05-w0-02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05-w0-02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5" w:name="DefinedTerms"/>
    <w:bookmarkEnd w:id="1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04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02409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4092509_GUID" w:val="bb8a14ba-07fc-431d-a3be-56fb68ce0f77"/>
    <w:docVar w:name="WAFER_2023122911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1548_GUID" w:val="87c260e1-f3a6-4ee3-8266-f2f1ed7db1c1"/>
    <w:docVar w:name="WAFER_2024031509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043_GUID" w:val="7a250db8-f1e0-48eb-aed5-0ff982a9cf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8AD2E-C158-4E2B-ABDA-656607536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13414</Words>
  <Characters>72973</Characters>
  <Application>Microsoft Office Word</Application>
  <DocSecurity>0</DocSecurity>
  <Lines>4054</Lines>
  <Paragraphs>3085</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1998 - 05-w0-02</dc:title>
  <dc:subject/>
  <dc:creator/>
  <cp:keywords/>
  <dc:description/>
  <cp:lastModifiedBy>Master Repository Process</cp:lastModifiedBy>
  <cp:revision>4</cp:revision>
  <cp:lastPrinted>2022-10-24T00:18:00Z</cp:lastPrinted>
  <dcterms:created xsi:type="dcterms:W3CDTF">2025-06-04T03:04:00Z</dcterms:created>
  <dcterms:modified xsi:type="dcterms:W3CDTF">2025-06-04T03:05:00Z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01 Nov 2023</vt:lpwstr>
  </property>
  <property fmtid="{D5CDD505-2E9C-101B-9397-08002B2CF9AE}" pid="8" name="Suffix">
    <vt:lpwstr>05-w0-02</vt:lpwstr>
  </property>
  <property fmtid="{D5CDD505-2E9C-101B-9397-08002B2CF9AE}" pid="9" name="Official">
    <vt:lpwstr/>
  </property>
  <property fmtid="{D5CDD505-2E9C-101B-9397-08002B2CF9AE}" pid="10" name="CommencementDate">
    <vt:lpwstr>20231101</vt:lpwstr>
  </property>
  <property fmtid="{D5CDD505-2E9C-101B-9397-08002B2CF9AE}" pid="11" name="CommencementAsAt">
    <vt:filetime>2023-10-31T16:00:00Z</vt:filetime>
  </property>
  <property fmtid="{D5CDD505-2E9C-101B-9397-08002B2CF9AE}" pid="12" name="CommencementYear">
    <vt:lpwstr>2023</vt:lpwstr>
  </property>
</Properties>
</file>