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Liquor Control (Mingullatharndo Restricted Area)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(Mingullatharndo Restricted Area)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_Toc200707523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_Toc200707524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Term used: Mingullatharndo Aboriginal Community</w:t>
      </w:r>
      <w:r>
        <w:tab/>
      </w:r>
      <w:r>
        <w:fldChar w:fldCharType="begin"/>
      </w:r>
      <w:r>
        <w:instrText xml:space="preserve"> PAGEREF _Toc200707525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Restricted area</w:t>
      </w:r>
    </w:p>
    <w:p>
      <w:pPr>
        <w:pStyle w:val="TOC8"/>
        <w:rPr>
          <w:rFonts w:asciiTheme="minorHAnsi" w:eastAsiaTheme="minorEastAsia" w:hAnsiTheme="minorHAnsi" w:cstheme="minorBidi"/>
          <w:szCs w:val="22"/>
        </w:rPr>
      </w:pPr>
      <w:r>
        <w:t>4.</w:t>
      </w:r>
      <w:r>
        <w:tab/>
        <w:t>Declaration of restricted area</w:t>
      </w:r>
      <w:r>
        <w:tab/>
      </w:r>
      <w:r>
        <w:fldChar w:fldCharType="begin"/>
      </w:r>
      <w:r>
        <w:instrText xml:space="preserve"> PAGEREF _Toc200707527 \h </w:instrText>
      </w:r>
      <w:r>
        <w:fldChar w:fldCharType="separate"/>
      </w:r>
      <w:r>
        <w:t>2</w:t>
      </w:r>
      <w:r>
        <w:fldChar w:fldCharType="end"/>
      </w:r>
    </w:p>
    <w:p>
      <w:pPr>
        <w:pStyle w:val="TOC8"/>
        <w:rPr>
          <w:rFonts w:asciiTheme="minorHAnsi" w:eastAsiaTheme="minorEastAsia" w:hAnsiTheme="minorHAnsi" w:cstheme="minorBidi"/>
          <w:szCs w:val="22"/>
        </w:rPr>
      </w:pPr>
      <w:r>
        <w:t>5.</w:t>
      </w:r>
      <w:r>
        <w:tab/>
        <w:t>Notice of restricted area</w:t>
      </w:r>
      <w:r>
        <w:tab/>
      </w:r>
      <w:r>
        <w:fldChar w:fldCharType="begin"/>
      </w:r>
      <w:r>
        <w:instrText xml:space="preserve"> PAGEREF _Toc200707528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Prohibitions and related provisions</w:t>
      </w:r>
    </w:p>
    <w:p>
      <w:pPr>
        <w:pStyle w:val="TOC8"/>
        <w:rPr>
          <w:rFonts w:asciiTheme="minorHAnsi" w:eastAsiaTheme="minorEastAsia" w:hAnsiTheme="minorHAnsi" w:cstheme="minorBidi"/>
          <w:szCs w:val="22"/>
        </w:rPr>
      </w:pPr>
      <w:r>
        <w:t>6.</w:t>
      </w:r>
      <w:r>
        <w:tab/>
        <w:t>Prohibitions as to liquor in Mingullatharndo Aboriginal Community</w:t>
      </w:r>
      <w:r>
        <w:tab/>
      </w:r>
      <w:r>
        <w:fldChar w:fldCharType="begin"/>
      </w:r>
      <w:r>
        <w:instrText xml:space="preserve"> PAGEREF _Toc200707530 \h </w:instrText>
      </w:r>
      <w:r>
        <w:fldChar w:fldCharType="separate"/>
      </w:r>
      <w:r>
        <w:t>3</w:t>
      </w:r>
      <w:r>
        <w:fldChar w:fldCharType="end"/>
      </w:r>
    </w:p>
    <w:p>
      <w:pPr>
        <w:pStyle w:val="TOC8"/>
        <w:rPr>
          <w:rFonts w:asciiTheme="minorHAnsi" w:eastAsiaTheme="minorEastAsia" w:hAnsiTheme="minorHAnsi" w:cstheme="minorBidi"/>
          <w:szCs w:val="22"/>
        </w:rPr>
      </w:pPr>
      <w:r>
        <w:t>7.</w:t>
      </w:r>
      <w:r>
        <w:tab/>
        <w:t>Seizure and disposal of containers of liquor</w:t>
      </w:r>
      <w:r>
        <w:tab/>
      </w:r>
      <w:r>
        <w:fldChar w:fldCharType="begin"/>
      </w:r>
      <w:r>
        <w:instrText xml:space="preserve"> PAGEREF _Toc200707531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Period of effect</w:t>
      </w:r>
    </w:p>
    <w:p>
      <w:pPr>
        <w:pStyle w:val="TOC8"/>
        <w:rPr>
          <w:rFonts w:asciiTheme="minorHAnsi" w:eastAsiaTheme="minorEastAsia" w:hAnsiTheme="minorHAnsi" w:cstheme="minorBidi"/>
          <w:szCs w:val="22"/>
        </w:rPr>
      </w:pPr>
      <w:r>
        <w:t>8.</w:t>
      </w:r>
      <w:r>
        <w:tab/>
        <w:t>Period during which these regulations have effect</w:t>
      </w:r>
      <w:r>
        <w:tab/>
      </w:r>
      <w:r>
        <w:fldChar w:fldCharType="begin"/>
      </w:r>
      <w:r>
        <w:instrText xml:space="preserve"> PAGEREF _Toc200707533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Liquor Control Regulations 1989</w:t>
      </w:r>
      <w:r>
        <w:t xml:space="preserve"> amended</w:t>
      </w:r>
    </w:p>
    <w:p>
      <w:pPr>
        <w:pStyle w:val="TOC8"/>
        <w:rPr>
          <w:rFonts w:asciiTheme="minorHAnsi" w:eastAsiaTheme="minorEastAsia" w:hAnsiTheme="minorHAnsi" w:cstheme="minorBidi"/>
          <w:szCs w:val="22"/>
        </w:rPr>
      </w:pPr>
      <w:r>
        <w:t>9.</w:t>
      </w:r>
      <w:r>
        <w:tab/>
        <w:t>Regulations amended</w:t>
      </w:r>
      <w:r>
        <w:tab/>
      </w:r>
      <w:r>
        <w:fldChar w:fldCharType="begin"/>
      </w:r>
      <w:r>
        <w:instrText xml:space="preserve"> PAGEREF _Toc200707535 \h </w:instrText>
      </w:r>
      <w:r>
        <w:fldChar w:fldCharType="separate"/>
      </w:r>
      <w:r>
        <w:t>5</w:t>
      </w:r>
      <w:r>
        <w:fldChar w:fldCharType="end"/>
      </w:r>
    </w:p>
    <w:p>
      <w:pPr>
        <w:pStyle w:val="TOC8"/>
        <w:rPr>
          <w:rFonts w:asciiTheme="minorHAnsi" w:eastAsiaTheme="minorEastAsia" w:hAnsiTheme="minorHAnsi" w:cstheme="minorBidi"/>
          <w:szCs w:val="22"/>
        </w:rPr>
      </w:pPr>
      <w:r>
        <w:t>10.</w:t>
      </w:r>
      <w:r>
        <w:tab/>
        <w:t>Regulation 27 amended</w:t>
      </w:r>
      <w:r>
        <w:tab/>
      </w:r>
      <w:r>
        <w:fldChar w:fldCharType="begin"/>
      </w:r>
      <w:r>
        <w:instrText xml:space="preserve"> PAGEREF _Toc200707536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(Mingullatharndo Restricted Area) Regulations 2023</w:t>
      </w:r>
    </w:p>
    <w:p>
      <w:pPr>
        <w:pStyle w:val="MadeBy"/>
      </w:pPr>
      <w:r>
        <w:t>Made by the Governor in Executive Council.</w:t>
      </w:r>
    </w:p>
    <w:p>
      <w:pPr>
        <w:pStyle w:val="Heading2"/>
        <w:pageBreakBefore w:val="0"/>
        <w:spacing w:before="260"/>
      </w:pPr>
      <w:bookmarkStart w:id="2" w:name="_Toc200707522"/>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707523"/>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Liquor Control (Mingullatharndo Restricted Area) Regulations 2023</w:t>
      </w:r>
      <w:r>
        <w:t>.</w:t>
      </w:r>
    </w:p>
    <w:p>
      <w:pPr>
        <w:pStyle w:val="Heading5"/>
        <w:rPr>
          <w:spacing w:val="-2"/>
        </w:rPr>
      </w:pPr>
      <w:bookmarkStart w:id="5" w:name="_Toc200707524"/>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pacing w:val="-2"/>
        </w:rPr>
      </w:pPr>
      <w:bookmarkStart w:id="6" w:name="_Toc200707525"/>
      <w:r>
        <w:rPr>
          <w:rStyle w:val="CharSectno"/>
        </w:rPr>
        <w:t>3</w:t>
      </w:r>
      <w:r>
        <w:rPr>
          <w:spacing w:val="-2"/>
        </w:rPr>
        <w:t>.</w:t>
      </w:r>
      <w:r>
        <w:rPr>
          <w:spacing w:val="-2"/>
        </w:rPr>
        <w:tab/>
        <w:t>Term used: Mingullatharndo Aboriginal Community</w:t>
      </w:r>
      <w:bookmarkEnd w:id="6"/>
    </w:p>
    <w:p>
      <w:pPr>
        <w:pStyle w:val="Subsection"/>
      </w:pPr>
      <w:r>
        <w:tab/>
      </w:r>
      <w:r>
        <w:tab/>
        <w:t xml:space="preserve">In these regulations — </w:t>
      </w:r>
    </w:p>
    <w:p>
      <w:pPr>
        <w:pStyle w:val="Defstart"/>
      </w:pPr>
      <w:r>
        <w:tab/>
      </w:r>
      <w:r>
        <w:rPr>
          <w:rStyle w:val="CharDefText"/>
        </w:rPr>
        <w:t>Mingullatharndo Aboriginal Community</w:t>
      </w:r>
      <w:r>
        <w:t xml:space="preserve"> means the area of land described as Lot 300 on Deposited Plan 45651, being the whole of the land in Record of Qualified Certificate of Crown Land Title Volume 2969 Folio 405.</w:t>
      </w:r>
    </w:p>
    <w:p>
      <w:pPr>
        <w:pStyle w:val="Heading2"/>
      </w:pPr>
      <w:bookmarkStart w:id="7" w:name="_Toc200707526"/>
      <w:r>
        <w:rPr>
          <w:rStyle w:val="CharPartNo"/>
        </w:rPr>
        <w:lastRenderedPageBreak/>
        <w:t>Part 2</w:t>
      </w:r>
      <w:r>
        <w:rPr>
          <w:rStyle w:val="CharDivNo"/>
        </w:rPr>
        <w:t> </w:t>
      </w:r>
      <w:r>
        <w:t>—</w:t>
      </w:r>
      <w:r>
        <w:rPr>
          <w:rStyle w:val="CharDivText"/>
        </w:rPr>
        <w:t> </w:t>
      </w:r>
      <w:r>
        <w:rPr>
          <w:rStyle w:val="CharPartText"/>
        </w:rPr>
        <w:t>Restricted area</w:t>
      </w:r>
      <w:bookmarkEnd w:id="7"/>
    </w:p>
    <w:p>
      <w:pPr>
        <w:pStyle w:val="Heading5"/>
      </w:pPr>
      <w:bookmarkStart w:id="8" w:name="_Toc200707527"/>
      <w:r>
        <w:rPr>
          <w:rStyle w:val="CharSectno"/>
        </w:rPr>
        <w:t>4</w:t>
      </w:r>
      <w:r>
        <w:t>.</w:t>
      </w:r>
      <w:r>
        <w:tab/>
        <w:t>Declaration of restricted area</w:t>
      </w:r>
      <w:bookmarkEnd w:id="8"/>
    </w:p>
    <w:p>
      <w:pPr>
        <w:pStyle w:val="Subsection"/>
      </w:pPr>
      <w:r>
        <w:tab/>
      </w:r>
      <w:r>
        <w:tab/>
        <w:t>The Mingullatharndo Aboriginal Community is declared to be a restricted area for the purposes of section 175(1a) of the Act.</w:t>
      </w:r>
    </w:p>
    <w:p>
      <w:pPr>
        <w:pStyle w:val="Heading5"/>
      </w:pPr>
      <w:bookmarkStart w:id="9" w:name="_Toc200707528"/>
      <w:r>
        <w:rPr>
          <w:rStyle w:val="CharSectno"/>
        </w:rPr>
        <w:t>5</w:t>
      </w:r>
      <w:r>
        <w:t>.</w:t>
      </w:r>
      <w:r>
        <w:tab/>
        <w:t>Notice of restricted area</w:t>
      </w:r>
      <w:bookmarkEnd w:id="9"/>
    </w:p>
    <w:p>
      <w:pPr>
        <w:pStyle w:val="Subsection"/>
      </w:pPr>
      <w:r>
        <w:tab/>
        <w:t>(1)</w:t>
      </w:r>
      <w:r>
        <w:tab/>
        <w:t xml:space="preserve">The Director of Liquor Licensing must take all reasonable steps to cause to be posted, and while the Mingullatharndo Aboriginal Community continues to be a restricted area by operation of regulation 4 to be kept posted, at each place where a customary access route enters the Mingullatharndo Aboriginal Community a notice — </w:t>
      </w:r>
    </w:p>
    <w:p>
      <w:pPr>
        <w:pStyle w:val="Indenta"/>
      </w:pPr>
      <w:r>
        <w:tab/>
        <w:t>(a)</w:t>
      </w:r>
      <w:r>
        <w:tab/>
        <w:t>describing the offences set out in regulation 6(1); and</w:t>
      </w:r>
    </w:p>
    <w:p>
      <w:pPr>
        <w:pStyle w:val="Indenta"/>
      </w:pPr>
      <w:r>
        <w:tab/>
        <w:t>(b)</w:t>
      </w:r>
      <w:r>
        <w:tab/>
        <w:t>specifying the penalties for those offences.</w:t>
      </w:r>
    </w:p>
    <w:p>
      <w:pPr>
        <w:pStyle w:val="Subsection"/>
      </w:pPr>
      <w:r>
        <w:tab/>
        <w:t>(2)</w:t>
      </w:r>
      <w:r>
        <w:tab/>
        <w:t>A failure to comply with subregulation (1) does not invalidate the declaration in regulation 4.</w:t>
      </w:r>
    </w:p>
    <w:p>
      <w:pPr>
        <w:pStyle w:val="Heading2"/>
      </w:pPr>
      <w:bookmarkStart w:id="10" w:name="_Toc200707529"/>
      <w:r>
        <w:rPr>
          <w:rStyle w:val="CharPartNo"/>
        </w:rPr>
        <w:lastRenderedPageBreak/>
        <w:t>Part 3</w:t>
      </w:r>
      <w:r>
        <w:rPr>
          <w:rStyle w:val="CharDivNo"/>
        </w:rPr>
        <w:t> </w:t>
      </w:r>
      <w:r>
        <w:t>—</w:t>
      </w:r>
      <w:r>
        <w:rPr>
          <w:rStyle w:val="CharDivText"/>
        </w:rPr>
        <w:t> </w:t>
      </w:r>
      <w:r>
        <w:rPr>
          <w:rStyle w:val="CharPartText"/>
        </w:rPr>
        <w:t>Prohibitions and related provisions</w:t>
      </w:r>
      <w:bookmarkEnd w:id="10"/>
    </w:p>
    <w:p>
      <w:pPr>
        <w:pStyle w:val="Heading5"/>
      </w:pPr>
      <w:bookmarkStart w:id="11" w:name="_Toc200707530"/>
      <w:r>
        <w:rPr>
          <w:rStyle w:val="CharSectno"/>
        </w:rPr>
        <w:t>6</w:t>
      </w:r>
      <w:r>
        <w:t>.</w:t>
      </w:r>
      <w:r>
        <w:tab/>
        <w:t>Prohibitions as to liquor in Mingullatharndo Aboriginal Community</w:t>
      </w:r>
      <w:bookmarkEnd w:id="11"/>
    </w:p>
    <w:p>
      <w:pPr>
        <w:pStyle w:val="Subsection"/>
      </w:pPr>
      <w:r>
        <w:tab/>
        <w:t>(1)</w:t>
      </w:r>
      <w:r>
        <w:tab/>
        <w:t xml:space="preserve">A person commits an offence if the person — </w:t>
      </w:r>
    </w:p>
    <w:p>
      <w:pPr>
        <w:pStyle w:val="Indenta"/>
      </w:pPr>
      <w:r>
        <w:tab/>
        <w:t>(a)</w:t>
      </w:r>
      <w:r>
        <w:tab/>
        <w:t>brings liquor into, or causes liquor to be brought into, the Mingullatharndo Aboriginal Community; or</w:t>
      </w:r>
    </w:p>
    <w:p>
      <w:pPr>
        <w:pStyle w:val="Indenta"/>
      </w:pPr>
      <w:r>
        <w:tab/>
        <w:t>(b)</w:t>
      </w:r>
      <w:r>
        <w:tab/>
        <w:t>possesses liquor in the Mingullatharndo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2" w:name="_Toc200707531"/>
      <w:r>
        <w:rPr>
          <w:rStyle w:val="CharSectno"/>
        </w:rPr>
        <w:t>7</w:t>
      </w:r>
      <w:r>
        <w:t>.</w:t>
      </w:r>
      <w:r>
        <w:tab/>
        <w:t>Seizure and disposal of containers of liquor</w:t>
      </w:r>
      <w:bookmarkEnd w:id="12"/>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6(1).</w:t>
      </w:r>
    </w:p>
    <w:p>
      <w:pPr>
        <w:pStyle w:val="Heading2"/>
      </w:pPr>
      <w:bookmarkStart w:id="13" w:name="_Toc200707532"/>
      <w:r>
        <w:rPr>
          <w:rStyle w:val="CharPartNo"/>
        </w:rPr>
        <w:lastRenderedPageBreak/>
        <w:t>Part 4</w:t>
      </w:r>
      <w:r>
        <w:rPr>
          <w:rStyle w:val="CharDivNo"/>
        </w:rPr>
        <w:t> </w:t>
      </w:r>
      <w:r>
        <w:t>—</w:t>
      </w:r>
      <w:r>
        <w:rPr>
          <w:rStyle w:val="CharDivText"/>
        </w:rPr>
        <w:t> </w:t>
      </w:r>
      <w:r>
        <w:rPr>
          <w:rStyle w:val="CharPartText"/>
        </w:rPr>
        <w:t>Period of effect</w:t>
      </w:r>
      <w:bookmarkEnd w:id="13"/>
    </w:p>
    <w:p>
      <w:pPr>
        <w:pStyle w:val="Heading5"/>
      </w:pPr>
      <w:bookmarkStart w:id="14" w:name="_Toc200707533"/>
      <w:r>
        <w:rPr>
          <w:rStyle w:val="CharSectno"/>
        </w:rPr>
        <w:t>8</w:t>
      </w:r>
      <w:r>
        <w:t>.</w:t>
      </w:r>
      <w:r>
        <w:tab/>
        <w:t>Period during which these regulations have effect</w:t>
      </w:r>
      <w:bookmarkEnd w:id="14"/>
    </w:p>
    <w:p>
      <w:pPr>
        <w:pStyle w:val="Subsection"/>
      </w:pPr>
      <w:r>
        <w:tab/>
      </w:r>
      <w:r>
        <w:tab/>
        <w:t>Unless sooner repealed, these regulations have effect for the period that ends at the close of 2 November 2028.</w:t>
      </w:r>
    </w:p>
    <w:p>
      <w:pPr>
        <w:pStyle w:val="Heading2"/>
      </w:pPr>
      <w:bookmarkStart w:id="15" w:name="_Toc200707534"/>
      <w:r>
        <w:rPr>
          <w:rStyle w:val="CharPartNo"/>
        </w:rPr>
        <w:lastRenderedPageBreak/>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15"/>
    </w:p>
    <w:p>
      <w:pPr>
        <w:pStyle w:val="Heading5"/>
      </w:pPr>
      <w:bookmarkStart w:id="16" w:name="_Toc200707535"/>
      <w:r>
        <w:rPr>
          <w:rStyle w:val="CharSectno"/>
        </w:rPr>
        <w:t>9</w:t>
      </w:r>
      <w:r>
        <w:t>.</w:t>
      </w:r>
      <w:r>
        <w:tab/>
        <w:t>Regulations amended</w:t>
      </w:r>
      <w:bookmarkEnd w:id="16"/>
    </w:p>
    <w:p>
      <w:pPr>
        <w:pStyle w:val="Subsection"/>
      </w:pPr>
      <w:r>
        <w:tab/>
      </w:r>
      <w:r>
        <w:tab/>
        <w:t xml:space="preserve">This Part amends the </w:t>
      </w:r>
      <w:r>
        <w:rPr>
          <w:i/>
        </w:rPr>
        <w:t>Liquor Control Regulations 1989</w:t>
      </w:r>
      <w:r>
        <w:t>.</w:t>
      </w:r>
    </w:p>
    <w:p>
      <w:pPr>
        <w:pStyle w:val="Heading5"/>
      </w:pPr>
      <w:bookmarkStart w:id="17" w:name="_Toc200707536"/>
      <w:r>
        <w:rPr>
          <w:rStyle w:val="CharSectno"/>
        </w:rPr>
        <w:t>10</w:t>
      </w:r>
      <w:r>
        <w:t>.</w:t>
      </w:r>
      <w:r>
        <w:tab/>
        <w:t>Regulation 27 amended</w:t>
      </w:r>
      <w:bookmarkEnd w:id="17"/>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noWrap/>
          </w:tcPr>
          <w:p>
            <w:pPr>
              <w:pStyle w:val="zTableNAm"/>
              <w:rPr>
                <w:i/>
                <w:szCs w:val="24"/>
              </w:rPr>
            </w:pPr>
            <w:r>
              <w:rPr>
                <w:i/>
              </w:rPr>
              <w:t>Liquor Control (Mingullatharndo Restricted Area) Regulations 2023</w:t>
            </w:r>
            <w:r>
              <w:rPr>
                <w:szCs w:val="24"/>
              </w:rPr>
              <w:t xml:space="preserve"> regulation 6(1)</w:t>
            </w: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pPr>
        <w:pStyle w:val="nHeading2"/>
        <w:rPr>
          <w:sz w:val="28"/>
        </w:rPr>
      </w:pPr>
      <w:bookmarkStart w:id="18" w:name="_Toc200707537"/>
      <w:r>
        <w:rPr>
          <w:sz w:val="28"/>
        </w:rPr>
        <w:lastRenderedPageBreak/>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Mingullatharndo Aboriginal Community</w:t>
      </w:r>
      <w:r>
        <w:tab/>
        <w:t>3</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2023/174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2023/174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2023/174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2023/174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2023/174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2023/174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(Mingullatharndo Restricted Area)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(Mingullatharndo Restricted Area)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(Mingullatharndo Restricted Area)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(Mingullatharndo Restricted Area)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(Mingullatharndo Restricted Area)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(Mingullatharndo Restricted Area)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19" w:name="DefinedTerms"/>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2"/>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10309330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30083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0083909_GUID" w:val="e3b4fae6-3bfe-4737-8d7f-fd249b4bc523"/>
    <w:docVar w:name="WAFER_20230906152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06152634_GUID" w:val="027af894-fe61-4c01-aa4f-4cf8802d0c3f"/>
    <w:docVar w:name="WAFER_202310261337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6133757_GUID" w:val="61f2a55b-591d-4b28-b6ad-eba4f0f33a36"/>
    <w:docVar w:name="WAFER_20240103093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103093301_GUID" w:val="8abe6ece-3e5f-42da-a1b8-0decab19e9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AC056D61-ADA7-4253-8903-1988CAA77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F43D2-2B98-4314-9EBF-F72B698BF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740</Words>
  <Characters>3996</Characters>
  <Application>Microsoft Office Word</Application>
  <DocSecurity>0</DocSecurity>
  <Lines>133</Lines>
  <Paragraphs>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(Mingullatharndo Restricted Area) Regulations 2023 - 00-00-01</dc:title>
  <dc:subject/>
  <dc:creator/>
  <cp:keywords/>
  <dc:description/>
  <cp:lastModifiedBy>Master Repository Process</cp:lastModifiedBy>
  <cp:revision>4</cp:revision>
  <cp:lastPrinted>2023-06-15T04:13:00Z</cp:lastPrinted>
  <dcterms:created xsi:type="dcterms:W3CDTF">2025-06-13T03:45:00Z</dcterms:created>
  <dcterms:modified xsi:type="dcterms:W3CDTF">2025-06-13T03:45:00Z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54367</vt:lpwstr>
  </property>
  <property fmtid="{D5CDD505-2E9C-101B-9397-08002B2CF9AE}" pid="3" name="DocumentType">
    <vt:lpwstr>Reg</vt:lpwstr>
  </property>
  <property fmtid="{D5CDD505-2E9C-101B-9397-08002B2CF9AE}" pid="4" name="AsAtDate">
    <vt:lpwstr>01 Nov 2023</vt:lpwstr>
  </property>
  <property fmtid="{D5CDD505-2E9C-101B-9397-08002B2CF9AE}" pid="5" name="Suffix">
    <vt:lpwstr>00-00-01</vt:lpwstr>
  </property>
  <property fmtid="{D5CDD505-2E9C-101B-9397-08002B2CF9AE}" pid="6" name="Official">
    <vt:lpwstr/>
  </property>
  <property fmtid="{D5CDD505-2E9C-101B-9397-08002B2CF9AE}" pid="7" name="SLAPId">
    <vt:lpwstr>2023/174</vt:lpwstr>
  </property>
  <property fmtid="{D5CDD505-2E9C-101B-9397-08002B2CF9AE}" pid="8" name="PublishDate">
    <vt:lpwstr>1 Nov 2023</vt:lpwstr>
  </property>
  <property fmtid="{D5CDD505-2E9C-101B-9397-08002B2CF9AE}" pid="9" name="CommencementDate">
    <vt:lpwstr>20231101</vt:lpwstr>
  </property>
  <property fmtid="{D5CDD505-2E9C-101B-9397-08002B2CF9AE}" pid="10" name="CommencementAsAt">
    <vt:filetime>2023-10-31T16:00:00Z</vt:filetime>
  </property>
  <property fmtid="{D5CDD505-2E9C-101B-9397-08002B2CF9AE}" pid="11" name="CommencementYear">
    <vt:lpwstr>2023</vt:lpwstr>
  </property>
</Properties>
</file>