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_Toc200025623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_Toc200025624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_Toc200025625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_Toc200025626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_Toc200025627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_Toc200025628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_Toc200025629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_Toc200025630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_Toc200025631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_Toc200025632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_Toc200025633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_Toc200025634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_Toc200025635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_Toc200025636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_Toc200025637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_Toc200025638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_Toc200025639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_Toc200025640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_Toc200025641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_Toc200025642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_Toc200025643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_Toc200025644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_Toc200025645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_Toc200025646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_Toc200025647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_Toc200025648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_Toc200025649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_Toc200025650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_Toc200025651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_Toc200025652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_Toc200025653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_Toc200025654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_Toc200025655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_Toc200025656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_Toc200025657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_Toc200025658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_Toc200025659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_Toc200025660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_Toc200025661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_Toc200025662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_Toc200025663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_Toc200025664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_Toc200025665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_Toc200025666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_Toc200025667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_Toc200025668 \h </w:instrText>
      </w:r>
      <w:r>
        <w:fldChar w:fldCharType="separate"/>
      </w:r>
      <w:r>
        <w:t>48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_Toc200025669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_Toc200025670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_Toc200025671 \h </w:instrText>
      </w:r>
      <w:r>
        <w:fldChar w:fldCharType="separate"/>
      </w:r>
      <w:r>
        <w:t>49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_Toc200025672 \h </w:instrText>
      </w:r>
      <w:r>
        <w:fldChar w:fldCharType="separate"/>
      </w:r>
      <w:r>
        <w:t>49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_Toc200025673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_Toc200025674 \h </w:instrText>
      </w:r>
      <w:r>
        <w:fldChar w:fldCharType="separate"/>
      </w:r>
      <w:r>
        <w:t>50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_Toc200025675 \h </w:instrText>
      </w:r>
      <w:r>
        <w:fldChar w:fldCharType="separate"/>
      </w:r>
      <w:r>
        <w:t>51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_Toc200025676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_Toc200025677 \h </w:instrText>
      </w:r>
      <w:r>
        <w:fldChar w:fldCharType="separate"/>
      </w:r>
      <w:r>
        <w:t>52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_Toc200025678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_Toc200025679 \h </w:instrText>
      </w:r>
      <w:r>
        <w:fldChar w:fldCharType="separate"/>
      </w:r>
      <w:r>
        <w:t>53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_Toc200025680 \h </w:instrText>
      </w:r>
      <w:r>
        <w:fldChar w:fldCharType="separate"/>
      </w:r>
      <w:r>
        <w:t>54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_Toc200025681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_Toc200025682 \h </w:instrText>
      </w:r>
      <w:r>
        <w:fldChar w:fldCharType="separate"/>
      </w:r>
      <w:r>
        <w:t>56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_Toc200025683 \h </w:instrText>
      </w:r>
      <w:r>
        <w:fldChar w:fldCharType="separate"/>
      </w:r>
      <w:r>
        <w:t>57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_Toc200025684 \h </w:instrText>
      </w:r>
      <w:r>
        <w:fldChar w:fldCharType="separate"/>
      </w:r>
      <w:r>
        <w:t>58</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_Toc200025685 \h </w:instrText>
      </w:r>
      <w:r>
        <w:fldChar w:fldCharType="separate"/>
      </w:r>
      <w:r>
        <w:t>58</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_Toc200025686 \h </w:instrText>
      </w:r>
      <w:r>
        <w:fldChar w:fldCharType="separate"/>
      </w:r>
      <w:r>
        <w:t>60</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_Toc200025687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_Toc200025688 \h </w:instrText>
      </w:r>
      <w:r>
        <w:fldChar w:fldCharType="separate"/>
      </w:r>
      <w:r>
        <w:t>62</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_Toc200025689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_Toc200025690 \h </w:instrText>
      </w:r>
      <w:r>
        <w:fldChar w:fldCharType="separate"/>
      </w:r>
      <w:r>
        <w:t>63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_Toc200025691 \h </w:instrText>
      </w:r>
      <w:r>
        <w:fldChar w:fldCharType="separate"/>
      </w:r>
      <w:r>
        <w:t>64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_Toc200025692 \h </w:instrText>
      </w:r>
      <w:r>
        <w:fldChar w:fldCharType="separate"/>
      </w:r>
      <w:r>
        <w:t>65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_Toc200025693 \h </w:instrText>
      </w:r>
      <w:r>
        <w:fldChar w:fldCharType="separate"/>
      </w:r>
      <w:r>
        <w:t>66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_Toc200025694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_Toc200025695 \h </w:instrText>
      </w:r>
      <w:r>
        <w:fldChar w:fldCharType="separate"/>
      </w:r>
      <w:r>
        <w:t>68</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_Toc200025696 \h </w:instrText>
      </w:r>
      <w:r>
        <w:fldChar w:fldCharType="separate"/>
      </w:r>
      <w:r>
        <w:t>68</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_Toc200025697 \h </w:instrText>
      </w:r>
      <w:r>
        <w:fldChar w:fldCharType="separate"/>
      </w:r>
      <w:r>
        <w:t>68</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_Toc200025698 \h </w:instrText>
      </w:r>
      <w:r>
        <w:fldChar w:fldCharType="separate"/>
      </w:r>
      <w:r>
        <w:t>69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_Toc200025699 \h </w:instrText>
      </w:r>
      <w:r>
        <w:fldChar w:fldCharType="separate"/>
      </w:r>
      <w:r>
        <w:t>70</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_Toc200025700 \h </w:instrText>
      </w:r>
      <w:r>
        <w:fldChar w:fldCharType="separate"/>
      </w:r>
      <w:r>
        <w:t>71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_Toc200025701 \h </w:instrText>
      </w:r>
      <w:r>
        <w:fldChar w:fldCharType="separate"/>
      </w:r>
      <w:r>
        <w:t>73</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_Toc200025702 \h </w:instrText>
      </w:r>
      <w:r>
        <w:fldChar w:fldCharType="separate"/>
      </w:r>
      <w:r>
        <w:t>73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_Toc200025703 \h </w:instrText>
      </w:r>
      <w:r>
        <w:fldChar w:fldCharType="separate"/>
      </w:r>
      <w:r>
        <w:t>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_Toc200025704 \h </w:instrText>
      </w:r>
      <w:r>
        <w:fldChar w:fldCharType="separate"/>
      </w:r>
      <w:r>
        <w:t>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_Toc200025705 \h </w:instrText>
      </w:r>
      <w:r>
        <w:fldChar w:fldCharType="separate"/>
      </w:r>
      <w:r>
        <w:t>74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_Toc200025706 \h </w:instrText>
      </w:r>
      <w:r>
        <w:fldChar w:fldCharType="separate"/>
      </w:r>
      <w:r>
        <w:t>75</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_Toc200025707 \h </w:instrText>
      </w:r>
      <w:r>
        <w:fldChar w:fldCharType="separate"/>
      </w:r>
      <w:r>
        <w:t>76</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_Toc200025708 \h </w:instrText>
      </w:r>
      <w:r>
        <w:fldChar w:fldCharType="separate"/>
      </w:r>
      <w:r>
        <w:t>77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_Toc200025709 \h </w:instrText>
      </w:r>
      <w:r>
        <w:fldChar w:fldCharType="separate"/>
      </w:r>
      <w:r>
        <w:t>77</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_Toc200025710 \h </w:instrText>
      </w:r>
      <w:r>
        <w:fldChar w:fldCharType="separate"/>
      </w:r>
      <w:r>
        <w:t>77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_Toc200025711 \h </w:instrText>
      </w:r>
      <w:r>
        <w:fldChar w:fldCharType="separate"/>
      </w:r>
      <w:r>
        <w:t>78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_Toc200025712 \h </w:instrText>
      </w:r>
      <w:r>
        <w:fldChar w:fldCharType="separate"/>
      </w:r>
      <w:r>
        <w:t>80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_Toc200025713 \h </w:instrText>
      </w:r>
      <w:r>
        <w:fldChar w:fldCharType="separate"/>
      </w:r>
      <w:r>
        <w:t>81</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_Toc200025714 \h </w:instrText>
      </w:r>
      <w:r>
        <w:fldChar w:fldCharType="separate"/>
      </w:r>
      <w:r>
        <w:t>83</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_Toc200025715 \h </w:instrText>
      </w:r>
      <w:r>
        <w:fldChar w:fldCharType="separate"/>
      </w:r>
      <w:r>
        <w:t>83</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_Toc200025716 \h </w:instrText>
      </w:r>
      <w:r>
        <w:fldChar w:fldCharType="separate"/>
      </w:r>
      <w:r>
        <w:t>84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_Toc200025717 \h </w:instrText>
      </w:r>
      <w:r>
        <w:fldChar w:fldCharType="separate"/>
      </w:r>
      <w:r>
        <w:t>85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_Toc200025718 \h </w:instrText>
      </w:r>
      <w:r>
        <w:fldChar w:fldCharType="separate"/>
      </w:r>
      <w:r>
        <w:t>85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_Toc200025719 \h </w:instrText>
      </w:r>
      <w:r>
        <w:fldChar w:fldCharType="separate"/>
      </w:r>
      <w:r>
        <w:t>86</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_Toc200025720 \h </w:instrText>
      </w:r>
      <w:r>
        <w:fldChar w:fldCharType="separate"/>
      </w:r>
      <w:r>
        <w:t>87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_Toc200025721 \h </w:instrText>
      </w:r>
      <w:r>
        <w:fldChar w:fldCharType="separate"/>
      </w:r>
      <w:r>
        <w:t>88</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_Toc200025722 \h </w:instrText>
      </w:r>
      <w:r>
        <w:fldChar w:fldCharType="separate"/>
      </w:r>
      <w:r>
        <w:t>93</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 1</w:t>
      </w:r>
    </w:p>
    <w:p>
      <w:pPr>
        <w:pStyle w:val="TOC2"/>
        <w:tabs>
          <w:tab w:val="right" w:pos="7077"/>
        </w:tabs>
        <w:rPr>
          <w:rFonts w:asciiTheme="minorHAnsi" w:eastAsiaTheme="minorEastAsia" w:hAnsiTheme="minorHAnsi" w:cstheme="minorBidi"/>
          <w:b w:val="0"/>
          <w:sz w:val="22"/>
          <w:szCs w:val="22"/>
        </w:rPr>
      </w:pPr>
      <w:r>
        <w:t>Forms</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Details of applicant</w:t>
      </w:r>
    </w:p>
    <w:p>
      <w:pPr>
        <w:pStyle w:val="TOC2"/>
        <w:tabs>
          <w:tab w:val="right" w:pos="7077"/>
        </w:tabs>
        <w:rPr>
          <w:rFonts w:asciiTheme="minorHAnsi" w:eastAsiaTheme="minorEastAsia" w:hAnsiTheme="minorHAnsi" w:cstheme="minorBidi"/>
          <w:b w:val="0"/>
          <w:sz w:val="22"/>
          <w:szCs w:val="22"/>
        </w:rPr>
      </w:pPr>
      <w:r>
        <w:t>Schedule 3 — Fees</w:t>
      </w:r>
    </w:p>
    <w:p>
      <w:pPr>
        <w:pStyle w:val="TOC2"/>
        <w:tabs>
          <w:tab w:val="righ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_Toc200025729 \h </w:instrText>
      </w:r>
      <w:r>
        <w:fldChar w:fldCharType="separate"/>
      </w:r>
      <w:r>
        <w:t>109</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_Toc200025730 \h </w:instrText>
      </w:r>
      <w:r>
        <w:fldChar w:fldCharType="separate"/>
      </w:r>
      <w:r>
        <w:t>110</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_Toc200025731 \h </w:instrText>
      </w:r>
      <w:r>
        <w:fldChar w:fldCharType="separate"/>
      </w:r>
      <w:r>
        <w:t>111</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_Toc200025732 \h </w:instrText>
      </w:r>
      <w:r>
        <w:fldChar w:fldCharType="separate"/>
      </w:r>
      <w:r>
        <w:t>112</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_Toc200025733 \h </w:instrText>
      </w:r>
      <w:r>
        <w:fldChar w:fldCharType="separate"/>
      </w:r>
      <w:r>
        <w:t>113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_Toc200025735 \h </w:instrText>
      </w:r>
      <w:r>
        <w:fldChar w:fldCharType="separate"/>
      </w:r>
      <w:r>
        <w:t>114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_Toc200025736 \h </w:instrText>
      </w:r>
      <w:r>
        <w:fldChar w:fldCharType="separate"/>
      </w:r>
      <w:r>
        <w:t>127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_Toc200025737 \h </w:instrText>
      </w:r>
      <w:r>
        <w:fldChar w:fldCharType="separate"/>
      </w:r>
      <w:r>
        <w:t>127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20002562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002562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200025625"/>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200025626"/>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lastRenderedPageBreak/>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6" w:name="_Toc200025627"/>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200025628"/>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200025629"/>
      <w:r>
        <w:rPr>
          <w:rStyle w:val="CharSectno"/>
        </w:rPr>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200025630"/>
      <w:r>
        <w:rPr>
          <w:rStyle w:val="CharSectno"/>
        </w:rPr>
        <w:lastRenderedPageBreak/>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20002563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200025632"/>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lastRenderedPageBreak/>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200025633"/>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200025634"/>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200025635"/>
      <w:r>
        <w:rPr>
          <w:rStyle w:val="CharSectno"/>
        </w:rPr>
        <w:lastRenderedPageBreak/>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200025636"/>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20002563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lastRenderedPageBreak/>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lastRenderedPageBreak/>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200025638"/>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200025639"/>
      <w:r>
        <w:rPr>
          <w:rStyle w:val="CharSectno"/>
        </w:rPr>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lastRenderedPageBreak/>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200025640"/>
      <w:r>
        <w:rPr>
          <w:rStyle w:val="CharSectno"/>
        </w:rPr>
        <w:lastRenderedPageBreak/>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200025641"/>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200025642"/>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lastRenderedPageBreak/>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lastRenderedPageBreak/>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w:t>
      </w:r>
      <w:r>
        <w:lastRenderedPageBreak/>
        <w:t xml:space="preserve">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lastRenderedPageBreak/>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lastRenderedPageBreak/>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200025643"/>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 xml:space="preserve">the presentation, visually or acoustically (or both), of entertainment taking place at another </w:t>
      </w:r>
      <w:r>
        <w:lastRenderedPageBreak/>
        <w:t>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w:t>
      </w:r>
      <w:r>
        <w:lastRenderedPageBreak/>
        <w:t xml:space="preserve">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lastRenderedPageBreak/>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lastRenderedPageBreak/>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lastRenderedPageBreak/>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lastRenderedPageBreak/>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200025644"/>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lastRenderedPageBreak/>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200025645"/>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lastRenderedPageBreak/>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200025646"/>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lastRenderedPageBreak/>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200025647"/>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lastRenderedPageBreak/>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200025648"/>
      <w:r>
        <w:rPr>
          <w:rStyle w:val="CharSectno"/>
        </w:rPr>
        <w:lastRenderedPageBreak/>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200025649"/>
      <w:r>
        <w:rPr>
          <w:rStyle w:val="CharSectno"/>
        </w:rPr>
        <w:lastRenderedPageBreak/>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 xml:space="preserve">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w:t>
      </w:r>
      <w:r>
        <w:lastRenderedPageBreak/>
        <w:t>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200025650"/>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lastRenderedPageBreak/>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200025651"/>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00025652"/>
      <w:r>
        <w:rPr>
          <w:rStyle w:val="CharSectno"/>
        </w:rPr>
        <w:lastRenderedPageBreak/>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200025653"/>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00025654"/>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00025655"/>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lastRenderedPageBreak/>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lastRenderedPageBreak/>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lastRenderedPageBreak/>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lastRenderedPageBreak/>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200025656"/>
      <w:r>
        <w:rPr>
          <w:rStyle w:val="CharSectno"/>
        </w:rPr>
        <w:t>9AB</w:t>
      </w:r>
      <w:r>
        <w:t>.</w:t>
      </w:r>
      <w:r>
        <w:tab/>
        <w:t xml:space="preserve">Kind of extended trading permit prescribed </w:t>
      </w:r>
      <w:r>
        <w:rPr>
          <w:snapToGrid w:val="0"/>
        </w:rPr>
        <w:t>(Act s.</w:t>
      </w:r>
      <w:r>
        <w:t> 25(5a))</w:t>
      </w:r>
      <w:bookmarkEnd w:id="3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lastRenderedPageBreak/>
        <w:tab/>
        <w:t>[Regulation 9AB inserted: Gazette 1 May 2007 p. 1871.]</w:t>
      </w:r>
    </w:p>
    <w:p>
      <w:pPr>
        <w:pStyle w:val="Heading5"/>
        <w:rPr>
          <w:snapToGrid w:val="0"/>
        </w:rPr>
      </w:pPr>
      <w:bookmarkStart w:id="36" w:name="_Toc200025657"/>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00025658"/>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8" w:name="_Toc200025659"/>
      <w:r>
        <w:rPr>
          <w:rStyle w:val="CharSectno"/>
        </w:rPr>
        <w:t>9D</w:t>
      </w:r>
      <w:r>
        <w:t>.</w:t>
      </w:r>
      <w:r>
        <w:tab/>
      </w:r>
      <w:r>
        <w:rPr>
          <w:snapToGrid w:val="0"/>
        </w:rPr>
        <w:t>Act s.</w:t>
      </w:r>
      <w:r>
        <w:t> 33(6b) modified as to occasional licences</w:t>
      </w:r>
      <w:bookmarkEnd w:id="38"/>
    </w:p>
    <w:p>
      <w:pPr>
        <w:pStyle w:val="Subsection"/>
      </w:pPr>
      <w:r>
        <w:tab/>
        <w:t>(1)</w:t>
      </w:r>
      <w:r>
        <w:tab/>
        <w:t xml:space="preserve">For the purposes of a determination under section 33(6) in respect of an application for an occasional licence where the </w:t>
      </w:r>
      <w:r>
        <w:lastRenderedPageBreak/>
        <w:t>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00025660"/>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00025661"/>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1" w:name="_Toc200025662"/>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lastRenderedPageBreak/>
        <w:t>[</w:t>
      </w:r>
      <w:r>
        <w:rPr>
          <w:b/>
        </w:rPr>
        <w:t>9G.</w:t>
      </w:r>
      <w:r>
        <w:rPr>
          <w:b/>
        </w:rPr>
        <w:tab/>
      </w:r>
      <w:r>
        <w:t>Deleted: Gazette 2 Oct 2018 p. 3800.]</w:t>
      </w:r>
    </w:p>
    <w:p>
      <w:pPr>
        <w:pStyle w:val="Heading5"/>
        <w:spacing w:before="240"/>
        <w:rPr>
          <w:snapToGrid w:val="0"/>
        </w:rPr>
      </w:pPr>
      <w:bookmarkStart w:id="42" w:name="_Toc200025663"/>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00025664"/>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 xml:space="preserve">If the holder of a producer’s licence produces wine by blending, it is a condition of that licence under section 55(2) that at least 50% of the wine produced is fermented by or under the </w:t>
      </w:r>
      <w:r>
        <w:rPr>
          <w:snapToGrid w:val="0"/>
        </w:rPr>
        <w:lastRenderedPageBreak/>
        <w:t>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00025665"/>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200025666"/>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lastRenderedPageBreak/>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lastRenderedPageBreak/>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46" w:name="_Toc200025667"/>
      <w:r>
        <w:rPr>
          <w:rStyle w:val="CharSectno"/>
        </w:rPr>
        <w:lastRenderedPageBreak/>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lastRenderedPageBreak/>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lastRenderedPageBreak/>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200025668"/>
      <w:r>
        <w:rPr>
          <w:rStyle w:val="CharSectno"/>
        </w:rPr>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200025669"/>
      <w:r>
        <w:rPr>
          <w:rStyle w:val="CharSectno"/>
        </w:rPr>
        <w:lastRenderedPageBreak/>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200025670"/>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200025671"/>
      <w:r>
        <w:rPr>
          <w:rStyle w:val="CharSectno"/>
        </w:rPr>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200025672"/>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lastRenderedPageBreak/>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200025673"/>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200025674"/>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lastRenderedPageBreak/>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200025675"/>
      <w:r>
        <w:rPr>
          <w:rStyle w:val="CharSectno"/>
        </w:rPr>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lastRenderedPageBreak/>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200025676"/>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200025677"/>
      <w:r>
        <w:rPr>
          <w:rStyle w:val="CharSectno"/>
        </w:rPr>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lastRenderedPageBreak/>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200025678"/>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200025679"/>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lastRenderedPageBreak/>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200025680"/>
      <w:r>
        <w:rPr>
          <w:rStyle w:val="CharSectno"/>
        </w:rPr>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200025681"/>
      <w:r>
        <w:rPr>
          <w:rStyle w:val="CharSectno"/>
        </w:rPr>
        <w:lastRenderedPageBreak/>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200025682"/>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lastRenderedPageBreak/>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200025683"/>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lastRenderedPageBreak/>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200025684"/>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200025685"/>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lastRenderedPageBreak/>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 xml:space="preserve">mixed spirits) with an alcohol content </w:t>
            </w:r>
            <w:r>
              <w:lastRenderedPageBreak/>
              <w:t>greater than 2.7% and up to and including 7%</w:t>
            </w:r>
          </w:p>
        </w:tc>
        <w:tc>
          <w:tcPr>
            <w:tcW w:w="1794" w:type="dxa"/>
            <w:noWrap/>
            <w:vAlign w:val="bottom"/>
          </w:tcPr>
          <w:p>
            <w:pPr>
              <w:pStyle w:val="TableNAm"/>
              <w:tabs>
                <w:tab w:val="clear" w:pos="567"/>
              </w:tabs>
              <w:ind w:right="379"/>
              <w:jc w:val="right"/>
            </w:pPr>
            <w:r>
              <w:lastRenderedPageBreak/>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200025686"/>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lastRenderedPageBreak/>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200025687"/>
      <w:r>
        <w:rPr>
          <w:rStyle w:val="CharSectno"/>
        </w:rPr>
        <w:lastRenderedPageBreak/>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7" w:name="_Toc200025688"/>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200025689"/>
      <w:r>
        <w:rPr>
          <w:rStyle w:val="CharSectno"/>
        </w:rPr>
        <w:lastRenderedPageBreak/>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200025690"/>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200025691"/>
      <w:r>
        <w:rPr>
          <w:rStyle w:val="CharSectno"/>
        </w:rPr>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lastRenderedPageBreak/>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200025692"/>
      <w:r>
        <w:rPr>
          <w:rStyle w:val="CharSectno"/>
        </w:rPr>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lastRenderedPageBreak/>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200025693"/>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lastRenderedPageBreak/>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200025694"/>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lastRenderedPageBreak/>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200025695"/>
      <w:r>
        <w:rPr>
          <w:rStyle w:val="CharSectno"/>
        </w:rPr>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200025696"/>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200025697"/>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lastRenderedPageBreak/>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200025698"/>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lastRenderedPageBreak/>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200025699"/>
      <w:r>
        <w:rPr>
          <w:rStyle w:val="CharSectno"/>
        </w:rPr>
        <w:t>18EB</w:t>
      </w:r>
      <w:r>
        <w:t>.</w:t>
      </w:r>
      <w:r>
        <w:tab/>
        <w:t>Incidents and information prescribed for register (Act s. 116A)</w:t>
      </w:r>
      <w:bookmarkEnd w:id="78"/>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lastRenderedPageBreak/>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9" w:name="_Toc200025700"/>
      <w:r>
        <w:rPr>
          <w:rStyle w:val="CharSectno"/>
        </w:rPr>
        <w:t>18EC</w:t>
      </w:r>
      <w:r>
        <w:t>.</w:t>
      </w:r>
      <w:r>
        <w:tab/>
        <w:t>Prescribed incidents involving physical force</w:t>
      </w:r>
      <w:bookmarkEnd w:id="79"/>
    </w:p>
    <w:p>
      <w:pPr>
        <w:pStyle w:val="Subsection"/>
      </w:pPr>
      <w:r>
        <w:tab/>
        <w:t>(1)</w:t>
      </w:r>
      <w:r>
        <w:tab/>
        <w:t xml:space="preserve">This regulation applies to a prescribed incident that takes place at licensed premises, in the course of or in consequence of which a person is physically restrained, physically removed </w:t>
      </w:r>
      <w:r>
        <w:lastRenderedPageBreak/>
        <w:t>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lastRenderedPageBreak/>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0" w:name="_Toc200025701"/>
      <w:r>
        <w:rPr>
          <w:rStyle w:val="CharSectno"/>
        </w:rPr>
        <w:t>18F</w:t>
      </w:r>
      <w:r>
        <w:t>.</w:t>
      </w:r>
      <w:r>
        <w:tab/>
        <w:t>Training courses prescribed (Act s. 121(11)(d))</w:t>
      </w:r>
      <w:bookmarkEnd w:id="8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1" w:name="_Toc200025702"/>
      <w:r>
        <w:rPr>
          <w:rStyle w:val="CharSectno"/>
        </w:rPr>
        <w:t>18G</w:t>
      </w:r>
      <w:r>
        <w:t>.</w:t>
      </w:r>
      <w:r>
        <w:tab/>
        <w:t>Confiscated document, how to be dealt with (Act s. 126(2b))</w:t>
      </w:r>
      <w:bookmarkEnd w:id="8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2" w:name="_Toc200025703"/>
      <w:r>
        <w:rPr>
          <w:rStyle w:val="CharSectno"/>
        </w:rPr>
        <w:lastRenderedPageBreak/>
        <w:t>18H</w:t>
      </w:r>
      <w:r>
        <w:t>.</w:t>
      </w:r>
      <w:r>
        <w:tab/>
        <w:t>Provisions prescribed (Act s. 126E(4))</w:t>
      </w:r>
      <w:bookmarkEnd w:id="82"/>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3" w:name="_Toc200025704"/>
      <w:r>
        <w:rPr>
          <w:rStyle w:val="CharSectno"/>
        </w:rPr>
        <w:t>19</w:t>
      </w:r>
      <w:r>
        <w:rPr>
          <w:snapToGrid w:val="0"/>
        </w:rPr>
        <w:t>.</w:t>
      </w:r>
      <w:r>
        <w:rPr>
          <w:snapToGrid w:val="0"/>
        </w:rPr>
        <w:tab/>
        <w:t>Subsidy, application for</w:t>
      </w:r>
      <w:bookmarkEnd w:id="8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4" w:name="_Toc20002570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84"/>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5" w:name="_Toc200025706"/>
      <w:r>
        <w:rPr>
          <w:rStyle w:val="CharSectno"/>
        </w:rPr>
        <w:lastRenderedPageBreak/>
        <w:t>21</w:t>
      </w:r>
      <w:r>
        <w:t>.</w:t>
      </w:r>
      <w:r>
        <w:tab/>
        <w:t>Wholesaler, subsidy for (Act s. 130)</w:t>
      </w:r>
      <w:bookmarkEnd w:id="85"/>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6" w:name="_Toc200025707"/>
      <w:r>
        <w:rPr>
          <w:rStyle w:val="CharSectno"/>
        </w:rPr>
        <w:lastRenderedPageBreak/>
        <w:t>21A</w:t>
      </w:r>
      <w:r>
        <w:t>.</w:t>
      </w:r>
      <w:r>
        <w:tab/>
        <w:t>Wine producer, subsidy for (Act s. 130)</w:t>
      </w:r>
      <w:bookmarkEnd w:id="86"/>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o:ole="">
            <v:imagedata r:id="rId21" o:title=""/>
          </v:shape>
          <o:OLEObject Type="Embed" ProgID="Equation.3" ShapeID="_x0000_i1025" DrawAspect="Content" ObjectID="_1810638390"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lastRenderedPageBreak/>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7" w:name="_Toc200025708"/>
      <w:r>
        <w:rPr>
          <w:rStyle w:val="CharSectno"/>
        </w:rPr>
        <w:t>21AC</w:t>
      </w:r>
      <w:r>
        <w:rPr>
          <w:snapToGrid w:val="0"/>
        </w:rPr>
        <w:t>.</w:t>
      </w:r>
      <w:r>
        <w:rPr>
          <w:snapToGrid w:val="0"/>
        </w:rPr>
        <w:tab/>
        <w:t>Subsidy payable once in respect of sale of liquor</w:t>
      </w:r>
      <w:bookmarkEnd w:id="8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8" w:name="_Toc200025709"/>
      <w:r>
        <w:rPr>
          <w:rStyle w:val="CharSectno"/>
        </w:rPr>
        <w:t>21B</w:t>
      </w:r>
      <w:r>
        <w:rPr>
          <w:snapToGrid w:val="0"/>
        </w:rPr>
        <w:t>.</w:t>
      </w:r>
      <w:r>
        <w:rPr>
          <w:snapToGrid w:val="0"/>
        </w:rPr>
        <w:tab/>
        <w:t xml:space="preserve">Subsidy, conditions imposed by Director as to </w:t>
      </w:r>
      <w:r>
        <w:t>(Act s. 130(2))</w:t>
      </w:r>
      <w:bookmarkEnd w:id="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9" w:name="_Toc200025710"/>
      <w:r>
        <w:rPr>
          <w:rStyle w:val="CharSectno"/>
        </w:rPr>
        <w:t>21C</w:t>
      </w:r>
      <w:r>
        <w:rPr>
          <w:snapToGrid w:val="0"/>
        </w:rPr>
        <w:t>.</w:t>
      </w:r>
      <w:r>
        <w:rPr>
          <w:snapToGrid w:val="0"/>
        </w:rPr>
        <w:tab/>
        <w:t>Licensees prescribed </w:t>
      </w:r>
      <w:r>
        <w:t>(Act s. </w:t>
      </w:r>
      <w:r>
        <w:rPr>
          <w:snapToGrid w:val="0"/>
        </w:rPr>
        <w:t>145(1))</w:t>
      </w:r>
      <w:bookmarkEnd w:id="8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0" w:name="_Toc200025711"/>
      <w:r>
        <w:rPr>
          <w:rStyle w:val="CharSectno"/>
        </w:rPr>
        <w:lastRenderedPageBreak/>
        <w:t>22</w:t>
      </w:r>
      <w:r>
        <w:rPr>
          <w:snapToGrid w:val="0"/>
        </w:rPr>
        <w:t>.</w:t>
      </w:r>
      <w:r>
        <w:rPr>
          <w:snapToGrid w:val="0"/>
        </w:rPr>
        <w:tab/>
        <w:t xml:space="preserve">Records prescribed etc. </w:t>
      </w:r>
      <w:r>
        <w:t>(Act s. </w:t>
      </w:r>
      <w:r>
        <w:rPr>
          <w:snapToGrid w:val="0"/>
        </w:rPr>
        <w:t>145)</w:t>
      </w:r>
      <w:bookmarkEnd w:id="9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lastRenderedPageBreak/>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 xml:space="preserve">in the case of transactions involving the sale or other disposal of liquor by the holder of a wholesaler’s licence, special facility licence or a producer’s licence </w:t>
      </w:r>
      <w:r>
        <w:rPr>
          <w:snapToGrid w:val="0"/>
        </w:rPr>
        <w:lastRenderedPageBreak/>
        <w:t>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1" w:name="_Toc200025712"/>
      <w:r>
        <w:rPr>
          <w:rStyle w:val="CharSectno"/>
        </w:rPr>
        <w:t>23</w:t>
      </w:r>
      <w:r>
        <w:rPr>
          <w:snapToGrid w:val="0"/>
        </w:rPr>
        <w:t>.</w:t>
      </w:r>
      <w:r>
        <w:rPr>
          <w:snapToGrid w:val="0"/>
        </w:rPr>
        <w:tab/>
        <w:t xml:space="preserve">Returns, verification and lodgment of </w:t>
      </w:r>
      <w:r>
        <w:t>(Act s. 146)</w:t>
      </w:r>
      <w:bookmarkEnd w:id="9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lastRenderedPageBreak/>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2" w:name="_Toc200025713"/>
      <w:r>
        <w:rPr>
          <w:rStyle w:val="CharSectno"/>
        </w:rPr>
        <w:t>24</w:t>
      </w:r>
      <w:r>
        <w:rPr>
          <w:snapToGrid w:val="0"/>
        </w:rPr>
        <w:t>.</w:t>
      </w:r>
      <w:r>
        <w:rPr>
          <w:snapToGrid w:val="0"/>
        </w:rPr>
        <w:tab/>
        <w:t xml:space="preserve">Return of information required etc. </w:t>
      </w:r>
      <w:r>
        <w:t>(Act s. 145)</w:t>
      </w:r>
      <w:bookmarkEnd w:id="9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 xml:space="preserve">where the licensee is the holder of a producer’s licence, a special facility licence or a wholesaler’s licence, the </w:t>
      </w:r>
      <w:r>
        <w:rPr>
          <w:snapToGrid w:val="0"/>
        </w:rPr>
        <w:lastRenderedPageBreak/>
        <w:t>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lastRenderedPageBreak/>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3" w:name="_Toc200025714"/>
      <w:r>
        <w:rPr>
          <w:rStyle w:val="CharSectno"/>
        </w:rPr>
        <w:t>24A</w:t>
      </w:r>
      <w:r>
        <w:t>.</w:t>
      </w:r>
      <w:r>
        <w:tab/>
        <w:t>Electronic means of service of documents under Part 5AA of Act (Act s. 152NZQ(4)(c))</w:t>
      </w:r>
      <w:bookmarkEnd w:id="93"/>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4" w:name="_Toc200025715"/>
      <w:r>
        <w:rPr>
          <w:rStyle w:val="CharSectno"/>
        </w:rPr>
        <w:t>24B</w:t>
      </w:r>
      <w:r>
        <w:t>.</w:t>
      </w:r>
      <w:r>
        <w:tab/>
        <w:t>Consent to service of documents under Part 5AA of Act (Act s. 152NZQ(5))</w:t>
      </w:r>
      <w:bookmarkEnd w:id="94"/>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lastRenderedPageBreak/>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5" w:name="_Toc200025716"/>
      <w:r>
        <w:rPr>
          <w:rStyle w:val="CharSectno"/>
        </w:rPr>
        <w:t>24C</w:t>
      </w:r>
      <w:r>
        <w:t>.</w:t>
      </w:r>
      <w:r>
        <w:tab/>
        <w:t>Time when documents under Part 5AA of Act are served (Act s. 152NZR(6))</w:t>
      </w:r>
      <w:bookmarkEnd w:id="95"/>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 xml:space="preserve">Despite subregulation (1), the document is taken not to be served if the sender receives a notification that delivery has </w:t>
      </w:r>
      <w:r>
        <w:lastRenderedPageBreak/>
        <w:t>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6" w:name="_Toc200025717"/>
      <w:r>
        <w:rPr>
          <w:rStyle w:val="CharSectno"/>
        </w:rPr>
        <w:t>25A</w:t>
      </w:r>
      <w:r>
        <w:t>.</w:t>
      </w:r>
      <w:r>
        <w:tab/>
        <w:t>Class of persons prescribed (Act s. 152P(4)(b))</w:t>
      </w:r>
      <w:bookmarkEnd w:id="9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97" w:name="_Toc200025718"/>
      <w:r>
        <w:rPr>
          <w:rStyle w:val="CharSectno"/>
        </w:rPr>
        <w:t>25</w:t>
      </w:r>
      <w:r>
        <w:rPr>
          <w:snapToGrid w:val="0"/>
        </w:rPr>
        <w:t>.</w:t>
      </w:r>
      <w:r>
        <w:rPr>
          <w:snapToGrid w:val="0"/>
        </w:rPr>
        <w:tab/>
        <w:t>Money payable under Act, how payable</w:t>
      </w:r>
      <w:bookmarkEnd w:id="9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lastRenderedPageBreak/>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8" w:name="_Toc200025719"/>
      <w:r>
        <w:rPr>
          <w:rStyle w:val="CharSectno"/>
        </w:rPr>
        <w:t>26</w:t>
      </w:r>
      <w:r>
        <w:rPr>
          <w:snapToGrid w:val="0"/>
        </w:rPr>
        <w:t>.</w:t>
      </w:r>
      <w:r>
        <w:rPr>
          <w:snapToGrid w:val="0"/>
        </w:rPr>
        <w:tab/>
        <w:t>Fees generally (Sch. 3)</w:t>
      </w:r>
      <w:bookmarkEnd w:id="9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 xml:space="preserve">Where a licensee has not paid a licence fee payable under subregulation (1a) by 15 January in any year, the Director may serve on the licensee a notice requiring payment of the fee, and any penalty under subregulation (1b), within 7 days after service </w:t>
      </w:r>
      <w:r>
        <w:rPr>
          <w:snapToGrid w:val="0"/>
        </w:rPr>
        <w:lastRenderedPageBreak/>
        <w:t>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w:t>
      </w:r>
    </w:p>
    <w:p>
      <w:pPr>
        <w:pStyle w:val="Heading5"/>
      </w:pPr>
      <w:bookmarkStart w:id="99" w:name="_Toc200025720"/>
      <w:r>
        <w:rPr>
          <w:rStyle w:val="CharSectno"/>
        </w:rPr>
        <w:t>27A</w:t>
      </w:r>
      <w:r>
        <w:t>.</w:t>
      </w:r>
      <w:r>
        <w:tab/>
        <w:t>Reduction in licence fee for new licences</w:t>
      </w:r>
      <w:bookmarkEnd w:id="99"/>
    </w:p>
    <w:p>
      <w:pPr>
        <w:pStyle w:val="Subsection"/>
      </w:pPr>
      <w:r>
        <w:tab/>
      </w:r>
      <w:r>
        <w:tab/>
        <w:t xml:space="preserve">If the licence fee specified in items 4 or 5 of Schedule 3 is to be paid for a new licence that is to come into force on or after </w:t>
      </w:r>
      <w:r>
        <w:lastRenderedPageBreak/>
        <w:t>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0" w:name="_Toc200025721"/>
      <w:r>
        <w:rPr>
          <w:rStyle w:val="CharSectno"/>
        </w:rPr>
        <w:t>27</w:t>
      </w:r>
      <w:r>
        <w:rPr>
          <w:snapToGrid w:val="0"/>
        </w:rPr>
        <w:t>.</w:t>
      </w:r>
      <w:r>
        <w:rPr>
          <w:snapToGrid w:val="0"/>
        </w:rPr>
        <w:tab/>
      </w:r>
      <w:r>
        <w:t>Prescribed offences for infringement notices (Act s. 167(2))</w:t>
      </w:r>
      <w:bookmarkEnd w:id="10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lastRenderedPageBreak/>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lastRenderedPageBreak/>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lastRenderedPageBreak/>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lastRenderedPageBreak/>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lastRenderedPageBreak/>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lastRenderedPageBreak/>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lastRenderedPageBreak/>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w:t>
      </w:r>
    </w:p>
    <w:p>
      <w:pPr>
        <w:pStyle w:val="Heading5"/>
      </w:pPr>
      <w:bookmarkStart w:id="101" w:name="_Toc200025722"/>
      <w:r>
        <w:rPr>
          <w:rStyle w:val="CharSectno"/>
        </w:rPr>
        <w:t>28</w:t>
      </w:r>
      <w:r>
        <w:t>.</w:t>
      </w:r>
      <w:r>
        <w:tab/>
        <w:t>Protected entertainment precincts (Act s. 175(1E))</w:t>
      </w:r>
      <w:bookmarkEnd w:id="101"/>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lastRenderedPageBreak/>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2" w:name="_Toc200025723"/>
      <w:r>
        <w:rPr>
          <w:rStyle w:val="CharSchNo"/>
        </w:rPr>
        <w:lastRenderedPageBreak/>
        <w:t>Schedule 1</w:t>
      </w:r>
      <w:bookmarkEnd w:id="102"/>
    </w:p>
    <w:p>
      <w:pPr>
        <w:pStyle w:val="yShoulderClause"/>
        <w:spacing w:before="60"/>
        <w:rPr>
          <w:snapToGrid w:val="0"/>
        </w:rPr>
      </w:pPr>
      <w:r>
        <w:rPr>
          <w:snapToGrid w:val="0"/>
        </w:rPr>
        <w:t>[Regulation 3]</w:t>
      </w:r>
    </w:p>
    <w:p>
      <w:pPr>
        <w:pStyle w:val="yHeading2"/>
        <w:outlineLvl w:val="9"/>
      </w:pPr>
      <w:bookmarkStart w:id="103" w:name="_Toc200025724"/>
      <w:r>
        <w:rPr>
          <w:rStyle w:val="CharSchText"/>
        </w:rPr>
        <w:t>Forms</w:t>
      </w:r>
      <w:bookmarkEnd w:id="103"/>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lastRenderedPageBreak/>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04" w:name="_Toc200025725"/>
      <w:r>
        <w:rPr>
          <w:rStyle w:val="CharSchNo"/>
        </w:rPr>
        <w:lastRenderedPageBreak/>
        <w:t>Schedule 2</w:t>
      </w:r>
      <w:bookmarkEnd w:id="104"/>
    </w:p>
    <w:p>
      <w:pPr>
        <w:pStyle w:val="yShoulderClause"/>
        <w:spacing w:before="60"/>
        <w:rPr>
          <w:snapToGrid w:val="0"/>
        </w:rPr>
      </w:pPr>
      <w:r>
        <w:rPr>
          <w:snapToGrid w:val="0"/>
        </w:rPr>
        <w:t>[Regulation 13]</w:t>
      </w:r>
    </w:p>
    <w:p>
      <w:pPr>
        <w:pStyle w:val="yHeading2"/>
        <w:spacing w:before="120" w:after="80"/>
      </w:pPr>
      <w:bookmarkStart w:id="105" w:name="_Toc200025726"/>
      <w:r>
        <w:rPr>
          <w:rStyle w:val="CharSchText"/>
        </w:rPr>
        <w:t>Details of applicant</w:t>
      </w:r>
      <w:bookmarkEnd w:id="10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6" w:name="_Toc200025727"/>
      <w:r>
        <w:rPr>
          <w:rStyle w:val="CharSchNo"/>
        </w:rPr>
        <w:lastRenderedPageBreak/>
        <w:t>Schedule 3</w:t>
      </w:r>
      <w:r>
        <w:t> — </w:t>
      </w:r>
      <w:r>
        <w:rPr>
          <w:rStyle w:val="CharSchText"/>
        </w:rPr>
        <w:t>Fees</w:t>
      </w:r>
      <w:bookmarkEnd w:id="106"/>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lastRenderedPageBreak/>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07" w:name="_Toc200025728"/>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07"/>
    </w:p>
    <w:p>
      <w:pPr>
        <w:pStyle w:val="yShoulderClause"/>
      </w:pPr>
      <w:r>
        <w:t>[r. 28(3)]</w:t>
      </w:r>
    </w:p>
    <w:p>
      <w:pPr>
        <w:pStyle w:val="yHeading5"/>
      </w:pPr>
      <w:bookmarkStart w:id="108" w:name="_Toc200025729"/>
      <w:r>
        <w:rPr>
          <w:rStyle w:val="CharSClsNo"/>
        </w:rPr>
        <w:t>1</w:t>
      </w:r>
      <w:r>
        <w:t>.</w:t>
      </w:r>
      <w:r>
        <w:tab/>
        <w:t>Fremantle</w:t>
      </w:r>
      <w:bookmarkEnd w:id="108"/>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09" w:name="_Toc200025730"/>
      <w:r>
        <w:rPr>
          <w:rStyle w:val="CharSClsNo"/>
        </w:rPr>
        <w:lastRenderedPageBreak/>
        <w:t>2</w:t>
      </w:r>
      <w:r>
        <w:t>.</w:t>
      </w:r>
      <w:r>
        <w:tab/>
        <w:t>Hillarys</w:t>
      </w:r>
      <w:bookmarkEnd w:id="109"/>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10" w:name="_Toc200025731"/>
      <w:r>
        <w:rPr>
          <w:rStyle w:val="CharSClsNo"/>
        </w:rPr>
        <w:lastRenderedPageBreak/>
        <w:t>3</w:t>
      </w:r>
      <w:r>
        <w:t>.</w:t>
      </w:r>
      <w:r>
        <w:tab/>
        <w:t>Mandurah</w:t>
      </w:r>
      <w:bookmarkEnd w:id="110"/>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11" w:name="_Toc200025732"/>
      <w:r>
        <w:rPr>
          <w:rStyle w:val="CharSClsNo"/>
        </w:rPr>
        <w:lastRenderedPageBreak/>
        <w:t>4</w:t>
      </w:r>
      <w:r>
        <w:t>.</w:t>
      </w:r>
      <w:r>
        <w:tab/>
        <w:t>Perth and Northbridge</w:t>
      </w:r>
      <w:bookmarkEnd w:id="111"/>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12" w:name="_Toc200025733"/>
      <w:r>
        <w:rPr>
          <w:rStyle w:val="CharSClsNo"/>
        </w:rPr>
        <w:lastRenderedPageBreak/>
        <w:t>5</w:t>
      </w:r>
      <w:r>
        <w:t>.</w:t>
      </w:r>
      <w:r>
        <w:tab/>
        <w:t>Scarborough</w:t>
      </w:r>
      <w:bookmarkEnd w:id="112"/>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13" w:name="_Toc200025734"/>
      <w:r>
        <w:lastRenderedPageBreak/>
        <w:t>Notes</w:t>
      </w:r>
      <w:bookmarkEnd w:id="113"/>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4" w:name="_Toc200025735"/>
      <w:r>
        <w:t>Compilation table</w:t>
      </w:r>
      <w:bookmarkEnd w:id="11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single" w:sz="4" w:space="0" w:color="auto"/>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single" w:sz="4" w:space="0" w:color="auto"/>
            </w:tcBorders>
            <w:shd w:val="clear" w:color="auto" w:fill="auto"/>
          </w:tcPr>
          <w:p>
            <w:pPr>
              <w:pStyle w:val="nTable"/>
              <w:spacing w:after="40"/>
            </w:pPr>
            <w:r>
              <w:t>SL 2023/174 1 Nov 2023</w:t>
            </w:r>
          </w:p>
        </w:tc>
        <w:tc>
          <w:tcPr>
            <w:tcW w:w="2693" w:type="dxa"/>
            <w:tcBorders>
              <w:top w:val="nil"/>
              <w:bottom w:val="single" w:sz="4" w:space="0" w:color="auto"/>
            </w:tcBorders>
            <w:shd w:val="clear" w:color="auto" w:fill="auto"/>
          </w:tcPr>
          <w:p>
            <w:pPr>
              <w:pStyle w:val="nTable"/>
              <w:spacing w:after="40"/>
            </w:pPr>
            <w:r>
              <w:t>2 Nov 2023 (see r. 2(b))</w:t>
            </w:r>
          </w:p>
        </w:tc>
      </w:tr>
    </w:tbl>
    <w:p>
      <w:pPr>
        <w:pStyle w:val="nHeading3"/>
      </w:pPr>
      <w:bookmarkStart w:id="115" w:name="_Toc200025736"/>
      <w:r>
        <w:t>Uncommenced provisions table</w:t>
      </w:r>
      <w:bookmarkEnd w:id="1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bCs/>
                <w:i/>
                <w:noProof/>
              </w:rPr>
              <w:t>Racing</w:t>
            </w:r>
            <w:r>
              <w:rPr>
                <w:i/>
                <w:noProof/>
              </w:rPr>
              <w:t xml:space="preserve"> and Gaming Regulations Amendment (Fees and Charges) Regulations 2023 </w:t>
            </w:r>
            <w:r>
              <w:rPr>
                <w:noProof/>
              </w:rPr>
              <w:t>Pt. 6</w:t>
            </w:r>
          </w:p>
        </w:tc>
        <w:tc>
          <w:tcPr>
            <w:tcW w:w="1276" w:type="dxa"/>
          </w:tcPr>
          <w:p>
            <w:pPr>
              <w:pStyle w:val="nTable"/>
              <w:spacing w:after="40"/>
            </w:pPr>
            <w:r>
              <w:t>SL 2023/156 18 Oct 2023</w:t>
            </w:r>
          </w:p>
        </w:tc>
        <w:tc>
          <w:tcPr>
            <w:tcW w:w="2693" w:type="dxa"/>
          </w:tcPr>
          <w:p>
            <w:pPr>
              <w:pStyle w:val="nTable"/>
              <w:spacing w:after="40"/>
            </w:pPr>
            <w:r>
              <w:t>1 Jan 2024 (see r. 2(b))</w:t>
            </w:r>
          </w:p>
        </w:tc>
      </w:tr>
    </w:tbl>
    <w:p>
      <w:pPr>
        <w:pStyle w:val="nHeading3"/>
        <w:keepLines/>
        <w:widowControl w:val="0"/>
      </w:pPr>
      <w:bookmarkStart w:id="116" w:name="_Toc200025737"/>
      <w:r>
        <w:t>Other notes</w:t>
      </w:r>
      <w:bookmarkEnd w:id="116"/>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lastRenderedPageBreak/>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18" w:name="_Toc200025738"/>
      <w:r>
        <w:rPr>
          <w:sz w:val="28"/>
        </w:rPr>
        <w:lastRenderedPageBreak/>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Authority</w:t>
      </w:r>
      <w:r>
        <w:tab/>
        <w:t>28(1)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28(1)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t>manager’s approval</w:t>
      </w:r>
      <w:r>
        <w:tab/>
        <w:t>3A(1)</w:t>
      </w:r>
    </w:p>
    <w:p>
      <w:pPr>
        <w:pStyle w:val="DefinedTerms"/>
      </w:pPr>
      <w:r>
        <w:lastRenderedPageBreak/>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lastRenderedPageBreak/>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9" w:name="DefinedTerms"/>
    <w:bookmarkEnd w:id="11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4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332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28153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3325_GUID" w:val="aa30cb88-2019-48ac-bea1-58bc95ec02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4673"/>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31089</Words>
  <Characters>148607</Characters>
  <Application>Microsoft Office Word</Application>
  <DocSecurity>0</DocSecurity>
  <Lines>5124</Lines>
  <Paragraphs>3045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1989 - 14-ah0-01</dc:title>
  <dc:subject/>
  <dc:creator/>
  <cp:keywords/>
  <dc:description/>
  <cp:lastModifiedBy>Master Repository Process</cp:lastModifiedBy>
  <cp:revision>4</cp:revision>
  <cp:lastPrinted>2019-12-05T02:25:00Z</cp:lastPrinted>
  <dcterms:created xsi:type="dcterms:W3CDTF">2025-06-05T06:20:00Z</dcterms:created>
  <dcterms:modified xsi:type="dcterms:W3CDTF">2025-06-05T06:20:00Z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02 Nov 2023</vt:lpwstr>
  </property>
  <property fmtid="{D5CDD505-2E9C-101B-9397-08002B2CF9AE}" pid="8" name="Suffix">
    <vt:lpwstr>14-ah0-01</vt:lpwstr>
  </property>
  <property fmtid="{D5CDD505-2E9C-101B-9397-08002B2CF9AE}" pid="9" name="Official">
    <vt:lpwstr/>
  </property>
  <property fmtid="{D5CDD505-2E9C-101B-9397-08002B2CF9AE}" pid="10" name="CommencementDate">
    <vt:lpwstr>20231102</vt:lpwstr>
  </property>
  <property fmtid="{D5CDD505-2E9C-101B-9397-08002B2CF9AE}" pid="11" name="CommencementAsAt">
    <vt:filetime>2023-11-01T16:00:00Z</vt:filetime>
  </property>
  <property fmtid="{D5CDD505-2E9C-101B-9397-08002B2CF9AE}" pid="12" name="CommencementYear">
    <vt:lpwstr>2023</vt:lpwstr>
  </property>
</Properties>
</file>