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Children and Community Services Act 2004</w:t>
      </w:r>
      <w:r>
        <w:fldChar w:fldCharType="end"/>
      </w:r>
    </w:p>
    <w:p>
      <w:pPr>
        <w:pStyle w:val="NameofActRegPage1"/>
        <w:spacing w:before="1800" w:after="4200"/>
        <w:ind w:left="284" w:right="151"/>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ind w:left="284" w:right="284"/>
      </w:pPr>
      <w:r>
        <w:fldChar w:fldCharType="begin"/>
      </w:r>
      <w:r>
        <w:instrText xml:space="preserve"> STYLEREF "Name Of Act/Reg"</w:instrText>
      </w:r>
      <w:r>
        <w:fldChar w:fldCharType="separate"/>
      </w:r>
      <w:r>
        <w:rPr>
          <w:noProof/>
        </w:rPr>
        <w:t>Children and Community Services Regulations 2006</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_Toc154745646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_Toc154745647 \h </w:instrText>
      </w:r>
      <w:r>
        <w:fldChar w:fldCharType="separate"/>
      </w:r>
      <w:r>
        <w:t>1</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_Toc154745648 \h </w:instrText>
      </w:r>
      <w:r>
        <w:fldChar w:fldCharType="separate"/>
      </w:r>
      <w:r>
        <w:t>1</w:t>
      </w:r>
      <w:r>
        <w:fldChar w:fldCharType="end"/>
      </w:r>
    </w:p>
    <w:p>
      <w:pPr>
        <w:pStyle w:val="TOC2"/>
        <w:tabs>
          <w:tab w:val="right" w:leader="dot" w:pos="7077"/>
        </w:tabs>
        <w:rPr>
          <w:rFonts w:asciiTheme="minorHAnsi" w:eastAsiaTheme="minorEastAsia" w:hAnsiTheme="minorHAnsi" w:cstheme="minorBidi"/>
          <w:b w:val="0"/>
          <w:sz w:val="22"/>
          <w:szCs w:val="22"/>
        </w:rPr>
      </w:pPr>
      <w:r>
        <w:t>Part 2 — Children in the CEO’s care</w:t>
      </w:r>
    </w:p>
    <w:p>
      <w:pPr>
        <w:pStyle w:val="TOC8"/>
        <w:rPr>
          <w:rFonts w:asciiTheme="minorHAnsi" w:eastAsiaTheme="minorEastAsia" w:hAnsiTheme="minorHAnsi" w:cstheme="minorBidi"/>
          <w:szCs w:val="22"/>
        </w:rPr>
      </w:pPr>
      <w:r>
        <w:t>4.</w:t>
      </w:r>
      <w:r>
        <w:tab/>
        <w:t>Approval of carers (Act s. 79(2)(a)(i))</w:t>
      </w:r>
      <w:r>
        <w:tab/>
      </w:r>
      <w:r>
        <w:fldChar w:fldCharType="begin"/>
      </w:r>
      <w:r>
        <w:instrText xml:space="preserve"> PAGEREF _Toc154745650 \h </w:instrText>
      </w:r>
      <w:r>
        <w:fldChar w:fldCharType="separate"/>
      </w:r>
      <w:r>
        <w:t>2</w:t>
      </w:r>
      <w:r>
        <w:fldChar w:fldCharType="end"/>
      </w:r>
    </w:p>
    <w:p>
      <w:pPr>
        <w:pStyle w:val="TOC8"/>
        <w:rPr>
          <w:rFonts w:asciiTheme="minorHAnsi" w:eastAsiaTheme="minorEastAsia" w:hAnsiTheme="minorHAnsi" w:cstheme="minorBidi"/>
          <w:szCs w:val="22"/>
        </w:rPr>
      </w:pPr>
      <w:r>
        <w:t>4A.</w:t>
      </w:r>
      <w:r>
        <w:tab/>
        <w:t>Interim placement arrangements (Act s. 79(2)(a)(iv))</w:t>
      </w:r>
      <w:r>
        <w:tab/>
      </w:r>
      <w:r>
        <w:fldChar w:fldCharType="begin"/>
      </w:r>
      <w:r>
        <w:instrText xml:space="preserve"> PAGEREF _Toc154745651 \h </w:instrText>
      </w:r>
      <w:r>
        <w:fldChar w:fldCharType="separate"/>
      </w:r>
      <w:r>
        <w:t>3</w:t>
      </w:r>
      <w:r>
        <w:fldChar w:fldCharType="end"/>
      </w:r>
    </w:p>
    <w:p>
      <w:pPr>
        <w:pStyle w:val="TOC8"/>
        <w:rPr>
          <w:rFonts w:asciiTheme="minorHAnsi" w:eastAsiaTheme="minorEastAsia" w:hAnsiTheme="minorHAnsi" w:cstheme="minorBidi"/>
          <w:szCs w:val="22"/>
        </w:rPr>
      </w:pPr>
      <w:r>
        <w:t>4B.</w:t>
      </w:r>
      <w:r>
        <w:tab/>
        <w:t xml:space="preserve">Prescribed course (Act s. 124A </w:t>
      </w:r>
      <w:r>
        <w:rPr>
          <w:i/>
        </w:rPr>
        <w:t>teacher</w:t>
      </w:r>
      <w:r>
        <w:t>)</w:t>
      </w:r>
      <w:r>
        <w:tab/>
      </w:r>
      <w:r>
        <w:fldChar w:fldCharType="begin"/>
      </w:r>
      <w:r>
        <w:instrText xml:space="preserve"> PAGEREF _Toc154745652 \h </w:instrText>
      </w:r>
      <w:r>
        <w:fldChar w:fldCharType="separate"/>
      </w:r>
      <w:r>
        <w:t>4</w:t>
      </w:r>
      <w:r>
        <w:fldChar w:fldCharType="end"/>
      </w:r>
    </w:p>
    <w:p>
      <w:pPr>
        <w:pStyle w:val="TOC8"/>
        <w:rPr>
          <w:rFonts w:asciiTheme="minorHAnsi" w:eastAsiaTheme="minorEastAsia" w:hAnsiTheme="minorHAnsi" w:cstheme="minorBidi"/>
          <w:szCs w:val="22"/>
        </w:rPr>
      </w:pPr>
      <w:r>
        <w:t>5.</w:t>
      </w:r>
      <w:r>
        <w:tab/>
        <w:t>Records, prescribed information for (Act s. 128)</w:t>
      </w:r>
      <w:r>
        <w:tab/>
      </w:r>
      <w:r>
        <w:fldChar w:fldCharType="begin"/>
      </w:r>
      <w:r>
        <w:instrText xml:space="preserve"> PAGEREF _Toc154745653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3 — Restraint, search and seizure</w:t>
      </w:r>
    </w:p>
    <w:p>
      <w:pPr>
        <w:pStyle w:val="TOC8"/>
        <w:rPr>
          <w:rFonts w:asciiTheme="minorHAnsi" w:eastAsiaTheme="minorEastAsia" w:hAnsiTheme="minorHAnsi" w:cstheme="minorBidi"/>
          <w:szCs w:val="22"/>
        </w:rPr>
      </w:pPr>
      <w:r>
        <w:t>6.</w:t>
      </w:r>
      <w:r>
        <w:tab/>
        <w:t>Prescribed amount (Act s. 112 “disposable article”)</w:t>
      </w:r>
      <w:r>
        <w:tab/>
      </w:r>
      <w:r>
        <w:fldChar w:fldCharType="begin"/>
      </w:r>
      <w:r>
        <w:instrText xml:space="preserve"> PAGEREF _Toc154745655 \h </w:instrText>
      </w:r>
      <w:r>
        <w:fldChar w:fldCharType="separate"/>
      </w:r>
      <w:r>
        <w:t>7</w:t>
      </w:r>
      <w:r>
        <w:fldChar w:fldCharType="end"/>
      </w:r>
    </w:p>
    <w:p>
      <w:pPr>
        <w:pStyle w:val="TOC8"/>
        <w:rPr>
          <w:rFonts w:asciiTheme="minorHAnsi" w:eastAsiaTheme="minorEastAsia" w:hAnsiTheme="minorHAnsi" w:cstheme="minorBidi"/>
          <w:szCs w:val="22"/>
        </w:rPr>
      </w:pPr>
      <w:r>
        <w:t>7.</w:t>
      </w:r>
      <w:r>
        <w:tab/>
        <w:t>Restraint of child under Act s. 114, officer’s duties after</w:t>
      </w:r>
      <w:r>
        <w:tab/>
      </w:r>
      <w:r>
        <w:fldChar w:fldCharType="begin"/>
      </w:r>
      <w:r>
        <w:instrText xml:space="preserve"> PAGEREF _Toc154745656 \h </w:instrText>
      </w:r>
      <w:r>
        <w:fldChar w:fldCharType="separate"/>
      </w:r>
      <w:r>
        <w:t>7</w:t>
      </w:r>
      <w:r>
        <w:fldChar w:fldCharType="end"/>
      </w:r>
    </w:p>
    <w:p>
      <w:pPr>
        <w:pStyle w:val="TOC8"/>
        <w:rPr>
          <w:rFonts w:asciiTheme="minorHAnsi" w:eastAsiaTheme="minorEastAsia" w:hAnsiTheme="minorHAnsi" w:cstheme="minorBidi"/>
          <w:szCs w:val="22"/>
        </w:rPr>
      </w:pPr>
      <w:r>
        <w:t>8.</w:t>
      </w:r>
      <w:r>
        <w:tab/>
        <w:t>Articles seized under Act s. 116, dealing with</w:t>
      </w:r>
      <w:r>
        <w:tab/>
      </w:r>
      <w:r>
        <w:fldChar w:fldCharType="begin"/>
      </w:r>
      <w:r>
        <w:instrText xml:space="preserve"> PAGEREF _Toc154745657 \h </w:instrText>
      </w:r>
      <w:r>
        <w:fldChar w:fldCharType="separate"/>
      </w:r>
      <w:r>
        <w:t>7</w:t>
      </w:r>
      <w:r>
        <w:fldChar w:fldCharType="end"/>
      </w:r>
    </w:p>
    <w:p>
      <w:pPr>
        <w:pStyle w:val="TOC2"/>
        <w:tabs>
          <w:tab w:val="right" w:leader="dot" w:pos="7077"/>
        </w:tabs>
        <w:rPr>
          <w:rFonts w:asciiTheme="minorHAnsi" w:eastAsiaTheme="minorEastAsia" w:hAnsiTheme="minorHAnsi" w:cstheme="minorBidi"/>
          <w:b w:val="0"/>
          <w:sz w:val="22"/>
          <w:szCs w:val="22"/>
        </w:rPr>
      </w:pPr>
      <w:r>
        <w:t>Part 4AA</w:t>
      </w:r>
      <w:r>
        <w:rPr>
          <w:b w:val="0"/>
        </w:rPr>
        <w:t> </w:t>
      </w:r>
      <w:r>
        <w:t>—</w:t>
      </w:r>
      <w:r>
        <w:rPr>
          <w:b w:val="0"/>
        </w:rPr>
        <w:t> </w:t>
      </w:r>
      <w:r>
        <w:t>Warrants</w:t>
      </w:r>
    </w:p>
    <w:p>
      <w:pPr>
        <w:pStyle w:val="TOC8"/>
        <w:rPr>
          <w:rFonts w:asciiTheme="minorHAnsi" w:eastAsiaTheme="minorEastAsia" w:hAnsiTheme="minorHAnsi" w:cstheme="minorBidi"/>
          <w:szCs w:val="22"/>
        </w:rPr>
      </w:pPr>
      <w:r>
        <w:t>9AA.</w:t>
      </w:r>
      <w:r>
        <w:tab/>
        <w:t>Form of warrant (access) (Act s. 121(1))</w:t>
      </w:r>
      <w:r>
        <w:tab/>
      </w:r>
      <w:r>
        <w:fldChar w:fldCharType="begin"/>
      </w:r>
      <w:r>
        <w:instrText xml:space="preserve"> PAGEREF _Toc154745659 \h </w:instrText>
      </w:r>
      <w:r>
        <w:fldChar w:fldCharType="separate"/>
      </w:r>
      <w:r>
        <w:t>8</w:t>
      </w:r>
      <w:r>
        <w:fldChar w:fldCharType="end"/>
      </w:r>
    </w:p>
    <w:p>
      <w:pPr>
        <w:pStyle w:val="TOC8"/>
        <w:rPr>
          <w:rFonts w:asciiTheme="minorHAnsi" w:eastAsiaTheme="minorEastAsia" w:hAnsiTheme="minorHAnsi" w:cstheme="minorBidi"/>
          <w:szCs w:val="22"/>
        </w:rPr>
      </w:pPr>
      <w:r>
        <w:t>9AB.</w:t>
      </w:r>
      <w:r>
        <w:tab/>
        <w:t>Form of warrant (apprehension) (Act s. 122(1))</w:t>
      </w:r>
      <w:r>
        <w:tab/>
      </w:r>
      <w:r>
        <w:fldChar w:fldCharType="begin"/>
      </w:r>
      <w:r>
        <w:instrText xml:space="preserve"> PAGEREF _Toc154745660 \h </w:instrText>
      </w:r>
      <w:r>
        <w:fldChar w:fldCharType="separate"/>
      </w:r>
      <w:r>
        <w:t>8</w:t>
      </w:r>
      <w:r>
        <w:fldChar w:fldCharType="end"/>
      </w:r>
    </w:p>
    <w:p>
      <w:pPr>
        <w:pStyle w:val="TOC8"/>
        <w:rPr>
          <w:rFonts w:asciiTheme="minorHAnsi" w:eastAsiaTheme="minorEastAsia" w:hAnsiTheme="minorHAnsi" w:cstheme="minorBidi"/>
          <w:szCs w:val="22"/>
        </w:rPr>
      </w:pPr>
      <w:r>
        <w:t>9AC.</w:t>
      </w:r>
      <w:r>
        <w:tab/>
        <w:t>Form of warrant (provisional protection and care) (Act s. 123(1))</w:t>
      </w:r>
      <w:r>
        <w:tab/>
      </w:r>
      <w:r>
        <w:fldChar w:fldCharType="begin"/>
      </w:r>
      <w:r>
        <w:instrText xml:space="preserve"> PAGEREF _Toc154745661 \h </w:instrText>
      </w:r>
      <w:r>
        <w:fldChar w:fldCharType="separate"/>
      </w:r>
      <w:r>
        <w:t>8</w:t>
      </w:r>
      <w:r>
        <w:fldChar w:fldCharType="end"/>
      </w:r>
    </w:p>
    <w:p>
      <w:pPr>
        <w:pStyle w:val="TOC8"/>
        <w:rPr>
          <w:rFonts w:asciiTheme="minorHAnsi" w:eastAsiaTheme="minorEastAsia" w:hAnsiTheme="minorHAnsi" w:cstheme="minorBidi"/>
          <w:szCs w:val="22"/>
        </w:rPr>
      </w:pPr>
      <w:r>
        <w:t>9AD.</w:t>
      </w:r>
      <w:r>
        <w:tab/>
        <w:t>Information in application for entry warrant (Act s. 241L(2)(a))</w:t>
      </w:r>
      <w:r>
        <w:tab/>
      </w:r>
      <w:r>
        <w:fldChar w:fldCharType="begin"/>
      </w:r>
      <w:r>
        <w:instrText xml:space="preserve"> PAGEREF _Toc154745662 \h </w:instrText>
      </w:r>
      <w:r>
        <w:fldChar w:fldCharType="separate"/>
      </w:r>
      <w:r>
        <w:t>8</w:t>
      </w:r>
      <w:r>
        <w:fldChar w:fldCharType="end"/>
      </w:r>
    </w:p>
    <w:p>
      <w:pPr>
        <w:pStyle w:val="TOC8"/>
        <w:rPr>
          <w:rFonts w:asciiTheme="minorHAnsi" w:eastAsiaTheme="minorEastAsia" w:hAnsiTheme="minorHAnsi" w:cstheme="minorBidi"/>
          <w:szCs w:val="22"/>
        </w:rPr>
      </w:pPr>
      <w:r>
        <w:lastRenderedPageBreak/>
        <w:t>9AE.</w:t>
      </w:r>
      <w:r>
        <w:tab/>
        <w:t>Form of entry warrant (Act s. 241M(3))</w:t>
      </w:r>
      <w:r>
        <w:tab/>
      </w:r>
      <w:r>
        <w:fldChar w:fldCharType="begin"/>
      </w:r>
      <w:r>
        <w:instrText xml:space="preserve"> PAGEREF _Toc154745663 \h </w:instrText>
      </w:r>
      <w:r>
        <w:fldChar w:fldCharType="separate"/>
      </w:r>
      <w:r>
        <w:t>9</w:t>
      </w:r>
      <w:r>
        <w:fldChar w:fldCharType="end"/>
      </w:r>
    </w:p>
    <w:p>
      <w:pPr>
        <w:pStyle w:val="TOC2"/>
        <w:tabs>
          <w:tab w:val="right" w:leader="dot" w:pos="7077"/>
        </w:tabs>
        <w:rPr>
          <w:rFonts w:asciiTheme="minorHAnsi" w:eastAsiaTheme="minorEastAsia" w:hAnsiTheme="minorHAnsi" w:cstheme="minorBidi"/>
          <w:b w:val="0"/>
          <w:sz w:val="22"/>
          <w:szCs w:val="22"/>
        </w:rPr>
      </w:pPr>
      <w:r>
        <w:t>Part 4 — Pre</w:t>
      </w:r>
      <w:r>
        <w:noBreakHyphen/>
        <w:t>hearing conferences</w:t>
      </w:r>
    </w:p>
    <w:p>
      <w:pPr>
        <w:pStyle w:val="TOC8"/>
        <w:rPr>
          <w:rFonts w:asciiTheme="minorHAnsi" w:eastAsiaTheme="minorEastAsia" w:hAnsiTheme="minorHAnsi" w:cstheme="minorBidi"/>
          <w:szCs w:val="22"/>
        </w:rPr>
      </w:pPr>
      <w:r>
        <w:t>9.</w:t>
      </w:r>
      <w:r>
        <w:tab/>
        <w:t>Terms used</w:t>
      </w:r>
      <w:r>
        <w:tab/>
      </w:r>
      <w:r>
        <w:fldChar w:fldCharType="begin"/>
      </w:r>
      <w:r>
        <w:instrText xml:space="preserve"> PAGEREF _Toc154745665 \h </w:instrText>
      </w:r>
      <w:r>
        <w:fldChar w:fldCharType="separate"/>
      </w:r>
      <w:r>
        <w:t>10</w:t>
      </w:r>
      <w:r>
        <w:fldChar w:fldCharType="end"/>
      </w:r>
    </w:p>
    <w:p>
      <w:pPr>
        <w:pStyle w:val="TOC8"/>
        <w:rPr>
          <w:rFonts w:asciiTheme="minorHAnsi" w:eastAsiaTheme="minorEastAsia" w:hAnsiTheme="minorHAnsi" w:cstheme="minorBidi"/>
          <w:szCs w:val="22"/>
        </w:rPr>
      </w:pPr>
      <w:r>
        <w:t>10.</w:t>
      </w:r>
      <w:r>
        <w:tab/>
        <w:t>Convenors, appointment of (Act s. 136)</w:t>
      </w:r>
      <w:r>
        <w:tab/>
      </w:r>
      <w:r>
        <w:fldChar w:fldCharType="begin"/>
      </w:r>
      <w:r>
        <w:instrText xml:space="preserve"> PAGEREF _Toc154745666 \h </w:instrText>
      </w:r>
      <w:r>
        <w:fldChar w:fldCharType="separate"/>
      </w:r>
      <w:r>
        <w:t>10</w:t>
      </w:r>
      <w:r>
        <w:fldChar w:fldCharType="end"/>
      </w:r>
    </w:p>
    <w:p>
      <w:pPr>
        <w:pStyle w:val="TOC8"/>
        <w:rPr>
          <w:rFonts w:asciiTheme="minorHAnsi" w:eastAsiaTheme="minorEastAsia" w:hAnsiTheme="minorHAnsi" w:cstheme="minorBidi"/>
          <w:szCs w:val="22"/>
        </w:rPr>
      </w:pPr>
      <w:r>
        <w:t>11.</w:t>
      </w:r>
      <w:r>
        <w:tab/>
        <w:t>Terms and conditions of convenors’ appointments</w:t>
      </w:r>
      <w:r>
        <w:tab/>
      </w:r>
      <w:r>
        <w:fldChar w:fldCharType="begin"/>
      </w:r>
      <w:r>
        <w:instrText xml:space="preserve"> PAGEREF _Toc154745667 \h </w:instrText>
      </w:r>
      <w:r>
        <w:fldChar w:fldCharType="separate"/>
      </w:r>
      <w:r>
        <w:t>10</w:t>
      </w:r>
      <w:r>
        <w:fldChar w:fldCharType="end"/>
      </w:r>
    </w:p>
    <w:p>
      <w:pPr>
        <w:pStyle w:val="TOC8"/>
        <w:rPr>
          <w:rFonts w:asciiTheme="minorHAnsi" w:eastAsiaTheme="minorEastAsia" w:hAnsiTheme="minorHAnsi" w:cstheme="minorBidi"/>
          <w:szCs w:val="22"/>
        </w:rPr>
      </w:pPr>
      <w:r>
        <w:t>12.</w:t>
      </w:r>
      <w:r>
        <w:tab/>
        <w:t>Resignation by convenor</w:t>
      </w:r>
      <w:r>
        <w:tab/>
      </w:r>
      <w:r>
        <w:fldChar w:fldCharType="begin"/>
      </w:r>
      <w:r>
        <w:instrText xml:space="preserve"> PAGEREF _Toc154745668 \h </w:instrText>
      </w:r>
      <w:r>
        <w:fldChar w:fldCharType="separate"/>
      </w:r>
      <w:r>
        <w:t>10</w:t>
      </w:r>
      <w:r>
        <w:fldChar w:fldCharType="end"/>
      </w:r>
    </w:p>
    <w:p>
      <w:pPr>
        <w:pStyle w:val="TOC8"/>
        <w:rPr>
          <w:rFonts w:asciiTheme="minorHAnsi" w:eastAsiaTheme="minorEastAsia" w:hAnsiTheme="minorHAnsi" w:cstheme="minorBidi"/>
          <w:szCs w:val="22"/>
        </w:rPr>
      </w:pPr>
      <w:r>
        <w:t>13.</w:t>
      </w:r>
      <w:r>
        <w:tab/>
        <w:t>Removing convenor from office</w:t>
      </w:r>
      <w:r>
        <w:tab/>
      </w:r>
      <w:r>
        <w:fldChar w:fldCharType="begin"/>
      </w:r>
      <w:r>
        <w:instrText xml:space="preserve"> PAGEREF _Toc154745669 \h </w:instrText>
      </w:r>
      <w:r>
        <w:fldChar w:fldCharType="separate"/>
      </w:r>
      <w:r>
        <w:t>11</w:t>
      </w:r>
      <w:r>
        <w:fldChar w:fldCharType="end"/>
      </w:r>
    </w:p>
    <w:p>
      <w:pPr>
        <w:pStyle w:val="TOC8"/>
        <w:rPr>
          <w:rFonts w:asciiTheme="minorHAnsi" w:eastAsiaTheme="minorEastAsia" w:hAnsiTheme="minorHAnsi" w:cstheme="minorBidi"/>
          <w:szCs w:val="22"/>
        </w:rPr>
      </w:pPr>
      <w:r>
        <w:t>14.</w:t>
      </w:r>
      <w:r>
        <w:tab/>
        <w:t>People who may attend pre</w:t>
      </w:r>
      <w:r>
        <w:noBreakHyphen/>
        <w:t>hearing conference</w:t>
      </w:r>
      <w:r>
        <w:tab/>
      </w:r>
      <w:r>
        <w:fldChar w:fldCharType="begin"/>
      </w:r>
      <w:r>
        <w:instrText xml:space="preserve"> PAGEREF _Toc154745670 \h </w:instrText>
      </w:r>
      <w:r>
        <w:fldChar w:fldCharType="separate"/>
      </w:r>
      <w:r>
        <w:t>11</w:t>
      </w:r>
      <w:r>
        <w:fldChar w:fldCharType="end"/>
      </w:r>
    </w:p>
    <w:p>
      <w:pPr>
        <w:pStyle w:val="TOC8"/>
        <w:rPr>
          <w:rFonts w:asciiTheme="minorHAnsi" w:eastAsiaTheme="minorEastAsia" w:hAnsiTheme="minorHAnsi" w:cstheme="minorBidi"/>
          <w:szCs w:val="22"/>
        </w:rPr>
      </w:pPr>
      <w:r>
        <w:t>15.</w:t>
      </w:r>
      <w:r>
        <w:tab/>
        <w:t>Participation using video link, audio link etc.</w:t>
      </w:r>
      <w:r>
        <w:tab/>
      </w:r>
      <w:r>
        <w:fldChar w:fldCharType="begin"/>
      </w:r>
      <w:r>
        <w:instrText xml:space="preserve"> PAGEREF _Toc154745671 \h </w:instrText>
      </w:r>
      <w:r>
        <w:fldChar w:fldCharType="separate"/>
      </w:r>
      <w:r>
        <w:t>11</w:t>
      </w:r>
      <w:r>
        <w:fldChar w:fldCharType="end"/>
      </w:r>
    </w:p>
    <w:p>
      <w:pPr>
        <w:pStyle w:val="TOC2"/>
        <w:tabs>
          <w:tab w:val="right" w:leader="dot" w:pos="7077"/>
        </w:tabs>
        <w:rPr>
          <w:rFonts w:asciiTheme="minorHAnsi" w:eastAsiaTheme="minorEastAsia" w:hAnsiTheme="minorHAnsi" w:cstheme="minorBidi"/>
          <w:b w:val="0"/>
          <w:sz w:val="22"/>
          <w:szCs w:val="22"/>
        </w:rPr>
      </w:pPr>
      <w:r>
        <w:t>Part 5A</w:t>
      </w:r>
      <w:r>
        <w:rPr>
          <w:b w:val="0"/>
        </w:rPr>
        <w:t> </w:t>
      </w:r>
      <w:r>
        <w:t>—</w:t>
      </w:r>
      <w:r>
        <w:rPr>
          <w:b w:val="0"/>
        </w:rPr>
        <w:t> </w:t>
      </w:r>
      <w:r>
        <w:t>Parentage testing procedures and reports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16A.</w:t>
      </w:r>
      <w:r>
        <w:tab/>
        <w:t>Terms used</w:t>
      </w:r>
      <w:r>
        <w:tab/>
      </w:r>
      <w:r>
        <w:fldChar w:fldCharType="begin"/>
      </w:r>
      <w:r>
        <w:instrText xml:space="preserve"> PAGEREF _Toc154745674 \h </w:instrText>
      </w:r>
      <w:r>
        <w:fldChar w:fldCharType="separate"/>
      </w:r>
      <w:r>
        <w:t>12</w:t>
      </w:r>
      <w:r>
        <w:fldChar w:fldCharType="end"/>
      </w:r>
    </w:p>
    <w:p>
      <w:pPr>
        <w:pStyle w:val="TOC8"/>
        <w:rPr>
          <w:rFonts w:asciiTheme="minorHAnsi" w:eastAsiaTheme="minorEastAsia" w:hAnsiTheme="minorHAnsi" w:cstheme="minorBidi"/>
          <w:szCs w:val="22"/>
        </w:rPr>
      </w:pPr>
      <w:r>
        <w:t>16B.</w:t>
      </w:r>
      <w:r>
        <w:tab/>
        <w:t>Parentage testing procedures (Act s. 136A)</w:t>
      </w:r>
      <w:r>
        <w:tab/>
      </w:r>
      <w:r>
        <w:fldChar w:fldCharType="begin"/>
      </w:r>
      <w:r>
        <w:instrText xml:space="preserve"> PAGEREF _Toc154745675 \h </w:instrText>
      </w:r>
      <w:r>
        <w:fldChar w:fldCharType="separate"/>
      </w:r>
      <w:r>
        <w:t>13</w:t>
      </w:r>
      <w:r>
        <w:fldChar w:fldCharType="end"/>
      </w:r>
    </w:p>
    <w:p>
      <w:pPr>
        <w:pStyle w:val="TOC8"/>
        <w:rPr>
          <w:rFonts w:asciiTheme="minorHAnsi" w:eastAsiaTheme="minorEastAsia" w:hAnsiTheme="minorHAnsi" w:cstheme="minorBidi"/>
          <w:szCs w:val="22"/>
        </w:rPr>
      </w:pPr>
      <w:r>
        <w:t>16C.</w:t>
      </w:r>
      <w:r>
        <w:tab/>
        <w:t>Compliance with regulations</w:t>
      </w:r>
      <w:r>
        <w:tab/>
      </w:r>
      <w:r>
        <w:fldChar w:fldCharType="begin"/>
      </w:r>
      <w:r>
        <w:instrText xml:space="preserve"> PAGEREF _Toc154745676 \h </w:instrText>
      </w:r>
      <w:r>
        <w:fldChar w:fldCharType="separate"/>
      </w:r>
      <w:r>
        <w:t>13</w:t>
      </w:r>
      <w:r>
        <w:fldChar w:fldCharType="end"/>
      </w:r>
    </w:p>
    <w:p>
      <w:pPr>
        <w:pStyle w:val="TOC4"/>
        <w:tabs>
          <w:tab w:val="right" w:leader="dot" w:pos="7077"/>
        </w:tabs>
        <w:rPr>
          <w:rFonts w:asciiTheme="minorHAnsi" w:eastAsiaTheme="minorEastAsia" w:hAnsiTheme="minorHAnsi" w:cstheme="minorBidi"/>
          <w:b w:val="0"/>
          <w:szCs w:val="22"/>
        </w:rPr>
      </w:pPr>
      <w:r>
        <w:t>Division 2 — Collection, storage and testing of samples</w:t>
      </w:r>
    </w:p>
    <w:p>
      <w:pPr>
        <w:pStyle w:val="TOC8"/>
        <w:rPr>
          <w:rFonts w:asciiTheme="minorHAnsi" w:eastAsiaTheme="minorEastAsia" w:hAnsiTheme="minorHAnsi" w:cstheme="minorBidi"/>
          <w:szCs w:val="22"/>
        </w:rPr>
      </w:pPr>
      <w:r>
        <w:t>16D.</w:t>
      </w:r>
      <w:r>
        <w:tab/>
        <w:t>Bodily samples, who may take</w:t>
      </w:r>
      <w:r>
        <w:tab/>
      </w:r>
      <w:r>
        <w:fldChar w:fldCharType="begin"/>
      </w:r>
      <w:r>
        <w:instrText xml:space="preserve"> PAGEREF _Toc154745678 \h </w:instrText>
      </w:r>
      <w:r>
        <w:fldChar w:fldCharType="separate"/>
      </w:r>
      <w:r>
        <w:t>14</w:t>
      </w:r>
      <w:r>
        <w:fldChar w:fldCharType="end"/>
      </w:r>
    </w:p>
    <w:p>
      <w:pPr>
        <w:pStyle w:val="TOC8"/>
        <w:rPr>
          <w:rFonts w:asciiTheme="minorHAnsi" w:eastAsiaTheme="minorEastAsia" w:hAnsiTheme="minorHAnsi" w:cstheme="minorBidi"/>
          <w:szCs w:val="22"/>
        </w:rPr>
      </w:pPr>
      <w:r>
        <w:t>16E.</w:t>
      </w:r>
      <w:r>
        <w:tab/>
        <w:t>Information about donor to be given before bodily sample taken</w:t>
      </w:r>
      <w:r>
        <w:tab/>
      </w:r>
      <w:r>
        <w:fldChar w:fldCharType="begin"/>
      </w:r>
      <w:r>
        <w:instrText xml:space="preserve"> PAGEREF _Toc154745679 \h </w:instrText>
      </w:r>
      <w:r>
        <w:fldChar w:fldCharType="separate"/>
      </w:r>
      <w:r>
        <w:t>14</w:t>
      </w:r>
      <w:r>
        <w:fldChar w:fldCharType="end"/>
      </w:r>
    </w:p>
    <w:p>
      <w:pPr>
        <w:pStyle w:val="TOC8"/>
        <w:rPr>
          <w:rFonts w:asciiTheme="minorHAnsi" w:eastAsiaTheme="minorEastAsia" w:hAnsiTheme="minorHAnsi" w:cstheme="minorBidi"/>
          <w:szCs w:val="22"/>
        </w:rPr>
      </w:pPr>
      <w:r>
        <w:t>16F.</w:t>
      </w:r>
      <w:r>
        <w:tab/>
        <w:t>Blood samples, taking of</w:t>
      </w:r>
      <w:r>
        <w:tab/>
      </w:r>
      <w:r>
        <w:fldChar w:fldCharType="begin"/>
      </w:r>
      <w:r>
        <w:instrText xml:space="preserve"> PAGEREF _Toc154745680 \h </w:instrText>
      </w:r>
      <w:r>
        <w:fldChar w:fldCharType="separate"/>
      </w:r>
      <w:r>
        <w:t>15</w:t>
      </w:r>
      <w:r>
        <w:fldChar w:fldCharType="end"/>
      </w:r>
    </w:p>
    <w:p>
      <w:pPr>
        <w:pStyle w:val="TOC8"/>
        <w:rPr>
          <w:rFonts w:asciiTheme="minorHAnsi" w:eastAsiaTheme="minorEastAsia" w:hAnsiTheme="minorHAnsi" w:cstheme="minorBidi"/>
          <w:szCs w:val="22"/>
        </w:rPr>
      </w:pPr>
      <w:r>
        <w:t>16G.</w:t>
      </w:r>
      <w:r>
        <w:tab/>
        <w:t>Bodily samples for DNA typing, taking of</w:t>
      </w:r>
      <w:r>
        <w:tab/>
      </w:r>
      <w:r>
        <w:fldChar w:fldCharType="begin"/>
      </w:r>
      <w:r>
        <w:instrText xml:space="preserve"> PAGEREF _Toc154745681 \h </w:instrText>
      </w:r>
      <w:r>
        <w:fldChar w:fldCharType="separate"/>
      </w:r>
      <w:r>
        <w:t>16</w:t>
      </w:r>
      <w:r>
        <w:fldChar w:fldCharType="end"/>
      </w:r>
    </w:p>
    <w:p>
      <w:pPr>
        <w:pStyle w:val="TOC8"/>
        <w:rPr>
          <w:rFonts w:asciiTheme="minorHAnsi" w:eastAsiaTheme="minorEastAsia" w:hAnsiTheme="minorHAnsi" w:cstheme="minorBidi"/>
          <w:szCs w:val="22"/>
        </w:rPr>
      </w:pPr>
      <w:r>
        <w:t>16H.</w:t>
      </w:r>
      <w:r>
        <w:tab/>
        <w:t>Bodily samples, procedure for dealing with immediately after taking</w:t>
      </w:r>
      <w:r>
        <w:tab/>
      </w:r>
      <w:r>
        <w:fldChar w:fldCharType="begin"/>
      </w:r>
      <w:r>
        <w:instrText xml:space="preserve"> PAGEREF _Toc154745682 \h </w:instrText>
      </w:r>
      <w:r>
        <w:fldChar w:fldCharType="separate"/>
      </w:r>
      <w:r>
        <w:t>16</w:t>
      </w:r>
      <w:r>
        <w:fldChar w:fldCharType="end"/>
      </w:r>
    </w:p>
    <w:p>
      <w:pPr>
        <w:pStyle w:val="TOC8"/>
        <w:rPr>
          <w:rFonts w:asciiTheme="minorHAnsi" w:eastAsiaTheme="minorEastAsia" w:hAnsiTheme="minorHAnsi" w:cstheme="minorBidi"/>
          <w:szCs w:val="22"/>
        </w:rPr>
      </w:pPr>
      <w:r>
        <w:t>16I.</w:t>
      </w:r>
      <w:r>
        <w:tab/>
        <w:t>Sampler’s duties after taking bodily sample</w:t>
      </w:r>
      <w:r>
        <w:tab/>
      </w:r>
      <w:r>
        <w:fldChar w:fldCharType="begin"/>
      </w:r>
      <w:r>
        <w:instrText xml:space="preserve"> PAGEREF _Toc154745683 \h </w:instrText>
      </w:r>
      <w:r>
        <w:fldChar w:fldCharType="separate"/>
      </w:r>
      <w:r>
        <w:t>18</w:t>
      </w:r>
      <w:r>
        <w:fldChar w:fldCharType="end"/>
      </w:r>
    </w:p>
    <w:p>
      <w:pPr>
        <w:pStyle w:val="TOC8"/>
        <w:rPr>
          <w:rFonts w:asciiTheme="minorHAnsi" w:eastAsiaTheme="minorEastAsia" w:hAnsiTheme="minorHAnsi" w:cstheme="minorBidi"/>
          <w:szCs w:val="22"/>
        </w:rPr>
      </w:pPr>
      <w:r>
        <w:t>16J.</w:t>
      </w:r>
      <w:r>
        <w:tab/>
        <w:t>Packing, storing and transporting bodily samples for testing</w:t>
      </w:r>
      <w:r>
        <w:tab/>
      </w:r>
      <w:r>
        <w:fldChar w:fldCharType="begin"/>
      </w:r>
      <w:r>
        <w:instrText xml:space="preserve"> PAGEREF _Toc154745684 \h </w:instrText>
      </w:r>
      <w:r>
        <w:fldChar w:fldCharType="separate"/>
      </w:r>
      <w:r>
        <w:t>18</w:t>
      </w:r>
      <w:r>
        <w:fldChar w:fldCharType="end"/>
      </w:r>
    </w:p>
    <w:p>
      <w:pPr>
        <w:pStyle w:val="TOC8"/>
        <w:rPr>
          <w:rFonts w:asciiTheme="minorHAnsi" w:eastAsiaTheme="minorEastAsia" w:hAnsiTheme="minorHAnsi" w:cstheme="minorBidi"/>
          <w:szCs w:val="22"/>
        </w:rPr>
      </w:pPr>
      <w:r>
        <w:t>16K.</w:t>
      </w:r>
      <w:r>
        <w:tab/>
        <w:t>Time for testing bodily samples</w:t>
      </w:r>
      <w:r>
        <w:tab/>
      </w:r>
      <w:r>
        <w:fldChar w:fldCharType="begin"/>
      </w:r>
      <w:r>
        <w:instrText xml:space="preserve"> PAGEREF _Toc154745685 \h </w:instrText>
      </w:r>
      <w:r>
        <w:fldChar w:fldCharType="separate"/>
      </w:r>
      <w:r>
        <w:t>18</w:t>
      </w:r>
      <w:r>
        <w:fldChar w:fldCharType="end"/>
      </w:r>
    </w:p>
    <w:p>
      <w:pPr>
        <w:pStyle w:val="TOC4"/>
        <w:tabs>
          <w:tab w:val="right" w:leader="dot" w:pos="7077"/>
        </w:tabs>
        <w:rPr>
          <w:rFonts w:asciiTheme="minorHAnsi" w:eastAsiaTheme="minorEastAsia" w:hAnsiTheme="minorHAnsi" w:cstheme="minorBidi"/>
          <w:b w:val="0"/>
          <w:szCs w:val="22"/>
        </w:rPr>
      </w:pPr>
      <w:r>
        <w:t>Division 3 — Reports</w:t>
      </w:r>
    </w:p>
    <w:p>
      <w:pPr>
        <w:pStyle w:val="TOC8"/>
        <w:rPr>
          <w:rFonts w:asciiTheme="minorHAnsi" w:eastAsiaTheme="minorEastAsia" w:hAnsiTheme="minorHAnsi" w:cstheme="minorBidi"/>
          <w:szCs w:val="22"/>
        </w:rPr>
      </w:pPr>
      <w:r>
        <w:t>16L.</w:t>
      </w:r>
      <w:r>
        <w:tab/>
        <w:t>Reports of testing (Act s. 136H(b))</w:t>
      </w:r>
      <w:r>
        <w:tab/>
      </w:r>
      <w:r>
        <w:fldChar w:fldCharType="begin"/>
      </w:r>
      <w:r>
        <w:instrText xml:space="preserve"> PAGEREF _Toc154745687 \h </w:instrText>
      </w:r>
      <w:r>
        <w:fldChar w:fldCharType="separate"/>
      </w:r>
      <w:r>
        <w:t>19</w:t>
      </w:r>
      <w:r>
        <w:fldChar w:fldCharType="end"/>
      </w:r>
    </w:p>
    <w:p>
      <w:pPr>
        <w:pStyle w:val="TOC2"/>
        <w:tabs>
          <w:tab w:val="right" w:leader="dot" w:pos="7077"/>
        </w:tabs>
        <w:rPr>
          <w:rFonts w:asciiTheme="minorHAnsi" w:eastAsiaTheme="minorEastAsia" w:hAnsiTheme="minorHAnsi" w:cstheme="minorBidi"/>
          <w:b w:val="0"/>
          <w:sz w:val="22"/>
          <w:szCs w:val="22"/>
        </w:rPr>
      </w:pPr>
      <w:r>
        <w:t>Part 5 — Reports about child</w:t>
      </w:r>
    </w:p>
    <w:p>
      <w:pPr>
        <w:pStyle w:val="TOC8"/>
        <w:rPr>
          <w:rFonts w:asciiTheme="minorHAnsi" w:eastAsiaTheme="minorEastAsia" w:hAnsiTheme="minorHAnsi" w:cstheme="minorBidi"/>
          <w:szCs w:val="22"/>
        </w:rPr>
      </w:pPr>
      <w:r>
        <w:t>16.</w:t>
      </w:r>
      <w:r>
        <w:tab/>
        <w:t>Terms used</w:t>
      </w:r>
      <w:r>
        <w:tab/>
      </w:r>
      <w:r>
        <w:fldChar w:fldCharType="begin"/>
      </w:r>
      <w:r>
        <w:instrText xml:space="preserve"> PAGEREF _Toc154745689 \h </w:instrText>
      </w:r>
      <w:r>
        <w:fldChar w:fldCharType="separate"/>
      </w:r>
      <w:r>
        <w:t>20</w:t>
      </w:r>
      <w:r>
        <w:fldChar w:fldCharType="end"/>
      </w:r>
    </w:p>
    <w:p>
      <w:pPr>
        <w:pStyle w:val="TOC8"/>
        <w:rPr>
          <w:rFonts w:asciiTheme="minorHAnsi" w:eastAsiaTheme="minorEastAsia" w:hAnsiTheme="minorHAnsi" w:cstheme="minorBidi"/>
          <w:szCs w:val="22"/>
        </w:rPr>
      </w:pPr>
      <w:r>
        <w:t>17.</w:t>
      </w:r>
      <w:r>
        <w:tab/>
        <w:t>Appointing people to provide reports (Act s. 139)</w:t>
      </w:r>
      <w:r>
        <w:tab/>
      </w:r>
      <w:r>
        <w:fldChar w:fldCharType="begin"/>
      </w:r>
      <w:r>
        <w:instrText xml:space="preserve"> PAGEREF _Toc154745690 \h </w:instrText>
      </w:r>
      <w:r>
        <w:fldChar w:fldCharType="separate"/>
      </w:r>
      <w:r>
        <w:t>20</w:t>
      </w:r>
      <w:r>
        <w:fldChar w:fldCharType="end"/>
      </w:r>
    </w:p>
    <w:p>
      <w:pPr>
        <w:pStyle w:val="TOC8"/>
        <w:rPr>
          <w:rFonts w:asciiTheme="minorHAnsi" w:eastAsiaTheme="minorEastAsia" w:hAnsiTheme="minorHAnsi" w:cstheme="minorBidi"/>
          <w:szCs w:val="22"/>
        </w:rPr>
      </w:pPr>
      <w:r>
        <w:t>18.</w:t>
      </w:r>
      <w:r>
        <w:tab/>
        <w:t>President to establish panel</w:t>
      </w:r>
      <w:r>
        <w:tab/>
      </w:r>
      <w:r>
        <w:fldChar w:fldCharType="begin"/>
      </w:r>
      <w:r>
        <w:instrText xml:space="preserve"> PAGEREF _Toc154745691 \h </w:instrText>
      </w:r>
      <w:r>
        <w:fldChar w:fldCharType="separate"/>
      </w:r>
      <w:r>
        <w:t>20</w:t>
      </w:r>
      <w:r>
        <w:fldChar w:fldCharType="end"/>
      </w:r>
    </w:p>
    <w:p>
      <w:pPr>
        <w:pStyle w:val="TOC8"/>
        <w:rPr>
          <w:rFonts w:asciiTheme="minorHAnsi" w:eastAsiaTheme="minorEastAsia" w:hAnsiTheme="minorHAnsi" w:cstheme="minorBidi"/>
          <w:szCs w:val="22"/>
        </w:rPr>
      </w:pPr>
      <w:r>
        <w:t>19.</w:t>
      </w:r>
      <w:r>
        <w:tab/>
        <w:t>Terms and conditions of appointment under Act s. 139</w:t>
      </w:r>
      <w:r>
        <w:tab/>
      </w:r>
      <w:r>
        <w:fldChar w:fldCharType="begin"/>
      </w:r>
      <w:r>
        <w:instrText xml:space="preserve"> PAGEREF _Toc154745692 \h </w:instrText>
      </w:r>
      <w:r>
        <w:fldChar w:fldCharType="separate"/>
      </w:r>
      <w:r>
        <w:t>21</w:t>
      </w:r>
      <w:r>
        <w:fldChar w:fldCharType="end"/>
      </w:r>
    </w:p>
    <w:p>
      <w:pPr>
        <w:pStyle w:val="TOC8"/>
        <w:rPr>
          <w:rFonts w:asciiTheme="minorHAnsi" w:eastAsiaTheme="minorEastAsia" w:hAnsiTheme="minorHAnsi" w:cstheme="minorBidi"/>
          <w:szCs w:val="22"/>
        </w:rPr>
      </w:pPr>
      <w:r>
        <w:lastRenderedPageBreak/>
        <w:t>20.</w:t>
      </w:r>
      <w:r>
        <w:tab/>
        <w:t>Costs of report</w:t>
      </w:r>
      <w:r>
        <w:tab/>
      </w:r>
      <w:r>
        <w:fldChar w:fldCharType="begin"/>
      </w:r>
      <w:r>
        <w:instrText xml:space="preserve"> PAGEREF _Toc154745693 \h </w:instrText>
      </w:r>
      <w:r>
        <w:fldChar w:fldCharType="separate"/>
      </w:r>
      <w:r>
        <w:t>21</w:t>
      </w:r>
      <w:r>
        <w:fldChar w:fldCharType="end"/>
      </w:r>
    </w:p>
    <w:p>
      <w:pPr>
        <w:pStyle w:val="TOC2"/>
        <w:tabs>
          <w:tab w:val="right" w:leader="dot" w:pos="7077"/>
        </w:tabs>
        <w:rPr>
          <w:rFonts w:asciiTheme="minorHAnsi" w:eastAsiaTheme="minorEastAsia" w:hAnsiTheme="minorHAnsi" w:cstheme="minorBidi"/>
          <w:b w:val="0"/>
          <w:sz w:val="22"/>
          <w:szCs w:val="22"/>
        </w:rPr>
      </w:pPr>
      <w:r>
        <w:t>Part 6 — Miscellaneous</w:t>
      </w:r>
    </w:p>
    <w:p>
      <w:pPr>
        <w:pStyle w:val="TOC8"/>
        <w:rPr>
          <w:rFonts w:asciiTheme="minorHAnsi" w:eastAsiaTheme="minorEastAsia" w:hAnsiTheme="minorHAnsi" w:cstheme="minorBidi"/>
          <w:szCs w:val="22"/>
        </w:rPr>
      </w:pPr>
      <w:r>
        <w:t>20A.</w:t>
      </w:r>
      <w:r>
        <w:tab/>
        <w:t>Prescribed authorities (Act s. 28A)</w:t>
      </w:r>
      <w:r>
        <w:tab/>
      </w:r>
      <w:r>
        <w:fldChar w:fldCharType="begin"/>
      </w:r>
      <w:r>
        <w:instrText xml:space="preserve"> PAGEREF _Toc154745695 \h </w:instrText>
      </w:r>
      <w:r>
        <w:fldChar w:fldCharType="separate"/>
      </w:r>
      <w:r>
        <w:t>22</w:t>
      </w:r>
      <w:r>
        <w:fldChar w:fldCharType="end"/>
      </w:r>
    </w:p>
    <w:p>
      <w:pPr>
        <w:pStyle w:val="TOC8"/>
        <w:rPr>
          <w:rFonts w:asciiTheme="minorHAnsi" w:eastAsiaTheme="minorEastAsia" w:hAnsiTheme="minorHAnsi" w:cstheme="minorBidi"/>
          <w:szCs w:val="22"/>
        </w:rPr>
      </w:pPr>
      <w:r>
        <w:t>21.</w:t>
      </w:r>
      <w:r>
        <w:tab/>
        <w:t>Payments to special guardians (Act s. 65)</w:t>
      </w:r>
      <w:r>
        <w:tab/>
      </w:r>
      <w:r>
        <w:fldChar w:fldCharType="begin"/>
      </w:r>
      <w:r>
        <w:instrText xml:space="preserve"> PAGEREF _Toc154745696 \h </w:instrText>
      </w:r>
      <w:r>
        <w:fldChar w:fldCharType="separate"/>
      </w:r>
      <w:r>
        <w:t>23</w:t>
      </w:r>
      <w:r>
        <w:fldChar w:fldCharType="end"/>
      </w:r>
    </w:p>
    <w:p>
      <w:pPr>
        <w:pStyle w:val="TOC8"/>
        <w:rPr>
          <w:rFonts w:asciiTheme="minorHAnsi" w:eastAsiaTheme="minorEastAsia" w:hAnsiTheme="minorHAnsi" w:cstheme="minorBidi"/>
          <w:szCs w:val="22"/>
        </w:rPr>
      </w:pPr>
      <w:r>
        <w:t>21A.</w:t>
      </w:r>
      <w:r>
        <w:tab/>
        <w:t>Work prescribed (Act s. 191(4))</w:t>
      </w:r>
      <w:r>
        <w:tab/>
      </w:r>
      <w:r>
        <w:fldChar w:fldCharType="begin"/>
      </w:r>
      <w:r>
        <w:instrText xml:space="preserve"> PAGEREF _Toc154745697 \h </w:instrText>
      </w:r>
      <w:r>
        <w:fldChar w:fldCharType="separate"/>
      </w:r>
      <w:r>
        <w:t>24</w:t>
      </w:r>
      <w:r>
        <w:fldChar w:fldCharType="end"/>
      </w:r>
    </w:p>
    <w:p>
      <w:pPr>
        <w:pStyle w:val="TOC8"/>
        <w:rPr>
          <w:rFonts w:asciiTheme="minorHAnsi" w:eastAsiaTheme="minorEastAsia" w:hAnsiTheme="minorHAnsi" w:cstheme="minorBidi"/>
          <w:szCs w:val="22"/>
        </w:rPr>
      </w:pPr>
      <w:r>
        <w:t>21B.</w:t>
      </w:r>
      <w:r>
        <w:tab/>
        <w:t>Prescribed personal material (Act s. 97(1))</w:t>
      </w:r>
      <w:r>
        <w:tab/>
      </w:r>
      <w:r>
        <w:fldChar w:fldCharType="begin"/>
      </w:r>
      <w:r>
        <w:instrText xml:space="preserve"> PAGEREF _Toc154745698 \h </w:instrText>
      </w:r>
      <w:r>
        <w:fldChar w:fldCharType="separate"/>
      </w:r>
      <w:r>
        <w:t>24</w:t>
      </w:r>
      <w:r>
        <w:fldChar w:fldCharType="end"/>
      </w:r>
    </w:p>
    <w:p>
      <w:pPr>
        <w:pStyle w:val="TOC8"/>
        <w:rPr>
          <w:rFonts w:asciiTheme="minorHAnsi" w:eastAsiaTheme="minorEastAsia" w:hAnsiTheme="minorHAnsi" w:cstheme="minorBidi"/>
          <w:szCs w:val="22"/>
        </w:rPr>
      </w:pPr>
      <w:r>
        <w:t>22.</w:t>
      </w:r>
      <w:r>
        <w:tab/>
        <w:t>Public authorities to which s. 22(4AA) applies</w:t>
      </w:r>
      <w:r>
        <w:tab/>
      </w:r>
      <w:r>
        <w:fldChar w:fldCharType="begin"/>
      </w:r>
      <w:r>
        <w:instrText xml:space="preserve"> PAGEREF _Toc154745699 \h </w:instrText>
      </w:r>
      <w:r>
        <w:fldChar w:fldCharType="separate"/>
      </w:r>
      <w:r>
        <w:t>25</w:t>
      </w:r>
      <w:r>
        <w:fldChar w:fldCharType="end"/>
      </w:r>
    </w:p>
    <w:p>
      <w:pPr>
        <w:pStyle w:val="TOC8"/>
        <w:rPr>
          <w:rFonts w:asciiTheme="minorHAnsi" w:eastAsiaTheme="minorEastAsia" w:hAnsiTheme="minorHAnsi" w:cstheme="minorBidi"/>
          <w:szCs w:val="22"/>
        </w:rPr>
      </w:pPr>
      <w:r>
        <w:t>23.</w:t>
      </w:r>
      <w:r>
        <w:tab/>
        <w:t>Prescribed criteria for person preparing report under s. 61(2B)</w:t>
      </w:r>
      <w:r>
        <w:tab/>
      </w:r>
      <w:r>
        <w:fldChar w:fldCharType="begin"/>
      </w:r>
      <w:r>
        <w:instrText xml:space="preserve"> PAGEREF _Toc154745700 \h </w:instrText>
      </w:r>
      <w:r>
        <w:fldChar w:fldCharType="separate"/>
      </w:r>
      <w:r>
        <w:t>27</w:t>
      </w:r>
      <w:r>
        <w:fldChar w:fldCharType="end"/>
      </w:r>
    </w:p>
    <w:p>
      <w:pPr>
        <w:pStyle w:val="TOC2"/>
        <w:tabs>
          <w:tab w:val="right" w:leader="dot" w:pos="7077"/>
        </w:tabs>
        <w:rPr>
          <w:rFonts w:asciiTheme="minorHAnsi" w:eastAsiaTheme="minorEastAsia" w:hAnsiTheme="minorHAnsi" w:cstheme="minorBidi"/>
          <w:b w:val="0"/>
          <w:sz w:val="22"/>
          <w:szCs w:val="22"/>
        </w:rPr>
      </w:pPr>
      <w:r>
        <w:t>Part 7 — Transitional arrangements</w:t>
      </w:r>
    </w:p>
    <w:p>
      <w:pPr>
        <w:pStyle w:val="TOC8"/>
        <w:rPr>
          <w:rFonts w:asciiTheme="minorHAnsi" w:eastAsiaTheme="minorEastAsia" w:hAnsiTheme="minorHAnsi" w:cstheme="minorBidi"/>
          <w:szCs w:val="22"/>
        </w:rPr>
      </w:pPr>
      <w:r>
        <w:t>24.</w:t>
      </w:r>
      <w:r>
        <w:tab/>
        <w:t>Term used: commencement day</w:t>
      </w:r>
      <w:r>
        <w:tab/>
      </w:r>
      <w:r>
        <w:fldChar w:fldCharType="begin"/>
      </w:r>
      <w:r>
        <w:instrText xml:space="preserve"> PAGEREF _Toc154745702 \h </w:instrText>
      </w:r>
      <w:r>
        <w:fldChar w:fldCharType="separate"/>
      </w:r>
      <w:r>
        <w:t>29</w:t>
      </w:r>
      <w:r>
        <w:fldChar w:fldCharType="end"/>
      </w:r>
    </w:p>
    <w:p>
      <w:pPr>
        <w:pStyle w:val="TOC8"/>
        <w:rPr>
          <w:rFonts w:asciiTheme="minorHAnsi" w:eastAsiaTheme="minorEastAsia" w:hAnsiTheme="minorHAnsi" w:cstheme="minorBidi"/>
          <w:szCs w:val="22"/>
        </w:rPr>
      </w:pPr>
      <w:r>
        <w:t>29.</w:t>
      </w:r>
      <w:r>
        <w:tab/>
        <w:t>Certain children in care as at 1 Mar 2006</w:t>
      </w:r>
      <w:r>
        <w:tab/>
      </w:r>
      <w:r>
        <w:fldChar w:fldCharType="begin"/>
      </w:r>
      <w:r>
        <w:instrText xml:space="preserve"> PAGEREF _Toc154745703 \h </w:instrText>
      </w:r>
      <w:r>
        <w:fldChar w:fldCharType="separate"/>
      </w:r>
      <w:r>
        <w:t>29</w:t>
      </w:r>
      <w:r>
        <w:fldChar w:fldCharType="end"/>
      </w:r>
    </w:p>
    <w:p>
      <w:pPr>
        <w:pStyle w:val="TOC2"/>
        <w:tabs>
          <w:tab w:val="right" w:leader="dot" w:pos="7077"/>
        </w:tabs>
        <w:rPr>
          <w:rFonts w:asciiTheme="minorHAnsi" w:eastAsiaTheme="minorEastAsia" w:hAnsiTheme="minorHAnsi" w:cstheme="minorBidi"/>
          <w:b w:val="0"/>
          <w:sz w:val="22"/>
          <w:szCs w:val="22"/>
        </w:rPr>
      </w:pPr>
      <w:r>
        <w:t>Schedule 1 — Forms</w:t>
      </w:r>
    </w:p>
    <w:p>
      <w:pPr>
        <w:pStyle w:val="TOC8"/>
        <w:rPr>
          <w:rFonts w:asciiTheme="minorHAnsi" w:eastAsiaTheme="minorEastAsia" w:hAnsiTheme="minorHAnsi" w:cstheme="minorBidi"/>
          <w:szCs w:val="22"/>
        </w:rPr>
      </w:pPr>
      <w:r>
        <w:t>1.</w:t>
      </w:r>
      <w:r>
        <w:tab/>
        <w:t>Warrant (access)</w:t>
      </w:r>
      <w:r>
        <w:tab/>
      </w:r>
      <w:r>
        <w:fldChar w:fldCharType="begin"/>
      </w:r>
      <w:r>
        <w:instrText xml:space="preserve"> PAGEREF _Toc154745705 \h </w:instrText>
      </w:r>
      <w:r>
        <w:fldChar w:fldCharType="separate"/>
      </w:r>
      <w:r>
        <w:t>30</w:t>
      </w:r>
      <w:r>
        <w:fldChar w:fldCharType="end"/>
      </w:r>
    </w:p>
    <w:p>
      <w:pPr>
        <w:pStyle w:val="TOC8"/>
        <w:rPr>
          <w:rFonts w:asciiTheme="minorHAnsi" w:eastAsiaTheme="minorEastAsia" w:hAnsiTheme="minorHAnsi" w:cstheme="minorBidi"/>
          <w:szCs w:val="22"/>
        </w:rPr>
      </w:pPr>
      <w:r>
        <w:t>2.</w:t>
      </w:r>
      <w:r>
        <w:tab/>
        <w:t>Warrant (apprehension)</w:t>
      </w:r>
      <w:r>
        <w:tab/>
      </w:r>
      <w:r>
        <w:fldChar w:fldCharType="begin"/>
      </w:r>
      <w:r>
        <w:instrText xml:space="preserve"> PAGEREF _Toc154745706 \h </w:instrText>
      </w:r>
      <w:r>
        <w:fldChar w:fldCharType="separate"/>
      </w:r>
      <w:r>
        <w:t>32</w:t>
      </w:r>
      <w:r>
        <w:fldChar w:fldCharType="end"/>
      </w:r>
    </w:p>
    <w:p>
      <w:pPr>
        <w:pStyle w:val="TOC8"/>
        <w:rPr>
          <w:rFonts w:asciiTheme="minorHAnsi" w:eastAsiaTheme="minorEastAsia" w:hAnsiTheme="minorHAnsi" w:cstheme="minorBidi"/>
          <w:szCs w:val="22"/>
        </w:rPr>
      </w:pPr>
      <w:r>
        <w:t>3.</w:t>
      </w:r>
      <w:r>
        <w:tab/>
        <w:t>Warrant (provisional protection and care)</w:t>
      </w:r>
      <w:r>
        <w:tab/>
      </w:r>
      <w:r>
        <w:fldChar w:fldCharType="begin"/>
      </w:r>
      <w:r>
        <w:instrText xml:space="preserve"> PAGEREF _Toc154745707 \h </w:instrText>
      </w:r>
      <w:r>
        <w:fldChar w:fldCharType="separate"/>
      </w:r>
      <w:r>
        <w:t>34</w:t>
      </w:r>
      <w:r>
        <w:fldChar w:fldCharType="end"/>
      </w:r>
    </w:p>
    <w:p>
      <w:pPr>
        <w:pStyle w:val="TOC8"/>
        <w:rPr>
          <w:rFonts w:asciiTheme="minorHAnsi" w:eastAsiaTheme="minorEastAsia" w:hAnsiTheme="minorHAnsi" w:cstheme="minorBidi"/>
          <w:szCs w:val="22"/>
        </w:rPr>
      </w:pPr>
      <w:r>
        <w:t>3A.</w:t>
      </w:r>
      <w:r>
        <w:tab/>
        <w:t>Entry warrant</w:t>
      </w:r>
      <w:r>
        <w:tab/>
      </w:r>
      <w:r>
        <w:fldChar w:fldCharType="begin"/>
      </w:r>
      <w:r>
        <w:instrText xml:space="preserve"> PAGEREF _Toc154745708 \h </w:instrText>
      </w:r>
      <w:r>
        <w:fldChar w:fldCharType="separate"/>
      </w:r>
      <w:r>
        <w:t>36</w:t>
      </w:r>
      <w:r>
        <w:fldChar w:fldCharType="end"/>
      </w:r>
    </w:p>
    <w:p>
      <w:pPr>
        <w:pStyle w:val="TOC8"/>
        <w:rPr>
          <w:rFonts w:asciiTheme="minorHAnsi" w:eastAsiaTheme="minorEastAsia" w:hAnsiTheme="minorHAnsi" w:cstheme="minorBidi"/>
          <w:szCs w:val="22"/>
        </w:rPr>
      </w:pPr>
      <w:r>
        <w:t>4.</w:t>
      </w:r>
      <w:r>
        <w:tab/>
        <w:t>Parentage testing procedure</w:t>
      </w:r>
      <w:r>
        <w:tab/>
      </w:r>
      <w:r>
        <w:fldChar w:fldCharType="begin"/>
      </w:r>
      <w:r>
        <w:instrText xml:space="preserve"> PAGEREF _Toc154745709 \h </w:instrText>
      </w:r>
      <w:r>
        <w:fldChar w:fldCharType="separate"/>
      </w:r>
      <w:r>
        <w:t>38</w:t>
      </w:r>
      <w:r>
        <w:fldChar w:fldCharType="end"/>
      </w:r>
    </w:p>
    <w:p>
      <w:pPr>
        <w:pStyle w:val="TOC8"/>
        <w:rPr>
          <w:rFonts w:asciiTheme="minorHAnsi" w:eastAsiaTheme="minorEastAsia" w:hAnsiTheme="minorHAnsi" w:cstheme="minorBidi"/>
          <w:szCs w:val="22"/>
        </w:rPr>
      </w:pPr>
      <w:r>
        <w:t>5.</w:t>
      </w:r>
      <w:r>
        <w:tab/>
        <w:t>Parentage testing procedure</w:t>
      </w:r>
      <w:r>
        <w:tab/>
      </w:r>
      <w:r>
        <w:fldChar w:fldCharType="begin"/>
      </w:r>
      <w:r>
        <w:instrText xml:space="preserve"> PAGEREF _Toc154745710 \h </w:instrText>
      </w:r>
      <w:r>
        <w:fldChar w:fldCharType="separate"/>
      </w:r>
      <w:r>
        <w:t>41</w:t>
      </w:r>
      <w:r>
        <w:fldChar w:fldCharType="end"/>
      </w:r>
    </w:p>
    <w:p>
      <w:pPr>
        <w:pStyle w:val="TOC8"/>
        <w:rPr>
          <w:rFonts w:asciiTheme="minorHAnsi" w:eastAsiaTheme="minorEastAsia" w:hAnsiTheme="minorHAnsi" w:cstheme="minorBidi"/>
          <w:szCs w:val="22"/>
        </w:rPr>
      </w:pPr>
      <w:r>
        <w:t>6.</w:t>
      </w:r>
      <w:r>
        <w:tab/>
        <w:t>Parentage testing procedure report</w:t>
      </w:r>
      <w:r>
        <w:tab/>
      </w:r>
      <w:r>
        <w:fldChar w:fldCharType="begin"/>
      </w:r>
      <w:r>
        <w:instrText xml:space="preserve"> PAGEREF _Toc154745711 \h </w:instrText>
      </w:r>
      <w:r>
        <w:fldChar w:fldCharType="separate"/>
      </w:r>
      <w:r>
        <w:t>42</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Compilation table</w:t>
      </w:r>
      <w:r>
        <w:tab/>
      </w:r>
      <w:r>
        <w:fldChar w:fldCharType="begin"/>
      </w:r>
      <w:r>
        <w:instrText xml:space="preserve"> PAGEREF _Toc154745713 \h </w:instrText>
      </w:r>
      <w:r>
        <w:fldChar w:fldCharType="separate"/>
      </w:r>
      <w:r>
        <w:t>46</w:t>
      </w:r>
      <w:r>
        <w:fldChar w:fldCharType="end"/>
      </w:r>
    </w:p>
    <w:p>
      <w:pPr>
        <w:pStyle w:val="TOC8"/>
        <w:rPr>
          <w:rFonts w:asciiTheme="minorHAnsi" w:eastAsiaTheme="minorEastAsia" w:hAnsiTheme="minorHAnsi" w:cstheme="minorBidi"/>
          <w:szCs w:val="22"/>
        </w:rPr>
      </w:pPr>
      <w:r>
        <w:t>Uncommenced provisions table</w:t>
      </w:r>
      <w:r>
        <w:tab/>
      </w:r>
      <w:r>
        <w:fldChar w:fldCharType="begin"/>
      </w:r>
      <w:r>
        <w:instrText xml:space="preserve"> PAGEREF _Toc154745714 \h </w:instrText>
      </w:r>
      <w:r>
        <w:fldChar w:fldCharType="separate"/>
      </w:r>
      <w:r>
        <w:t>49</w:t>
      </w:r>
      <w:r>
        <w:fldChar w:fldCharType="end"/>
      </w:r>
    </w:p>
    <w:p>
      <w:pPr>
        <w:pStyle w:val="TOC8"/>
        <w:rPr>
          <w:rFonts w:asciiTheme="minorHAnsi" w:eastAsiaTheme="minorEastAsia" w:hAnsiTheme="minorHAnsi" w:cstheme="minorBidi"/>
          <w:szCs w:val="22"/>
        </w:rPr>
      </w:pPr>
      <w:r>
        <w:t>Other notes</w:t>
      </w:r>
      <w:r>
        <w:tab/>
      </w:r>
      <w:r>
        <w:fldChar w:fldCharType="begin"/>
      </w:r>
      <w:r>
        <w:instrText xml:space="preserve"> PAGEREF _Toc154745715 \h </w:instrText>
      </w:r>
      <w:r>
        <w:fldChar w:fldCharType="separate"/>
      </w:r>
      <w:r>
        <w:t>49</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3" w:name="_Toc154745645"/>
      <w:r>
        <w:rPr>
          <w:rStyle w:val="CharPartNo"/>
        </w:rPr>
        <w:t>Part 1</w:t>
      </w:r>
      <w:r>
        <w:rPr>
          <w:rStyle w:val="CharDivNo"/>
        </w:rPr>
        <w:t> </w:t>
      </w:r>
      <w:r>
        <w:t>—</w:t>
      </w:r>
      <w:r>
        <w:rPr>
          <w:rStyle w:val="CharDivText"/>
        </w:rPr>
        <w:t> </w:t>
      </w:r>
      <w:r>
        <w:rPr>
          <w:rStyle w:val="CharPartText"/>
        </w:rPr>
        <w:t>Preliminary</w:t>
      </w:r>
      <w:bookmarkEnd w:id="3"/>
    </w:p>
    <w:p>
      <w:pPr>
        <w:pStyle w:val="Heading5"/>
      </w:pPr>
      <w:bookmarkStart w:id="4" w:name="_Toc154745646"/>
      <w:r>
        <w:rPr>
          <w:rStyle w:val="CharSectno"/>
        </w:rPr>
        <w:t>1</w:t>
      </w:r>
      <w:r>
        <w:t>.</w:t>
      </w:r>
      <w:r>
        <w:tab/>
        <w:t>Citation</w:t>
      </w:r>
      <w:bookmarkEnd w:id="4"/>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5" w:name="_Toc154745647"/>
      <w:r>
        <w:rPr>
          <w:rStyle w:val="CharSectno"/>
        </w:rPr>
        <w:t>2</w:t>
      </w:r>
      <w:r>
        <w:rPr>
          <w:spacing w:val="-2"/>
        </w:rPr>
        <w:t>.</w:t>
      </w:r>
      <w:r>
        <w:rPr>
          <w:spacing w:val="-2"/>
        </w:rPr>
        <w:tab/>
        <w:t>Commencement</w:t>
      </w:r>
      <w:bookmarkEnd w:id="5"/>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6" w:name="_Toc154745648"/>
      <w:r>
        <w:rPr>
          <w:rStyle w:val="CharSectno"/>
        </w:rPr>
        <w:t>3</w:t>
      </w:r>
      <w:r>
        <w:t>.</w:t>
      </w:r>
      <w:r>
        <w:tab/>
        <w:t>Terms used</w:t>
      </w:r>
      <w:bookmarkEnd w:id="6"/>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7" w:name="_Toc154745649"/>
      <w:r>
        <w:rPr>
          <w:rStyle w:val="CharPartNo"/>
        </w:rPr>
        <w:lastRenderedPageBreak/>
        <w:t>Part 2</w:t>
      </w:r>
      <w:r>
        <w:rPr>
          <w:rStyle w:val="CharDivNo"/>
        </w:rPr>
        <w:t> </w:t>
      </w:r>
      <w:r>
        <w:t>—</w:t>
      </w:r>
      <w:r>
        <w:rPr>
          <w:rStyle w:val="CharDivText"/>
        </w:rPr>
        <w:t> </w:t>
      </w:r>
      <w:r>
        <w:rPr>
          <w:rStyle w:val="CharPartText"/>
        </w:rPr>
        <w:t>Children in the CEO’s care</w:t>
      </w:r>
      <w:bookmarkEnd w:id="7"/>
    </w:p>
    <w:p>
      <w:pPr>
        <w:pStyle w:val="Heading5"/>
      </w:pPr>
      <w:bookmarkStart w:id="8" w:name="_Toc154745650"/>
      <w:r>
        <w:rPr>
          <w:rStyle w:val="CharSectno"/>
        </w:rPr>
        <w:t>4</w:t>
      </w:r>
      <w:r>
        <w:t>.</w:t>
      </w:r>
      <w:r>
        <w:tab/>
        <w:t>Approval of carers (Act s. 79(2)(a)(i))</w:t>
      </w:r>
      <w:bookmarkEnd w:id="8"/>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(ia)</w:t>
      </w:r>
      <w:r>
        <w:tab/>
        <w:t>is able to provide care for a child in a way that supports the child’s culture and identity;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their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lastRenderedPageBreak/>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Footnotesection"/>
      </w:pPr>
      <w:r>
        <w:tab/>
        <w:t>[Regulation 4 amended: SL 2022/49 r. 4 and 10.]</w:t>
      </w:r>
    </w:p>
    <w:p>
      <w:pPr>
        <w:pStyle w:val="Heading5"/>
      </w:pPr>
      <w:bookmarkStart w:id="9" w:name="_Toc154745651"/>
      <w:r>
        <w:rPr>
          <w:rStyle w:val="CharSectno"/>
        </w:rPr>
        <w:t>4A</w:t>
      </w:r>
      <w:r>
        <w:t>.</w:t>
      </w:r>
      <w:r>
        <w:tab/>
        <w:t>Interim placement arrangements (Act s. 79(2)(a)(iv))</w:t>
      </w:r>
      <w:bookmarkEnd w:id="9"/>
    </w:p>
    <w:p>
      <w:pPr>
        <w:pStyle w:val="Subsection"/>
      </w:pPr>
      <w:r>
        <w:tab/>
        <w:t>(1)</w:t>
      </w:r>
      <w:r>
        <w:tab/>
        <w:t xml:space="preserve">In this regulation — </w:t>
      </w:r>
    </w:p>
    <w:p>
      <w:pPr>
        <w:pStyle w:val="Defstart"/>
      </w:pPr>
      <w:r>
        <w:tab/>
      </w:r>
      <w:r>
        <w:rPr>
          <w:rStyle w:val="CharDefText"/>
        </w:rPr>
        <w:t>interim carer</w:t>
      </w:r>
      <w:r>
        <w:t>, in relation to an interim placement arrangement, means the individual who provides, or will provide, care for a child under the interim placement arrangement.</w:t>
      </w:r>
    </w:p>
    <w:p>
      <w:pPr>
        <w:pStyle w:val="Subsection"/>
      </w:pPr>
      <w:r>
        <w:tab/>
        <w:t>(2)</w:t>
      </w:r>
      <w:r>
        <w:tab/>
        <w:t xml:space="preserve">The CEO may, under section 79(2), make an arrangement (an </w:t>
      </w:r>
      <w:r>
        <w:rPr>
          <w:rStyle w:val="CharDefText"/>
        </w:rPr>
        <w:t>interim placement arrangement</w:t>
      </w:r>
      <w:r>
        <w:t>) for the placement of a child with an individual who is not approved under regulation 4(1).</w:t>
      </w:r>
    </w:p>
    <w:p>
      <w:pPr>
        <w:pStyle w:val="Subsection"/>
      </w:pPr>
      <w:r>
        <w:tab/>
        <w:t>(3)</w:t>
      </w:r>
      <w:r>
        <w:tab/>
        <w:t xml:space="preserve">Before, or as soon as practicable after, an interim placement arrangement is made in respect of a child, the following requirements must be met — </w:t>
      </w:r>
    </w:p>
    <w:p>
      <w:pPr>
        <w:pStyle w:val="Indenta"/>
      </w:pPr>
      <w:r>
        <w:tab/>
        <w:t>(a)</w:t>
      </w:r>
      <w:r>
        <w:tab/>
        <w:t>the interim carer must make, and give to the CEO, a statutory declaration, in a form approved by the CEO, that addresses matters relevant to the interim carer’s suitability to provide care for the child;</w:t>
      </w:r>
    </w:p>
    <w:p>
      <w:pPr>
        <w:pStyle w:val="Indenta"/>
        <w:keepNext/>
        <w:keepLines/>
      </w:pPr>
      <w:r>
        <w:lastRenderedPageBreak/>
        <w:tab/>
        <w:t>(b)</w:t>
      </w:r>
      <w:r>
        <w:tab/>
        <w:t>the interim carer must consent to the CEO carrying out any check (including a criminal record check) that the CEO considers appropriate for the purposes of assessing the interim carer’s suitability to provide care for the child;</w:t>
      </w:r>
    </w:p>
    <w:p>
      <w:pPr>
        <w:pStyle w:val="Indenta"/>
      </w:pPr>
      <w:r>
        <w:tab/>
        <w:t>(c)</w:t>
      </w:r>
      <w:r>
        <w:tab/>
        <w:t xml:space="preserve">the CEO must confirm that a negative notice or an interim negative notice has not been issued to the interim carer under the </w:t>
      </w:r>
      <w:r>
        <w:rPr>
          <w:i/>
        </w:rPr>
        <w:t>Working with Children (Criminal Record Checking) Act 2004</w:t>
      </w:r>
      <w:r>
        <w:t>;</w:t>
      </w:r>
    </w:p>
    <w:p>
      <w:pPr>
        <w:pStyle w:val="Indenta"/>
      </w:pPr>
      <w:r>
        <w:tab/>
        <w:t>(d)</w:t>
      </w:r>
      <w:r>
        <w:tab/>
        <w:t>an officer must visit the place where the child is, or will be, living under the interim placement arrangement.</w:t>
      </w:r>
    </w:p>
    <w:p>
      <w:pPr>
        <w:pStyle w:val="Subsection"/>
      </w:pPr>
      <w:r>
        <w:tab/>
        <w:t>(4)</w:t>
      </w:r>
      <w:r>
        <w:tab/>
        <w:t xml:space="preserve">The CEO must cancel an interim placement arrangement if — </w:t>
      </w:r>
    </w:p>
    <w:p>
      <w:pPr>
        <w:pStyle w:val="Indenta"/>
      </w:pPr>
      <w:r>
        <w:tab/>
        <w:t>(a)</w:t>
      </w:r>
      <w:r>
        <w:tab/>
        <w:t>any of the requirements in subregulation (3) are not met within 5 working days after the day on which the interim placement arrangement is made; or</w:t>
      </w:r>
    </w:p>
    <w:p>
      <w:pPr>
        <w:pStyle w:val="Indenta"/>
      </w:pPr>
      <w:r>
        <w:tab/>
        <w:t>(b)</w:t>
      </w:r>
      <w:r>
        <w:tab/>
        <w:t>the interim carer is not approved under regulation 4(1) within 6 months after the day on which the interim placement arrangement is made.</w:t>
      </w:r>
    </w:p>
    <w:p>
      <w:pPr>
        <w:pStyle w:val="Subsection"/>
      </w:pPr>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p>
    <w:p>
      <w:pPr>
        <w:pStyle w:val="Footnotesection"/>
      </w:pPr>
      <w:r>
        <w:tab/>
        <w:t>[Regulation 4A inserted: SL 2022/49 r. 5.]</w:t>
      </w:r>
    </w:p>
    <w:p>
      <w:pPr>
        <w:pStyle w:val="Heading5"/>
      </w:pPr>
      <w:bookmarkStart w:id="10" w:name="_Toc154745652"/>
      <w:r>
        <w:rPr>
          <w:rStyle w:val="CharSectno"/>
        </w:rPr>
        <w:t>4B</w:t>
      </w:r>
      <w:r>
        <w:t>.</w:t>
      </w:r>
      <w:r>
        <w:tab/>
        <w:t xml:space="preserve">Prescribed course (Act s. 124A </w:t>
      </w:r>
      <w:r>
        <w:rPr>
          <w:i/>
        </w:rPr>
        <w:t>teacher</w:t>
      </w:r>
      <w:r>
        <w:t>)</w:t>
      </w:r>
      <w:bookmarkEnd w:id="10"/>
    </w:p>
    <w:p>
      <w:pPr>
        <w:pStyle w:val="Subsection"/>
      </w:pPr>
      <w:r>
        <w:tab/>
      </w:r>
      <w:r>
        <w:tab/>
        <w:t xml:space="preserve">A course is prescribed for the purposes of paragraph (c)(ii) of the definition of </w:t>
      </w:r>
      <w:r>
        <w:rPr>
          <w:b/>
          <w:i/>
        </w:rPr>
        <w:t>teacher</w:t>
      </w:r>
      <w:r>
        <w:t xml:space="preserve"> in section 124A if — </w:t>
      </w:r>
    </w:p>
    <w:p>
      <w:pPr>
        <w:pStyle w:val="Indenta"/>
      </w:pPr>
      <w:r>
        <w:tab/>
        <w:t>(a)</w:t>
      </w:r>
      <w:r>
        <w:tab/>
        <w:t xml:space="preserve">the course is an approved VET course as defined in the </w:t>
      </w:r>
      <w:r>
        <w:rPr>
          <w:i/>
        </w:rPr>
        <w:t>Vocational Education and Training Act 1996</w:t>
      </w:r>
      <w:r>
        <w:t xml:space="preserve"> section 5(1); and</w:t>
      </w:r>
    </w:p>
    <w:p>
      <w:pPr>
        <w:pStyle w:val="Indenta"/>
        <w:keepNext/>
      </w:pPr>
      <w:r>
        <w:lastRenderedPageBreak/>
        <w:tab/>
        <w:t>(b)</w:t>
      </w:r>
      <w:r>
        <w:tab/>
        <w:t xml:space="preserve">the course is provided by — </w:t>
      </w:r>
    </w:p>
    <w:p>
      <w:pPr>
        <w:pStyle w:val="Indenti"/>
      </w:pPr>
      <w:r>
        <w:tab/>
        <w:t>(i)</w:t>
      </w:r>
      <w:r>
        <w:tab/>
        <w:t xml:space="preserve">a college established under the </w:t>
      </w:r>
      <w:r>
        <w:rPr>
          <w:i/>
        </w:rPr>
        <w:t>Vocational Education and Training Act 1996</w:t>
      </w:r>
      <w:r>
        <w:t xml:space="preserve"> section 35; and</w:t>
      </w:r>
    </w:p>
    <w:p>
      <w:pPr>
        <w:pStyle w:val="Indenti"/>
      </w:pPr>
      <w:r>
        <w:tab/>
        <w:t>(ii)</w:t>
      </w:r>
      <w:r>
        <w:tab/>
        <w:t xml:space="preserve">a person employed under the </w:t>
      </w:r>
      <w:r>
        <w:rPr>
          <w:i/>
        </w:rPr>
        <w:t>Vocational Education and Training Act 1996</w:t>
      </w:r>
      <w:r>
        <w:t xml:space="preserve"> section 47;</w:t>
      </w:r>
    </w:p>
    <w:p>
      <w:pPr>
        <w:pStyle w:val="Indenta"/>
      </w:pPr>
      <w:r>
        <w:tab/>
      </w:r>
      <w:r>
        <w:tab/>
        <w:t>and</w:t>
      </w:r>
    </w:p>
    <w:p>
      <w:pPr>
        <w:pStyle w:val="Indenta"/>
      </w:pPr>
      <w:r>
        <w:tab/>
        <w:t>(c)</w:t>
      </w:r>
      <w:r>
        <w:tab/>
        <w:t>the course is provided for students who include children.</w:t>
      </w:r>
    </w:p>
    <w:p>
      <w:pPr>
        <w:pStyle w:val="Footnotesection"/>
      </w:pPr>
      <w:r>
        <w:tab/>
        <w:t>[Regulation 4B inserted: SL 2023/110 r. 4.]</w:t>
      </w:r>
    </w:p>
    <w:p>
      <w:pPr>
        <w:pStyle w:val="Heading5"/>
      </w:pPr>
      <w:bookmarkStart w:id="11" w:name="_Toc154745653"/>
      <w:r>
        <w:rPr>
          <w:rStyle w:val="CharSectno"/>
        </w:rPr>
        <w:t>5</w:t>
      </w:r>
      <w:r>
        <w:t>.</w:t>
      </w:r>
      <w:r>
        <w:tab/>
        <w:t>Records, prescribed information for (Act s. 128)</w:t>
      </w:r>
      <w:bookmarkEnd w:id="11"/>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keepNext/>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lastRenderedPageBreak/>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12" w:name="_Toc154745654"/>
      <w:r>
        <w:rPr>
          <w:rStyle w:val="CharPartNo"/>
        </w:rPr>
        <w:lastRenderedPageBreak/>
        <w:t>Part 3</w:t>
      </w:r>
      <w:r>
        <w:rPr>
          <w:rStyle w:val="CharDivNo"/>
        </w:rPr>
        <w:t> </w:t>
      </w:r>
      <w:r>
        <w:t>—</w:t>
      </w:r>
      <w:r>
        <w:rPr>
          <w:rStyle w:val="CharDivText"/>
        </w:rPr>
        <w:t> </w:t>
      </w:r>
      <w:r>
        <w:rPr>
          <w:rStyle w:val="CharPartText"/>
        </w:rPr>
        <w:t>Restraint, search and seizure</w:t>
      </w:r>
      <w:bookmarkEnd w:id="12"/>
    </w:p>
    <w:p>
      <w:pPr>
        <w:pStyle w:val="Heading5"/>
      </w:pPr>
      <w:bookmarkStart w:id="13" w:name="_Toc154745655"/>
      <w:r>
        <w:rPr>
          <w:rStyle w:val="CharSectno"/>
        </w:rPr>
        <w:t>6</w:t>
      </w:r>
      <w:r>
        <w:t>.</w:t>
      </w:r>
      <w:r>
        <w:tab/>
        <w:t>Prescribed amount (Act s. 112 “disposable article”)</w:t>
      </w:r>
      <w:bookmarkEnd w:id="13"/>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14" w:name="_Toc154745656"/>
      <w:r>
        <w:rPr>
          <w:rStyle w:val="CharSectno"/>
        </w:rPr>
        <w:t>7</w:t>
      </w:r>
      <w:r>
        <w:t>.</w:t>
      </w:r>
      <w:r>
        <w:tab/>
        <w:t>Restraint of child under Act s. 114, officer’s duties after</w:t>
      </w:r>
      <w:bookmarkEnd w:id="14"/>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15" w:name="_Toc154745657"/>
      <w:r>
        <w:rPr>
          <w:rStyle w:val="CharSectno"/>
        </w:rPr>
        <w:t>8</w:t>
      </w:r>
      <w:r>
        <w:t>.</w:t>
      </w:r>
      <w:r>
        <w:tab/>
        <w:t>Articles seized under Act s. 116, dealing with</w:t>
      </w:r>
      <w:bookmarkEnd w:id="15"/>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16" w:name="_Toc154745658"/>
      <w:r>
        <w:rPr>
          <w:rStyle w:val="CharPartNo"/>
        </w:rPr>
        <w:lastRenderedPageBreak/>
        <w:t>Part 4AA</w:t>
      </w:r>
      <w:r>
        <w:rPr>
          <w:b w:val="0"/>
        </w:rPr>
        <w:t> </w:t>
      </w:r>
      <w:r>
        <w:t>—</w:t>
      </w:r>
      <w:r>
        <w:rPr>
          <w:b w:val="0"/>
        </w:rPr>
        <w:t> </w:t>
      </w:r>
      <w:r>
        <w:rPr>
          <w:rStyle w:val="CharPartText"/>
        </w:rPr>
        <w:t>Warrants</w:t>
      </w:r>
      <w:bookmarkEnd w:id="16"/>
    </w:p>
    <w:p>
      <w:pPr>
        <w:pStyle w:val="Footnoteheading"/>
      </w:pPr>
      <w:r>
        <w:tab/>
        <w:t>[Heading inserted: Gazette 19 Jun 2009 p. 2226.]</w:t>
      </w:r>
    </w:p>
    <w:p>
      <w:pPr>
        <w:pStyle w:val="Heading5"/>
      </w:pPr>
      <w:bookmarkStart w:id="17" w:name="_Toc154745659"/>
      <w:r>
        <w:rPr>
          <w:rStyle w:val="CharSectno"/>
        </w:rPr>
        <w:t>9AA</w:t>
      </w:r>
      <w:r>
        <w:t>.</w:t>
      </w:r>
      <w:r>
        <w:tab/>
        <w:t>Form of warrant (access) (Act s. 121(1))</w:t>
      </w:r>
      <w:bookmarkEnd w:id="17"/>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18" w:name="_Toc154745660"/>
      <w:r>
        <w:rPr>
          <w:rStyle w:val="CharSectno"/>
        </w:rPr>
        <w:t>9AB</w:t>
      </w:r>
      <w:r>
        <w:t>.</w:t>
      </w:r>
      <w:r>
        <w:tab/>
        <w:t>Form of warrant (apprehension) (Act s. 122(1))</w:t>
      </w:r>
      <w:bookmarkEnd w:id="18"/>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19" w:name="_Toc154745661"/>
      <w:r>
        <w:rPr>
          <w:rStyle w:val="CharSectno"/>
        </w:rPr>
        <w:t>9AC</w:t>
      </w:r>
      <w:r>
        <w:t>.</w:t>
      </w:r>
      <w:r>
        <w:tab/>
        <w:t>Form of warrant (provisional protection and care) (Act s. 123(1))</w:t>
      </w:r>
      <w:bookmarkEnd w:id="19"/>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Heading5"/>
      </w:pPr>
      <w:bookmarkStart w:id="20" w:name="_Toc154745662"/>
      <w:r>
        <w:rPr>
          <w:rStyle w:val="CharSectno"/>
        </w:rPr>
        <w:t>9AD</w:t>
      </w:r>
      <w:r>
        <w:t>.</w:t>
      </w:r>
      <w:r>
        <w:tab/>
        <w:t>Information in application for entry warrant (Act s. 241L(2)(a))</w:t>
      </w:r>
      <w:bookmarkEnd w:id="20"/>
    </w:p>
    <w:p>
      <w:pPr>
        <w:pStyle w:val="Subsection"/>
      </w:pPr>
      <w:r>
        <w:tab/>
      </w:r>
      <w:r>
        <w:tab/>
        <w:t xml:space="preserve">An application for an entry warrant made under section 241L(1) must include the following — </w:t>
      </w:r>
    </w:p>
    <w:p>
      <w:pPr>
        <w:pStyle w:val="Indenta"/>
      </w:pPr>
      <w:r>
        <w:tab/>
        <w:t>(a)</w:t>
      </w:r>
      <w:r>
        <w:tab/>
        <w:t>the applicant’s full name and official details;</w:t>
      </w:r>
    </w:p>
    <w:p>
      <w:pPr>
        <w:pStyle w:val="Indenta"/>
      </w:pPr>
      <w:r>
        <w:tab/>
        <w:t>(b)</w:t>
      </w:r>
      <w:r>
        <w:tab/>
        <w:t>the place in relation to which the warrant is sought;</w:t>
      </w:r>
    </w:p>
    <w:p>
      <w:pPr>
        <w:pStyle w:val="Indenta"/>
      </w:pPr>
      <w:r>
        <w:tab/>
        <w:t>(c)</w:t>
      </w:r>
      <w:r>
        <w:tab/>
        <w:t>the authorised purpose for which entry to the place is required;</w:t>
      </w:r>
    </w:p>
    <w:p>
      <w:pPr>
        <w:pStyle w:val="Indenta"/>
      </w:pPr>
      <w:r>
        <w:tab/>
        <w:t>(d)</w:t>
      </w:r>
      <w:r>
        <w:tab/>
        <w:t>the grounds on which the applicant considers that entry to the place is required;</w:t>
      </w:r>
    </w:p>
    <w:p>
      <w:pPr>
        <w:pStyle w:val="Indenta"/>
      </w:pPr>
      <w:r>
        <w:tab/>
        <w:t>(e)</w:t>
      </w:r>
      <w:r>
        <w:tab/>
        <w:t>the period, not exceeding 14 days, proposed for execution of the warrant;</w:t>
      </w:r>
    </w:p>
    <w:p>
      <w:pPr>
        <w:pStyle w:val="Indenta"/>
      </w:pPr>
      <w:r>
        <w:lastRenderedPageBreak/>
        <w:tab/>
        <w:t>(f)</w:t>
      </w:r>
      <w:r>
        <w:tab/>
        <w:t>a statement to the best of the applicant’s knowledge about whether an application for an entry warrant in respect of the same place has been made under section 241L(1) within the previous 72 hours and, if so, whether or not an entry warrant was issued.</w:t>
      </w:r>
    </w:p>
    <w:p>
      <w:pPr>
        <w:pStyle w:val="Footnotesection"/>
      </w:pPr>
      <w:r>
        <w:tab/>
        <w:t>[Regulation 9AD inserted: SL 2022/49 r. 6.]</w:t>
      </w:r>
    </w:p>
    <w:p>
      <w:pPr>
        <w:pStyle w:val="Heading5"/>
      </w:pPr>
      <w:bookmarkStart w:id="21" w:name="_Toc154745663"/>
      <w:r>
        <w:rPr>
          <w:rStyle w:val="CharSectno"/>
        </w:rPr>
        <w:t>9AE</w:t>
      </w:r>
      <w:r>
        <w:t>.</w:t>
      </w:r>
      <w:r>
        <w:tab/>
        <w:t>Form of entry warrant (Act s. 241M(3))</w:t>
      </w:r>
      <w:bookmarkEnd w:id="21"/>
    </w:p>
    <w:p>
      <w:pPr>
        <w:pStyle w:val="Subsection"/>
      </w:pPr>
      <w:r>
        <w:tab/>
      </w:r>
      <w:r>
        <w:tab/>
        <w:t>An entry warrant issued under section 241M(1) must be in the form of Schedule 1 Form 3A.</w:t>
      </w:r>
    </w:p>
    <w:p>
      <w:pPr>
        <w:pStyle w:val="Footnotesection"/>
      </w:pPr>
      <w:r>
        <w:tab/>
        <w:t>[Regulation 9AE inserted: SL 2022/49 r. 6.]</w:t>
      </w:r>
    </w:p>
    <w:p>
      <w:pPr>
        <w:pStyle w:val="Ednotepart"/>
      </w:pPr>
      <w:r>
        <w:t>[Part 4A (r. 9A) deleted: Gazette 18 Jan 2011 p. 145.]</w:t>
      </w:r>
    </w:p>
    <w:p>
      <w:pPr>
        <w:pStyle w:val="Heading2"/>
      </w:pPr>
      <w:bookmarkStart w:id="22" w:name="_Toc154745664"/>
      <w:r>
        <w:rPr>
          <w:rStyle w:val="CharPartNo"/>
        </w:rPr>
        <w:lastRenderedPageBreak/>
        <w:t>Part 4</w:t>
      </w:r>
      <w:r>
        <w:rPr>
          <w:rStyle w:val="CharDivNo"/>
        </w:rPr>
        <w:t> </w:t>
      </w:r>
      <w:r>
        <w:t>—</w:t>
      </w:r>
      <w:r>
        <w:rPr>
          <w:rStyle w:val="CharDivText"/>
        </w:rPr>
        <w:t> </w:t>
      </w:r>
      <w:r>
        <w:rPr>
          <w:rStyle w:val="CharPartText"/>
        </w:rPr>
        <w:t>Pre</w:t>
      </w:r>
      <w:r>
        <w:rPr>
          <w:rStyle w:val="CharPartText"/>
        </w:rPr>
        <w:noBreakHyphen/>
        <w:t>hearing conferences</w:t>
      </w:r>
      <w:bookmarkEnd w:id="22"/>
    </w:p>
    <w:p>
      <w:pPr>
        <w:pStyle w:val="Heading5"/>
      </w:pPr>
      <w:bookmarkStart w:id="23" w:name="_Toc154745665"/>
      <w:r>
        <w:rPr>
          <w:rStyle w:val="CharSectno"/>
        </w:rPr>
        <w:t>9</w:t>
      </w:r>
      <w:r>
        <w:t>.</w:t>
      </w:r>
      <w:r>
        <w:tab/>
        <w:t>Terms used</w:t>
      </w:r>
      <w:bookmarkEnd w:id="23"/>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24" w:name="_Toc154745666"/>
      <w:r>
        <w:rPr>
          <w:rStyle w:val="CharSectno"/>
        </w:rPr>
        <w:t>10</w:t>
      </w:r>
      <w:r>
        <w:t>.</w:t>
      </w:r>
      <w:r>
        <w:tab/>
        <w:t>Convenors, appointment of (Act s. 136)</w:t>
      </w:r>
      <w:bookmarkEnd w:id="24"/>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25" w:name="_Toc154745667"/>
      <w:r>
        <w:rPr>
          <w:rStyle w:val="CharSectno"/>
        </w:rPr>
        <w:t>11</w:t>
      </w:r>
      <w:r>
        <w:t>.</w:t>
      </w:r>
      <w:r>
        <w:tab/>
        <w:t>Terms and conditions of convenors’ appointments</w:t>
      </w:r>
      <w:bookmarkEnd w:id="25"/>
    </w:p>
    <w:p>
      <w:pPr>
        <w:pStyle w:val="Subsection"/>
      </w:pPr>
      <w:r>
        <w:tab/>
        <w:t>(1)</w:t>
      </w:r>
      <w:r>
        <w:tab/>
        <w:t>A convenor appointed under regulation 10(b) holds office for the period, not exceeding 3 years, specified in their instrument of appointment and is eligible for reappointment.</w:t>
      </w:r>
    </w:p>
    <w:p>
      <w:pPr>
        <w:pStyle w:val="Subsection"/>
      </w:pPr>
      <w:r>
        <w:tab/>
        <w:t>(2)</w:t>
      </w:r>
      <w:r>
        <w:tab/>
        <w:t>The remuneration, allowances, and other terms and conditions of appointment, of a convenor appointed under regulation 10(b) are as described in their instrument of appointment.</w:t>
      </w:r>
    </w:p>
    <w:p>
      <w:pPr>
        <w:pStyle w:val="Footnotesection"/>
      </w:pPr>
      <w:r>
        <w:tab/>
        <w:t>[Regulation 11 amended: SL 2022/49 r. 10.]</w:t>
      </w:r>
    </w:p>
    <w:p>
      <w:pPr>
        <w:pStyle w:val="Heading5"/>
      </w:pPr>
      <w:bookmarkStart w:id="26" w:name="_Toc154745668"/>
      <w:r>
        <w:rPr>
          <w:rStyle w:val="CharSectno"/>
        </w:rPr>
        <w:t>12</w:t>
      </w:r>
      <w:r>
        <w:t>.</w:t>
      </w:r>
      <w:r>
        <w:tab/>
        <w:t>Resignation by convenor</w:t>
      </w:r>
      <w:bookmarkEnd w:id="26"/>
    </w:p>
    <w:p>
      <w:pPr>
        <w:pStyle w:val="Subsection"/>
      </w:pPr>
      <w:r>
        <w:tab/>
      </w:r>
      <w:r>
        <w:tab/>
        <w:t>A convenor appointed under regulation 10(b) may resign from office by giving the President a signed letter of resignation.</w:t>
      </w:r>
    </w:p>
    <w:p>
      <w:pPr>
        <w:pStyle w:val="Heading5"/>
      </w:pPr>
      <w:bookmarkStart w:id="27" w:name="_Toc154745669"/>
      <w:r>
        <w:rPr>
          <w:rStyle w:val="CharSectno"/>
        </w:rPr>
        <w:lastRenderedPageBreak/>
        <w:t>13</w:t>
      </w:r>
      <w:r>
        <w:t>.</w:t>
      </w:r>
      <w:r>
        <w:tab/>
        <w:t>Removing convenor from office</w:t>
      </w:r>
      <w:bookmarkEnd w:id="27"/>
    </w:p>
    <w:p>
      <w:pPr>
        <w:pStyle w:val="Subsection"/>
      </w:pPr>
      <w:r>
        <w:tab/>
      </w:r>
      <w:r>
        <w:tab/>
        <w:t>The President may remove a convenor appointed under regulation 10(b) from office at any time.</w:t>
      </w:r>
    </w:p>
    <w:p>
      <w:pPr>
        <w:pStyle w:val="Heading5"/>
      </w:pPr>
      <w:bookmarkStart w:id="28" w:name="_Toc154745670"/>
      <w:r>
        <w:rPr>
          <w:rStyle w:val="CharSectno"/>
        </w:rPr>
        <w:t>14</w:t>
      </w:r>
      <w:r>
        <w:t>.</w:t>
      </w:r>
      <w:r>
        <w:tab/>
        <w:t>People who may attend pre</w:t>
      </w:r>
      <w:r>
        <w:noBreakHyphen/>
        <w:t>hearing conference</w:t>
      </w:r>
      <w:bookmarkEnd w:id="28"/>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29" w:name="_Toc154745671"/>
      <w:r>
        <w:rPr>
          <w:rStyle w:val="CharSectno"/>
        </w:rPr>
        <w:t>15</w:t>
      </w:r>
      <w:r>
        <w:t>.</w:t>
      </w:r>
      <w:r>
        <w:tab/>
        <w:t>Participation using video link, audio link etc.</w:t>
      </w:r>
      <w:bookmarkEnd w:id="29"/>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30" w:name="_Toc154745672"/>
      <w:r>
        <w:rPr>
          <w:rStyle w:val="CharPartNo"/>
        </w:rPr>
        <w:lastRenderedPageBreak/>
        <w:t>Part 5A</w:t>
      </w:r>
      <w:r>
        <w:rPr>
          <w:b w:val="0"/>
        </w:rPr>
        <w:t> </w:t>
      </w:r>
      <w:r>
        <w:t>—</w:t>
      </w:r>
      <w:r>
        <w:rPr>
          <w:b w:val="0"/>
        </w:rPr>
        <w:t> </w:t>
      </w:r>
      <w:r>
        <w:rPr>
          <w:rStyle w:val="CharPartText"/>
        </w:rPr>
        <w:t>Parentage testing procedures and reports</w:t>
      </w:r>
      <w:bookmarkEnd w:id="30"/>
    </w:p>
    <w:p>
      <w:pPr>
        <w:pStyle w:val="Footnoteheading"/>
      </w:pPr>
      <w:r>
        <w:tab/>
        <w:t>[Heading inserted: Gazette 28 Jan 2011 p. 243.]</w:t>
      </w:r>
    </w:p>
    <w:p>
      <w:pPr>
        <w:pStyle w:val="Heading3"/>
      </w:pPr>
      <w:bookmarkStart w:id="31" w:name="_Toc154745673"/>
      <w:r>
        <w:rPr>
          <w:rStyle w:val="CharDivNo"/>
        </w:rPr>
        <w:t>Division 1</w:t>
      </w:r>
      <w:r>
        <w:t> — </w:t>
      </w:r>
      <w:r>
        <w:rPr>
          <w:rStyle w:val="CharDivText"/>
        </w:rPr>
        <w:t>General</w:t>
      </w:r>
      <w:bookmarkEnd w:id="31"/>
    </w:p>
    <w:p>
      <w:pPr>
        <w:pStyle w:val="Footnoteheading"/>
      </w:pPr>
      <w:r>
        <w:tab/>
        <w:t>[Heading inserted: Gazette 28 Jan 2011 p. 243.]</w:t>
      </w:r>
    </w:p>
    <w:p>
      <w:pPr>
        <w:pStyle w:val="Heading5"/>
      </w:pPr>
      <w:bookmarkStart w:id="32" w:name="_Toc154745674"/>
      <w:r>
        <w:rPr>
          <w:rStyle w:val="CharSectno"/>
        </w:rPr>
        <w:t>16A</w:t>
      </w:r>
      <w:r>
        <w:t>.</w:t>
      </w:r>
      <w:r>
        <w:tab/>
        <w:t>Terms used</w:t>
      </w:r>
      <w:bookmarkEnd w:id="32"/>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 xml:space="preserve">if the child is in provisional protection and care, or is the subject of a protection order (time limited) or protection </w:t>
      </w:r>
      <w:r>
        <w:lastRenderedPageBreak/>
        <w:t>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33" w:name="_Toc154745675"/>
      <w:r>
        <w:rPr>
          <w:rStyle w:val="CharSectno"/>
        </w:rPr>
        <w:t>16B</w:t>
      </w:r>
      <w:r>
        <w:t>.</w:t>
      </w:r>
      <w:r>
        <w:tab/>
        <w:t>Parentage testing procedures (Act s. 136A)</w:t>
      </w:r>
      <w:bookmarkEnd w:id="33"/>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34" w:name="_Toc154745676"/>
      <w:r>
        <w:rPr>
          <w:rStyle w:val="CharSectno"/>
        </w:rPr>
        <w:t>16C</w:t>
      </w:r>
      <w:r>
        <w:t>.</w:t>
      </w:r>
      <w:r>
        <w:tab/>
        <w:t>Compliance with regulations</w:t>
      </w:r>
      <w:bookmarkEnd w:id="34"/>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lastRenderedPageBreak/>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35" w:name="_Toc154745677"/>
      <w:r>
        <w:rPr>
          <w:rStyle w:val="CharDivNo"/>
        </w:rPr>
        <w:t>Division 2</w:t>
      </w:r>
      <w:r>
        <w:t> — </w:t>
      </w:r>
      <w:r>
        <w:rPr>
          <w:rStyle w:val="CharDivText"/>
        </w:rPr>
        <w:t>Collection, storage and testing of samples</w:t>
      </w:r>
      <w:bookmarkEnd w:id="35"/>
    </w:p>
    <w:p>
      <w:pPr>
        <w:pStyle w:val="Footnoteheading"/>
      </w:pPr>
      <w:r>
        <w:tab/>
        <w:t>[Heading inserted: Gazette 28 Jan 2011 p. 245.]</w:t>
      </w:r>
    </w:p>
    <w:p>
      <w:pPr>
        <w:pStyle w:val="Heading5"/>
      </w:pPr>
      <w:bookmarkStart w:id="36" w:name="_Toc154745678"/>
      <w:r>
        <w:rPr>
          <w:rStyle w:val="CharSectno"/>
        </w:rPr>
        <w:t>16D</w:t>
      </w:r>
      <w:r>
        <w:t>.</w:t>
      </w:r>
      <w:r>
        <w:tab/>
        <w:t>Bodily samples, who may take</w:t>
      </w:r>
      <w:bookmarkEnd w:id="36"/>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37" w:name="_Toc154745679"/>
      <w:r>
        <w:rPr>
          <w:rStyle w:val="CharSectno"/>
        </w:rPr>
        <w:t>16E</w:t>
      </w:r>
      <w:r>
        <w:t>.</w:t>
      </w:r>
      <w:r>
        <w:tab/>
        <w:t>Information about donor to be given before bodily sample taken</w:t>
      </w:r>
      <w:bookmarkEnd w:id="37"/>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lastRenderedPageBreak/>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38" w:name="_Toc154745680"/>
      <w:r>
        <w:rPr>
          <w:rStyle w:val="CharSectno"/>
        </w:rPr>
        <w:t>16F</w:t>
      </w:r>
      <w:r>
        <w:t>.</w:t>
      </w:r>
      <w:r>
        <w:tab/>
        <w:t>Blood samples, taking of</w:t>
      </w:r>
      <w:bookmarkEnd w:id="38"/>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39" w:name="_Toc154745681"/>
      <w:r>
        <w:rPr>
          <w:rStyle w:val="CharSectno"/>
        </w:rPr>
        <w:lastRenderedPageBreak/>
        <w:t>16G</w:t>
      </w:r>
      <w:r>
        <w:t>.</w:t>
      </w:r>
      <w:r>
        <w:tab/>
        <w:t>Bodily samples for DNA typing, taking of</w:t>
      </w:r>
      <w:bookmarkEnd w:id="39"/>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40" w:name="_Toc154745682"/>
      <w:r>
        <w:rPr>
          <w:rStyle w:val="CharSectno"/>
        </w:rPr>
        <w:t>16H</w:t>
      </w:r>
      <w:r>
        <w:t>.</w:t>
      </w:r>
      <w:r>
        <w:tab/>
        <w:t>Bodily samples, procedure for dealing with immediately after taking</w:t>
      </w:r>
      <w:bookmarkEnd w:id="40"/>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lastRenderedPageBreak/>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keepNext/>
      </w:pPr>
      <w:r>
        <w:tab/>
        <w:t>(e)</w:t>
      </w:r>
      <w:r>
        <w:tab/>
        <w:t xml:space="preserve">the particulars on the label are inscribed in ink and include — </w:t>
      </w:r>
    </w:p>
    <w:p>
      <w:pPr>
        <w:pStyle w:val="Indenti"/>
        <w:keepNext/>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41" w:name="_Toc154745683"/>
      <w:r>
        <w:rPr>
          <w:rStyle w:val="CharSectno"/>
        </w:rPr>
        <w:lastRenderedPageBreak/>
        <w:t>16I</w:t>
      </w:r>
      <w:r>
        <w:t>.</w:t>
      </w:r>
      <w:r>
        <w:tab/>
        <w:t>Sampler’s duties after taking bodily sample</w:t>
      </w:r>
      <w:bookmarkEnd w:id="41"/>
    </w:p>
    <w:p>
      <w:pPr>
        <w:pStyle w:val="Subsection"/>
        <w:keepNext/>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keepNext/>
        <w:keepLines/>
      </w:pPr>
      <w:r>
        <w:tab/>
        <w:t>(c)</w:t>
      </w:r>
      <w:r>
        <w:tab/>
        <w:t>sign their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 amended: SL 2022/49 r. 10.]</w:t>
      </w:r>
    </w:p>
    <w:p>
      <w:pPr>
        <w:pStyle w:val="Heading5"/>
      </w:pPr>
      <w:bookmarkStart w:id="42" w:name="_Toc154745684"/>
      <w:r>
        <w:rPr>
          <w:rStyle w:val="CharSectno"/>
        </w:rPr>
        <w:t>16J</w:t>
      </w:r>
      <w:r>
        <w:t>.</w:t>
      </w:r>
      <w:r>
        <w:tab/>
        <w:t>Packing, storing and transporting bodily samples for testing</w:t>
      </w:r>
      <w:bookmarkEnd w:id="42"/>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43" w:name="_Toc154745685"/>
      <w:r>
        <w:rPr>
          <w:rStyle w:val="CharSectno"/>
        </w:rPr>
        <w:t>16K</w:t>
      </w:r>
      <w:r>
        <w:t>.</w:t>
      </w:r>
      <w:r>
        <w:tab/>
        <w:t>Time for testing bodily samples</w:t>
      </w:r>
      <w:bookmarkEnd w:id="43"/>
    </w:p>
    <w:p>
      <w:pPr>
        <w:pStyle w:val="Subsection"/>
      </w:pPr>
      <w:r>
        <w:tab/>
        <w:t>(1)</w:t>
      </w:r>
      <w:r>
        <w:tab/>
        <w:t xml:space="preserve">A laboratory to which a bodily sample has been sent for testing must ensure that the testing is completed — </w:t>
      </w:r>
    </w:p>
    <w:p>
      <w:pPr>
        <w:pStyle w:val="Indenta"/>
      </w:pPr>
      <w:r>
        <w:tab/>
        <w:t>(a)</w:t>
      </w:r>
      <w:r>
        <w:tab/>
        <w:t xml:space="preserve">if the proposed procedure is red cell antigen blood grouping, red cell enzyme blood grouping or testing for </w:t>
      </w:r>
      <w:r>
        <w:lastRenderedPageBreak/>
        <w:t>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44" w:name="_Toc154745686"/>
      <w:r>
        <w:rPr>
          <w:rStyle w:val="CharDivNo"/>
        </w:rPr>
        <w:t>Division 3</w:t>
      </w:r>
      <w:r>
        <w:t> — </w:t>
      </w:r>
      <w:r>
        <w:rPr>
          <w:rStyle w:val="CharDivText"/>
        </w:rPr>
        <w:t>Reports</w:t>
      </w:r>
      <w:bookmarkEnd w:id="44"/>
    </w:p>
    <w:p>
      <w:pPr>
        <w:pStyle w:val="Footnoteheading"/>
        <w:keepNext/>
      </w:pPr>
      <w:r>
        <w:tab/>
        <w:t>[Heading inserted: Gazette 28 Jan 2011 p. 248.]</w:t>
      </w:r>
    </w:p>
    <w:p>
      <w:pPr>
        <w:pStyle w:val="Heading5"/>
      </w:pPr>
      <w:bookmarkStart w:id="45" w:name="_Toc154745687"/>
      <w:r>
        <w:rPr>
          <w:rStyle w:val="CharSectno"/>
        </w:rPr>
        <w:t>16L</w:t>
      </w:r>
      <w:r>
        <w:t>.</w:t>
      </w:r>
      <w:r>
        <w:tab/>
        <w:t>Reports of testing (Act s. 136H(b))</w:t>
      </w:r>
      <w:bookmarkEnd w:id="45"/>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46" w:name="_Toc154745688"/>
      <w:r>
        <w:rPr>
          <w:rStyle w:val="CharPartNo"/>
        </w:rPr>
        <w:lastRenderedPageBreak/>
        <w:t>Part 5</w:t>
      </w:r>
      <w:r>
        <w:rPr>
          <w:rStyle w:val="CharDivNo"/>
        </w:rPr>
        <w:t> </w:t>
      </w:r>
      <w:r>
        <w:t>—</w:t>
      </w:r>
      <w:r>
        <w:rPr>
          <w:rStyle w:val="CharDivText"/>
        </w:rPr>
        <w:t> </w:t>
      </w:r>
      <w:r>
        <w:rPr>
          <w:rStyle w:val="CharPartText"/>
        </w:rPr>
        <w:t>Reports about child</w:t>
      </w:r>
      <w:bookmarkEnd w:id="46"/>
    </w:p>
    <w:p>
      <w:pPr>
        <w:pStyle w:val="Heading5"/>
      </w:pPr>
      <w:bookmarkStart w:id="47" w:name="_Toc154745689"/>
      <w:r>
        <w:rPr>
          <w:rStyle w:val="CharSectno"/>
        </w:rPr>
        <w:t>16</w:t>
      </w:r>
      <w:r>
        <w:t>.</w:t>
      </w:r>
      <w:r>
        <w:tab/>
        <w:t>Terms used</w:t>
      </w:r>
      <w:bookmarkEnd w:id="47"/>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48" w:name="_Toc154745690"/>
      <w:r>
        <w:rPr>
          <w:rStyle w:val="CharSectno"/>
        </w:rPr>
        <w:t>17</w:t>
      </w:r>
      <w:r>
        <w:t>.</w:t>
      </w:r>
      <w:r>
        <w:tab/>
        <w:t>Appointing people to provide reports (Act s. 139)</w:t>
      </w:r>
      <w:bookmarkEnd w:id="48"/>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49" w:name="_Toc154745691"/>
      <w:r>
        <w:rPr>
          <w:rStyle w:val="CharSectno"/>
        </w:rPr>
        <w:t>18</w:t>
      </w:r>
      <w:r>
        <w:t>.</w:t>
      </w:r>
      <w:r>
        <w:tab/>
        <w:t>President to establish panel</w:t>
      </w:r>
      <w:bookmarkEnd w:id="49"/>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50" w:name="_Toc154745692"/>
      <w:r>
        <w:rPr>
          <w:rStyle w:val="CharSectno"/>
        </w:rPr>
        <w:lastRenderedPageBreak/>
        <w:t>19</w:t>
      </w:r>
      <w:r>
        <w:t>.</w:t>
      </w:r>
      <w:r>
        <w:tab/>
        <w:t>Terms and conditions of appointment under Act s. 139</w:t>
      </w:r>
      <w:bookmarkEnd w:id="50"/>
    </w:p>
    <w:p>
      <w:pPr>
        <w:pStyle w:val="Subsection"/>
        <w:keepNext/>
      </w:pPr>
      <w:r>
        <w:tab/>
      </w:r>
      <w:r>
        <w:tab/>
        <w:t>The remuneration, allowances, and other terms and conditions of appointment, of a person appointed for the purposes of section 139 are as described in their instrument of appointment.</w:t>
      </w:r>
    </w:p>
    <w:p>
      <w:pPr>
        <w:pStyle w:val="Footnotesection"/>
      </w:pPr>
      <w:r>
        <w:tab/>
        <w:t>[Regulation 19 amended: SL 2022/49 r. 10.]</w:t>
      </w:r>
    </w:p>
    <w:p>
      <w:pPr>
        <w:pStyle w:val="Heading5"/>
      </w:pPr>
      <w:bookmarkStart w:id="51" w:name="_Toc154745693"/>
      <w:r>
        <w:rPr>
          <w:rStyle w:val="CharSectno"/>
        </w:rPr>
        <w:t>20</w:t>
      </w:r>
      <w:r>
        <w:t>.</w:t>
      </w:r>
      <w:r>
        <w:tab/>
        <w:t>Costs of report</w:t>
      </w:r>
      <w:bookmarkEnd w:id="51"/>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52" w:name="_Toc154745694"/>
      <w:r>
        <w:rPr>
          <w:rStyle w:val="CharPartNo"/>
        </w:rPr>
        <w:lastRenderedPageBreak/>
        <w:t>Part 6</w:t>
      </w:r>
      <w:r>
        <w:rPr>
          <w:rStyle w:val="CharDivNo"/>
        </w:rPr>
        <w:t> </w:t>
      </w:r>
      <w:r>
        <w:t>—</w:t>
      </w:r>
      <w:r>
        <w:rPr>
          <w:rStyle w:val="CharDivText"/>
        </w:rPr>
        <w:t> </w:t>
      </w:r>
      <w:r>
        <w:rPr>
          <w:rStyle w:val="CharPartText"/>
        </w:rPr>
        <w:t>Miscellaneous</w:t>
      </w:r>
      <w:bookmarkEnd w:id="52"/>
    </w:p>
    <w:p>
      <w:pPr>
        <w:pStyle w:val="Heading5"/>
      </w:pPr>
      <w:bookmarkStart w:id="53" w:name="_Toc154745695"/>
      <w:r>
        <w:rPr>
          <w:rStyle w:val="CharSectno"/>
        </w:rPr>
        <w:t>20A</w:t>
      </w:r>
      <w:r>
        <w:t>.</w:t>
      </w:r>
      <w:r>
        <w:tab/>
        <w:t>Prescribed authorities (Act s. 28A)</w:t>
      </w:r>
      <w:bookmarkEnd w:id="53"/>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Aboriginal Cultural Heritage Act 2021</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 xml:space="preserve">the department of the Public Service principally assisting in the administration of the </w:t>
      </w:r>
      <w:r>
        <w:rPr>
          <w:i/>
        </w:rPr>
        <w:t>Mental Health Act 2014</w:t>
      </w:r>
      <w:r>
        <w:t>;</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lastRenderedPageBreak/>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 SL 2022/49 r. 7; SL 2023/52 r. 4.]</w:t>
      </w:r>
    </w:p>
    <w:p>
      <w:pPr>
        <w:pStyle w:val="Heading5"/>
      </w:pPr>
      <w:bookmarkStart w:id="54" w:name="_Toc154745696"/>
      <w:r>
        <w:rPr>
          <w:rStyle w:val="CharSectno"/>
        </w:rPr>
        <w:t>21</w:t>
      </w:r>
      <w:r>
        <w:t>.</w:t>
      </w:r>
      <w:r>
        <w:tab/>
        <w:t>Payments to special guardians (Act s. 65)</w:t>
      </w:r>
      <w:bookmarkEnd w:id="54"/>
    </w:p>
    <w:p>
      <w:pPr>
        <w:pStyle w:val="Subsection"/>
      </w:pPr>
      <w:r>
        <w:tab/>
        <w:t>(1)</w:t>
      </w:r>
      <w:r>
        <w:tab/>
        <w:t>For the purposes of section 65 the scale of amounts set out in the Table is prescribed.</w:t>
      </w:r>
    </w:p>
    <w:p>
      <w:pPr>
        <w:pStyle w:val="THeadingNAm"/>
      </w:pPr>
      <w:r>
        <w:lastRenderedPageBreak/>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3969"/>
        <w:gridCol w:w="1276"/>
      </w:tblGrid>
      <w:tr>
        <w:trPr>
          <w:cantSplit/>
          <w:tblHeader/>
        </w:trPr>
        <w:tc>
          <w:tcPr>
            <w:tcW w:w="822" w:type="dxa"/>
            <w:noWrap/>
          </w:tcPr>
          <w:p>
            <w:pPr>
              <w:pStyle w:val="TableNAm"/>
            </w:pPr>
            <w:r>
              <w:rPr>
                <w:b/>
              </w:rPr>
              <w:t>Item</w:t>
            </w:r>
          </w:p>
        </w:tc>
        <w:tc>
          <w:tcPr>
            <w:tcW w:w="3969" w:type="dxa"/>
            <w:noWrap/>
          </w:tcPr>
          <w:p>
            <w:pPr>
              <w:pStyle w:val="TableNAm"/>
            </w:pPr>
            <w:r>
              <w:rPr>
                <w:b/>
              </w:rPr>
              <w:t>Class of children</w:t>
            </w:r>
          </w:p>
        </w:tc>
        <w:tc>
          <w:tcPr>
            <w:tcW w:w="1276" w:type="dxa"/>
            <w:noWrap/>
          </w:tcPr>
          <w:p>
            <w:pPr>
              <w:pStyle w:val="TableNAm"/>
            </w:pPr>
            <w:r>
              <w:rPr>
                <w:b/>
              </w:rPr>
              <w:t>Amount</w:t>
            </w:r>
          </w:p>
        </w:tc>
      </w:tr>
      <w:tr>
        <w:trPr>
          <w:cantSplit/>
        </w:trPr>
        <w:tc>
          <w:tcPr>
            <w:tcW w:w="822" w:type="dxa"/>
            <w:noWrap/>
          </w:tcPr>
          <w:p>
            <w:pPr>
              <w:pStyle w:val="TableNAm"/>
            </w:pPr>
            <w:r>
              <w:t>1.</w:t>
            </w:r>
          </w:p>
        </w:tc>
        <w:tc>
          <w:tcPr>
            <w:tcW w:w="3969" w:type="dxa"/>
            <w:noWrap/>
          </w:tcPr>
          <w:p>
            <w:pPr>
              <w:pStyle w:val="TableNAm"/>
            </w:pPr>
            <w:r>
              <w:t>Children who are under 7 years of age</w:t>
            </w:r>
          </w:p>
        </w:tc>
        <w:tc>
          <w:tcPr>
            <w:tcW w:w="1276" w:type="dxa"/>
            <w:noWrap/>
            <w:vAlign w:val="bottom"/>
          </w:tcPr>
          <w:p>
            <w:pPr>
              <w:pStyle w:val="TableNAm"/>
              <w:jc w:val="center"/>
            </w:pPr>
            <w:r>
              <w:t>$460</w:t>
            </w:r>
          </w:p>
        </w:tc>
      </w:tr>
      <w:tr>
        <w:trPr>
          <w:cantSplit/>
        </w:trPr>
        <w:tc>
          <w:tcPr>
            <w:tcW w:w="822" w:type="dxa"/>
            <w:noWrap/>
          </w:tcPr>
          <w:p>
            <w:pPr>
              <w:pStyle w:val="TableNAm"/>
            </w:pPr>
            <w:r>
              <w:t>2.</w:t>
            </w:r>
          </w:p>
        </w:tc>
        <w:tc>
          <w:tcPr>
            <w:tcW w:w="3969" w:type="dxa"/>
            <w:noWrap/>
          </w:tcPr>
          <w:p>
            <w:pPr>
              <w:pStyle w:val="TableNAm"/>
            </w:pPr>
            <w:r>
              <w:t>Children who have reached 7 years of age but are under 13 years of age</w:t>
            </w:r>
          </w:p>
        </w:tc>
        <w:tc>
          <w:tcPr>
            <w:tcW w:w="1276" w:type="dxa"/>
            <w:noWrap/>
            <w:vAlign w:val="bottom"/>
          </w:tcPr>
          <w:p>
            <w:pPr>
              <w:pStyle w:val="TableNAm"/>
              <w:jc w:val="center"/>
            </w:pPr>
            <w:r>
              <w:t>$543</w:t>
            </w:r>
          </w:p>
        </w:tc>
      </w:tr>
      <w:tr>
        <w:trPr>
          <w:cantSplit/>
        </w:trPr>
        <w:tc>
          <w:tcPr>
            <w:tcW w:w="822" w:type="dxa"/>
            <w:noWrap/>
          </w:tcPr>
          <w:p>
            <w:pPr>
              <w:pStyle w:val="TableNAm"/>
            </w:pPr>
            <w:r>
              <w:t>3.</w:t>
            </w:r>
          </w:p>
        </w:tc>
        <w:tc>
          <w:tcPr>
            <w:tcW w:w="3969" w:type="dxa"/>
            <w:noWrap/>
          </w:tcPr>
          <w:p>
            <w:pPr>
              <w:pStyle w:val="TableNAm"/>
            </w:pPr>
            <w:r>
              <w:t>Children who have reached 13 years of age</w:t>
            </w:r>
          </w:p>
        </w:tc>
        <w:tc>
          <w:tcPr>
            <w:tcW w:w="1276" w:type="dxa"/>
            <w:noWrap/>
            <w:vAlign w:val="bottom"/>
          </w:tcPr>
          <w:p>
            <w:pPr>
              <w:pStyle w:val="TableNAm"/>
              <w:jc w:val="center"/>
            </w:pPr>
            <w:r>
              <w:t>$658</w:t>
            </w:r>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 SL 2022/87 r. 6; SL 2023/93 r. 6.]</w:t>
      </w:r>
    </w:p>
    <w:p>
      <w:pPr>
        <w:pStyle w:val="Heading5"/>
      </w:pPr>
      <w:bookmarkStart w:id="55" w:name="_Toc154745697"/>
      <w:r>
        <w:rPr>
          <w:rStyle w:val="CharSectno"/>
        </w:rPr>
        <w:t>21A</w:t>
      </w:r>
      <w:r>
        <w:t>.</w:t>
      </w:r>
      <w:r>
        <w:tab/>
        <w:t>Work prescribed (Act s. 191(4))</w:t>
      </w:r>
      <w:bookmarkEnd w:id="55"/>
    </w:p>
    <w:p>
      <w:pPr>
        <w:pStyle w:val="Subsection"/>
        <w:keepNext/>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56" w:name="_Toc154745698"/>
      <w:r>
        <w:rPr>
          <w:rStyle w:val="CharSectno"/>
        </w:rPr>
        <w:t>21B</w:t>
      </w:r>
      <w:r>
        <w:t>.</w:t>
      </w:r>
      <w:r>
        <w:tab/>
        <w:t>Prescribed personal material (Act s. 97(1))</w:t>
      </w:r>
      <w:bookmarkEnd w:id="56"/>
    </w:p>
    <w:p>
      <w:pPr>
        <w:pStyle w:val="Subsection"/>
        <w:keepNext/>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lastRenderedPageBreak/>
        <w:tab/>
        <w:t>(b)</w:t>
      </w:r>
      <w:r>
        <w:tab/>
        <w:t>records and personal effects relating to the child’s participation in recreational or extra-curricular activities (such as awards, medals, trophies and certificates);</w:t>
      </w:r>
    </w:p>
    <w:p>
      <w:pPr>
        <w:pStyle w:val="Indenta"/>
      </w:pPr>
      <w:r>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keepNext/>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Heading5"/>
      </w:pPr>
      <w:bookmarkStart w:id="57" w:name="_Toc154745699"/>
      <w:r>
        <w:rPr>
          <w:rStyle w:val="CharSectno"/>
        </w:rPr>
        <w:t>22</w:t>
      </w:r>
      <w:r>
        <w:t>.</w:t>
      </w:r>
      <w:r>
        <w:tab/>
        <w:t>Public authorities to which s. 22(4AA) applies</w:t>
      </w:r>
      <w:bookmarkEnd w:id="57"/>
    </w:p>
    <w:p>
      <w:pPr>
        <w:pStyle w:val="Subsection"/>
        <w:keepNext/>
      </w:pPr>
      <w:r>
        <w:tab/>
      </w:r>
      <w:r>
        <w:tab/>
        <w:t xml:space="preserve">Section 22(4AA) applies to the following public authorities — </w:t>
      </w:r>
    </w:p>
    <w:p>
      <w:pPr>
        <w:pStyle w:val="Indenta"/>
      </w:pPr>
      <w:r>
        <w:tab/>
        <w:t>(a)</w:t>
      </w:r>
      <w:r>
        <w:tab/>
        <w:t xml:space="preserve">the department of the Public Service principally assisting in the administration of the </w:t>
      </w:r>
      <w:r>
        <w:rPr>
          <w:i/>
        </w:rPr>
        <w:t>Local Government Act 1995</w:t>
      </w:r>
      <w:r>
        <w:t>;</w:t>
      </w:r>
    </w:p>
    <w:p>
      <w:pPr>
        <w:pStyle w:val="Indenta"/>
      </w:pPr>
      <w:r>
        <w:tab/>
        <w:t>(b)</w:t>
      </w:r>
      <w:r>
        <w:tab/>
        <w:t xml:space="preserve">the department of the Public Service principally assisting in the administration of the </w:t>
      </w:r>
      <w:r>
        <w:rPr>
          <w:i/>
        </w:rPr>
        <w:t>Mental Health Act 2014</w:t>
      </w:r>
      <w:r>
        <w:t>;</w:t>
      </w:r>
    </w:p>
    <w:p>
      <w:pPr>
        <w:pStyle w:val="Indenta"/>
      </w:pPr>
      <w:r>
        <w:tab/>
        <w:t>(c)</w:t>
      </w:r>
      <w:r>
        <w:tab/>
        <w:t xml:space="preserve">the department of the Public Service principally assisting in the administration of the </w:t>
      </w:r>
      <w:r>
        <w:rPr>
          <w:i/>
        </w:rPr>
        <w:t>Prisons Act 1981</w:t>
      </w:r>
      <w:r>
        <w:t>;</w:t>
      </w:r>
    </w:p>
    <w:p>
      <w:pPr>
        <w:pStyle w:val="Indenta"/>
      </w:pPr>
      <w:r>
        <w:lastRenderedPageBreak/>
        <w:tab/>
        <w:t>(d)</w:t>
      </w:r>
      <w:r>
        <w:tab/>
        <w:t xml:space="preserve">the department of the Public Service principally assisting in the administration of the </w:t>
      </w:r>
      <w:r>
        <w:rPr>
          <w:i/>
        </w:rPr>
        <w:t>School Education Act 1999</w:t>
      </w:r>
      <w:r>
        <w:t>;</w:t>
      </w:r>
    </w:p>
    <w:p>
      <w:pPr>
        <w:pStyle w:val="Indenta"/>
        <w:keepNext/>
        <w:keepLines/>
      </w:pPr>
      <w:r>
        <w:tab/>
        <w:t>(e)</w:t>
      </w:r>
      <w:r>
        <w:tab/>
        <w:t xml:space="preserve">the department of the Public Service principally assisting in the administration of the </w:t>
      </w:r>
      <w:r>
        <w:rPr>
          <w:i/>
        </w:rPr>
        <w:t>Vocational Education and Training Act 1996</w:t>
      </w:r>
      <w:r>
        <w:t xml:space="preserve"> (other than Part 4 of that Act);</w:t>
      </w:r>
    </w:p>
    <w:p>
      <w:pPr>
        <w:pStyle w:val="Indenta"/>
      </w:pPr>
      <w:r>
        <w:tab/>
        <w:t>(f)</w:t>
      </w:r>
      <w:r>
        <w:tab/>
        <w:t xml:space="preserve">the health service provider with the corporate name “North Metropolitan Health Service” established under the </w:t>
      </w:r>
      <w:r>
        <w:rPr>
          <w:i/>
        </w:rPr>
        <w:t>Health Services (Health Service Providers) Order 2016</w:t>
      </w:r>
      <w:r>
        <w:t xml:space="preserve"> clause 8(1);</w:t>
      </w:r>
    </w:p>
    <w:p>
      <w:pPr>
        <w:pStyle w:val="Indenta"/>
      </w:pPr>
      <w:r>
        <w:tab/>
        <w:t>(g)</w:t>
      </w:r>
      <w:r>
        <w:tab/>
        <w:t xml:space="preserve">the health service provider with the corporate name “South Metropolitan Health Service” established under the </w:t>
      </w:r>
      <w:r>
        <w:rPr>
          <w:i/>
        </w:rPr>
        <w:t>Health Services (Health Service Providers) Order 2016</w:t>
      </w:r>
      <w:r>
        <w:t xml:space="preserve"> clause 9(1);</w:t>
      </w:r>
    </w:p>
    <w:p>
      <w:pPr>
        <w:pStyle w:val="Indenta"/>
      </w:pPr>
      <w:r>
        <w:tab/>
        <w:t>(h)</w:t>
      </w:r>
      <w:r>
        <w:tab/>
        <w:t xml:space="preserve">the health service provider with the corporate name “East Metropolitan Health Service” established under the </w:t>
      </w:r>
      <w:r>
        <w:rPr>
          <w:i/>
        </w:rPr>
        <w:t>Health Services (Health Service Providers) Order 2016</w:t>
      </w:r>
      <w:r>
        <w:t xml:space="preserve"> clause 10(1);</w:t>
      </w:r>
    </w:p>
    <w:p>
      <w:pPr>
        <w:pStyle w:val="Indenta"/>
      </w:pPr>
      <w:r>
        <w:tab/>
        <w:t>(i)</w:t>
      </w:r>
      <w:r>
        <w:tab/>
        <w:t xml:space="preserve">the health service provider with the corporate name “Child and Adolescent Health Service” established under the </w:t>
      </w:r>
      <w:r>
        <w:rPr>
          <w:i/>
        </w:rPr>
        <w:t>Health Services (Health Service Providers) Order 2016</w:t>
      </w:r>
      <w:r>
        <w:t xml:space="preserve"> clause 12(1);</w:t>
      </w:r>
    </w:p>
    <w:p>
      <w:pPr>
        <w:pStyle w:val="Indenta"/>
      </w:pPr>
      <w:r>
        <w:tab/>
        <w:t>(j)</w:t>
      </w:r>
      <w:r>
        <w:tab/>
        <w:t xml:space="preserve">the health service provider with the corporate name “WA Country Health Service” established under the </w:t>
      </w:r>
      <w:r>
        <w:rPr>
          <w:i/>
        </w:rPr>
        <w:t>Health Services (Health Service Providers) Order 2016</w:t>
      </w:r>
      <w:r>
        <w:t xml:space="preserve"> clause 14(1).</w:t>
      </w:r>
    </w:p>
    <w:p>
      <w:pPr>
        <w:pStyle w:val="Footnotesection"/>
      </w:pPr>
      <w:r>
        <w:tab/>
        <w:t>[Regulation 22 inserted: SL 2022/49 r. 8; amended: SL 2022/168 r. 4.]</w:t>
      </w:r>
    </w:p>
    <w:p>
      <w:pPr>
        <w:pStyle w:val="Heading5"/>
      </w:pPr>
      <w:bookmarkStart w:id="58" w:name="_Toc154745700"/>
      <w:r>
        <w:rPr>
          <w:rStyle w:val="CharSectno"/>
        </w:rPr>
        <w:lastRenderedPageBreak/>
        <w:t>23</w:t>
      </w:r>
      <w:r>
        <w:t>.</w:t>
      </w:r>
      <w:r>
        <w:tab/>
        <w:t>Prescribed criteria for person preparing report under s. 61(2B)</w:t>
      </w:r>
      <w:bookmarkEnd w:id="58"/>
    </w:p>
    <w:p>
      <w:pPr>
        <w:pStyle w:val="Subsection"/>
        <w:keepNext/>
      </w:pPr>
      <w:r>
        <w:tab/>
        <w:t>(1)</w:t>
      </w:r>
      <w:r>
        <w:tab/>
        <w:t xml:space="preserve">In this regulation — </w:t>
      </w:r>
    </w:p>
    <w:p>
      <w:pPr>
        <w:pStyle w:val="Defstart"/>
        <w:keepNext/>
      </w:pPr>
      <w:r>
        <w:tab/>
      </w:r>
      <w:r>
        <w:rPr>
          <w:rStyle w:val="CharDefText"/>
        </w:rPr>
        <w:t>Aboriginal or Torres Strait Islander organisation</w:t>
      </w:r>
      <w:r>
        <w:t xml:space="preserve"> means a body corporate — </w:t>
      </w:r>
    </w:p>
    <w:p>
      <w:pPr>
        <w:pStyle w:val="Defpara"/>
      </w:pPr>
      <w:r>
        <w:tab/>
        <w:t>(a)</w:t>
      </w:r>
      <w:r>
        <w:tab/>
        <w:t>the governing body of which is comprised, or substantially comprised, of Aboriginal persons, Torres Strait Islanders or both Aboriginal persons and Torres Strait Islanders; and</w:t>
      </w:r>
    </w:p>
    <w:p>
      <w:pPr>
        <w:pStyle w:val="Defpara"/>
      </w:pPr>
      <w:r>
        <w:tab/>
        <w:t>(b)</w:t>
      </w:r>
      <w:r>
        <w:tab/>
        <w:t>that has as its principal object, or one of its principal objects, the promotion of the interests of Aboriginal persons, Torres Strait Islanders or both Aboriginal persons and Torres Strait Islanders.</w:t>
      </w:r>
    </w:p>
    <w:p>
      <w:pPr>
        <w:pStyle w:val="Subsection"/>
        <w:keepNext/>
      </w:pPr>
      <w:r>
        <w:tab/>
        <w:t>(2)</w:t>
      </w:r>
      <w:r>
        <w:tab/>
        <w:t xml:space="preserve">A person who prepares a written report for the purposes of section 61(2B) must be — </w:t>
      </w:r>
    </w:p>
    <w:p>
      <w:pPr>
        <w:pStyle w:val="Indenta"/>
        <w:keepNext/>
      </w:pPr>
      <w:r>
        <w:tab/>
        <w:t>(a)</w:t>
      </w:r>
      <w:r>
        <w:tab/>
        <w:t xml:space="preserve">an Aboriginal or Torres Strait Islander organisation the members of the governing body and staff of which have, between them — </w:t>
      </w:r>
    </w:p>
    <w:p>
      <w:pPr>
        <w:pStyle w:val="Indenti"/>
      </w:pPr>
      <w:r>
        <w:tab/>
        <w:t>(i)</w:t>
      </w:r>
      <w:r>
        <w:tab/>
        <w:t>experience in the provision of social services to Aboriginal persons or Torres Strait Islanders; and</w:t>
      </w:r>
    </w:p>
    <w:p>
      <w:pPr>
        <w:pStyle w:val="Indenti"/>
      </w:pPr>
      <w:r>
        <w:tab/>
        <w:t>(ii)</w:t>
      </w:r>
      <w:r>
        <w:tab/>
        <w:t>knowledge and understanding of the matters described in subregulation (3); and</w:t>
      </w:r>
    </w:p>
    <w:p>
      <w:pPr>
        <w:pStyle w:val="Indenti"/>
        <w:keepNext/>
      </w:pPr>
      <w:r>
        <w:tab/>
        <w:t>(iii)</w:t>
      </w:r>
      <w:r>
        <w:tab/>
        <w:t>the ability to engage and communicate with Aboriginal children, Torres Strait Islander children and their families;</w:t>
      </w:r>
    </w:p>
    <w:p>
      <w:pPr>
        <w:pStyle w:val="Indenta"/>
      </w:pPr>
      <w:r>
        <w:tab/>
      </w:r>
      <w:r>
        <w:tab/>
        <w:t>or</w:t>
      </w:r>
    </w:p>
    <w:p>
      <w:pPr>
        <w:pStyle w:val="Indenta"/>
        <w:keepNext/>
      </w:pPr>
      <w:r>
        <w:tab/>
        <w:t>(b)</w:t>
      </w:r>
      <w:r>
        <w:tab/>
        <w:t xml:space="preserve">an individual (other than an officer of the Department) who — </w:t>
      </w:r>
    </w:p>
    <w:p>
      <w:pPr>
        <w:pStyle w:val="Indenti"/>
      </w:pPr>
      <w:r>
        <w:tab/>
        <w:t>(i)</w:t>
      </w:r>
      <w:r>
        <w:tab/>
        <w:t>is an Aboriginal person or Torres Strait Islander; and</w:t>
      </w:r>
    </w:p>
    <w:p>
      <w:pPr>
        <w:pStyle w:val="Indenti"/>
      </w:pPr>
      <w:r>
        <w:lastRenderedPageBreak/>
        <w:tab/>
        <w:t>(ii)</w:t>
      </w:r>
      <w:r>
        <w:tab/>
        <w:t>has the experience, knowledge, understanding and ability referred to in paragraph (a)(i), (ii) and (iii).</w:t>
      </w:r>
    </w:p>
    <w:p>
      <w:pPr>
        <w:pStyle w:val="Subsection"/>
        <w:keepNext/>
      </w:pPr>
      <w:r>
        <w:tab/>
        <w:t>(3)</w:t>
      </w:r>
      <w:r>
        <w:tab/>
        <w:t xml:space="preserve">For the purposes of subregulation (2)(a)(ii), the matters are — </w:t>
      </w:r>
    </w:p>
    <w:p>
      <w:pPr>
        <w:pStyle w:val="Indenta"/>
      </w:pPr>
      <w:r>
        <w:tab/>
        <w:t>(a)</w:t>
      </w:r>
      <w:r>
        <w:tab/>
        <w:t>Aboriginal or Torres Strait Islander cultural practices; and</w:t>
      </w:r>
    </w:p>
    <w:p>
      <w:pPr>
        <w:pStyle w:val="Indenta"/>
      </w:pPr>
      <w:r>
        <w:tab/>
        <w:t>(b)</w:t>
      </w:r>
      <w:r>
        <w:tab/>
        <w:t>child protection practices and processes, including cultural support requirements; and</w:t>
      </w:r>
    </w:p>
    <w:p>
      <w:pPr>
        <w:pStyle w:val="Indenta"/>
      </w:pPr>
      <w:r>
        <w:tab/>
        <w:t>(c)</w:t>
      </w:r>
      <w:r>
        <w:tab/>
        <w:t>child development; and</w:t>
      </w:r>
    </w:p>
    <w:p>
      <w:pPr>
        <w:pStyle w:val="Indenta"/>
      </w:pPr>
      <w:r>
        <w:tab/>
        <w:t>(d)</w:t>
      </w:r>
      <w:r>
        <w:tab/>
        <w:t>child rearing practices in respect of Aboriginal children or Torres Strait Islander children; and</w:t>
      </w:r>
    </w:p>
    <w:p>
      <w:pPr>
        <w:pStyle w:val="Indenta"/>
        <w:keepNext/>
      </w:pPr>
      <w:r>
        <w:tab/>
        <w:t>(e)</w:t>
      </w:r>
      <w:r>
        <w:tab/>
        <w:t>the impact of trauma (including intergenerational trauma) associated with disconnection from family, culture and country on the wellbeing of Aboriginal children, Torres Strait Islander children and their families.</w:t>
      </w:r>
    </w:p>
    <w:p>
      <w:pPr>
        <w:pStyle w:val="Footnotesection"/>
      </w:pPr>
      <w:r>
        <w:tab/>
        <w:t>[Regulation 23 inserted: SL 2022/49 r. 8.]</w:t>
      </w:r>
    </w:p>
    <w:p>
      <w:pPr>
        <w:pStyle w:val="Ednotesection"/>
        <w:tabs>
          <w:tab w:val="clear" w:pos="893"/>
          <w:tab w:val="left" w:pos="1080"/>
        </w:tabs>
        <w:ind w:left="960" w:hanging="960"/>
      </w:pPr>
      <w:r>
        <w:t>[</w:t>
      </w:r>
      <w:r>
        <w:rPr>
          <w:b/>
          <w:bCs/>
        </w:rPr>
        <w:t>23A.</w:t>
      </w:r>
      <w:r>
        <w:rPr>
          <w:b/>
          <w:bCs/>
        </w:rPr>
        <w:tab/>
      </w:r>
      <w:r>
        <w:t>Deleted: Gazette 7 Aug 2007 p. 4030.]</w:t>
      </w:r>
    </w:p>
    <w:p>
      <w:pPr>
        <w:pStyle w:val="Heading2"/>
      </w:pPr>
      <w:bookmarkStart w:id="59" w:name="_Toc154745701"/>
      <w:r>
        <w:rPr>
          <w:rStyle w:val="CharPartNo"/>
        </w:rPr>
        <w:lastRenderedPageBreak/>
        <w:t>Part 7</w:t>
      </w:r>
      <w:r>
        <w:rPr>
          <w:rStyle w:val="CharDivNo"/>
        </w:rPr>
        <w:t> </w:t>
      </w:r>
      <w:r>
        <w:t>—</w:t>
      </w:r>
      <w:r>
        <w:rPr>
          <w:rStyle w:val="CharDivText"/>
        </w:rPr>
        <w:t> </w:t>
      </w:r>
      <w:r>
        <w:rPr>
          <w:rStyle w:val="CharPartText"/>
        </w:rPr>
        <w:t>Transitional arrangements</w:t>
      </w:r>
      <w:bookmarkEnd w:id="59"/>
    </w:p>
    <w:p>
      <w:pPr>
        <w:pStyle w:val="Heading5"/>
      </w:pPr>
      <w:bookmarkStart w:id="60" w:name="_Toc154745702"/>
      <w:r>
        <w:rPr>
          <w:rStyle w:val="CharSectno"/>
        </w:rPr>
        <w:t>24</w:t>
      </w:r>
      <w:r>
        <w:t>.</w:t>
      </w:r>
      <w:r>
        <w:tab/>
        <w:t>Term used: commencement day</w:t>
      </w:r>
      <w:bookmarkEnd w:id="60"/>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61" w:name="_Toc154745703"/>
      <w:r>
        <w:rPr>
          <w:rStyle w:val="CharSectno"/>
        </w:rPr>
        <w:t>29</w:t>
      </w:r>
      <w:r>
        <w:t>.</w:t>
      </w:r>
      <w:r>
        <w:tab/>
        <w:t>Certain children in care as at 1 Mar 2006</w:t>
      </w:r>
      <w:bookmarkEnd w:id="61"/>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21"/>
          <w:headerReference w:type="default" r:id="rId22"/>
          <w:headerReference w:type="first" r:id="rId23"/>
          <w:endnotePr>
            <w:numFmt w:val="decimal"/>
          </w:endnotePr>
          <w:pgSz w:w="11907" w:h="16840" w:code="9"/>
          <w:pgMar w:top="2376" w:right="2405" w:bottom="3542" w:left="2405" w:header="706" w:footer="3544" w:gutter="0"/>
          <w:pgNumType w:start="1"/>
          <w:cols w:space="720"/>
          <w:noEndnote/>
          <w:titlePg/>
          <w:docGrid w:linePitch="326"/>
        </w:sectPr>
      </w:pPr>
    </w:p>
    <w:p>
      <w:pPr>
        <w:pStyle w:val="yScheduleHeading"/>
      </w:pPr>
      <w:bookmarkStart w:id="62" w:name="_Toc154745704"/>
      <w:r>
        <w:rPr>
          <w:rStyle w:val="CharSchNo"/>
        </w:rPr>
        <w:lastRenderedPageBreak/>
        <w:t>Schedule 1</w:t>
      </w:r>
      <w:r>
        <w:rPr>
          <w:rStyle w:val="CharSDivNo"/>
        </w:rPr>
        <w:t> </w:t>
      </w:r>
      <w:r>
        <w:t>—</w:t>
      </w:r>
      <w:r>
        <w:rPr>
          <w:rStyle w:val="CharSDivText"/>
        </w:rPr>
        <w:t> </w:t>
      </w:r>
      <w:r>
        <w:rPr>
          <w:rStyle w:val="CharSchText"/>
        </w:rPr>
        <w:t>Forms</w:t>
      </w:r>
      <w:bookmarkEnd w:id="62"/>
    </w:p>
    <w:p>
      <w:pPr>
        <w:pStyle w:val="yShoulderClause"/>
      </w:pPr>
      <w:r>
        <w:rPr>
          <w:szCs w:val="22"/>
        </w:rPr>
        <w:t>[r. 9AA, 9AB, 9AC, 9AE, 16E, 16I and 16L]</w:t>
      </w:r>
    </w:p>
    <w:p>
      <w:pPr>
        <w:pStyle w:val="yFootnoteheading"/>
      </w:pPr>
      <w:r>
        <w:tab/>
        <w:t>[Heading inserted: Gazette 28 Jan 2011 p. 250; amended: SL 2022/49 r. 9(1).]</w:t>
      </w:r>
    </w:p>
    <w:p>
      <w:pPr>
        <w:pStyle w:val="yHeading5"/>
        <w:spacing w:after="80"/>
      </w:pPr>
      <w:bookmarkStart w:id="63" w:name="_Toc154745705"/>
      <w:r>
        <w:rPr>
          <w:rStyle w:val="CharSClsNo"/>
        </w:rPr>
        <w:t>1</w:t>
      </w:r>
      <w:r>
        <w:t>.</w:t>
      </w:r>
      <w:r>
        <w:tab/>
        <w:t>Warrant (access)</w:t>
      </w:r>
      <w:bookmarkEnd w:id="6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lastRenderedPageBreak/>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64" w:name="_Toc154745706"/>
      <w:r>
        <w:rPr>
          <w:rStyle w:val="CharSClsNo"/>
        </w:rPr>
        <w:lastRenderedPageBreak/>
        <w:t>2</w:t>
      </w:r>
      <w:r>
        <w:t>.</w:t>
      </w:r>
      <w:r>
        <w:tab/>
        <w:t>Warrant (apprehension)</w:t>
      </w:r>
      <w:bookmarkEnd w:id="64"/>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lastRenderedPageBreak/>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65" w:name="_Toc154745707"/>
      <w:r>
        <w:rPr>
          <w:rStyle w:val="CharSClsNo"/>
        </w:rPr>
        <w:lastRenderedPageBreak/>
        <w:t>3</w:t>
      </w:r>
      <w:r>
        <w:t>.</w:t>
      </w:r>
      <w:r>
        <w:tab/>
        <w:t>Warrant (provisional protection and care)</w:t>
      </w:r>
      <w:bookmarkEnd w:id="65"/>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lastRenderedPageBreak/>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spacing w:after="80"/>
      </w:pPr>
      <w:bookmarkStart w:id="66" w:name="_Toc154745708"/>
      <w:r>
        <w:rPr>
          <w:rStyle w:val="CharSClsNo"/>
        </w:rPr>
        <w:lastRenderedPageBreak/>
        <w:t>3A</w:t>
      </w:r>
      <w:r>
        <w:t>.</w:t>
      </w:r>
      <w:r>
        <w:tab/>
        <w:t>Entry warrant</w:t>
      </w:r>
      <w:bookmarkEnd w:id="66"/>
    </w:p>
    <w:tbl>
      <w:tblPr>
        <w:tblW w:w="6913" w:type="dxa"/>
        <w:tblInd w:w="562"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tc>
          <w:tcPr>
            <w:tcW w:w="6913" w:type="dxa"/>
            <w:gridSpan w:val="7"/>
            <w:tcBorders>
              <w:bottom w:val="nil"/>
            </w:tcBorders>
            <w:noWrap/>
            <w:vAlign w:val="center"/>
          </w:tcPr>
          <w:p>
            <w:pPr>
              <w:pStyle w:val="yTableNAm"/>
              <w:jc w:val="center"/>
              <w:rPr>
                <w:i/>
                <w:sz w:val="20"/>
              </w:rPr>
            </w:pPr>
            <w:r>
              <w:rPr>
                <w:i/>
                <w:sz w:val="20"/>
              </w:rPr>
              <w:t>Children and Community Services Act 2004</w:t>
            </w:r>
          </w:p>
          <w:p>
            <w:pPr>
              <w:pStyle w:val="yTableNAm"/>
              <w:spacing w:after="60"/>
              <w:jc w:val="center"/>
              <w:rPr>
                <w:b/>
              </w:rPr>
            </w:pPr>
            <w:r>
              <w:rPr>
                <w:b/>
                <w:sz w:val="20"/>
              </w:rPr>
              <w:t>Entry warrant</w:t>
            </w:r>
          </w:p>
        </w:tc>
      </w:tr>
      <w:tr>
        <w:tc>
          <w:tcPr>
            <w:tcW w:w="1701" w:type="dxa"/>
            <w:noWrap/>
          </w:tcPr>
          <w:p>
            <w:pPr>
              <w:pStyle w:val="yTableNAm"/>
              <w:rPr>
                <w:sz w:val="20"/>
              </w:rPr>
            </w:pPr>
            <w:r>
              <w:rPr>
                <w:sz w:val="20"/>
              </w:rPr>
              <w:t>To</w:t>
            </w:r>
          </w:p>
        </w:tc>
        <w:tc>
          <w:tcPr>
            <w:tcW w:w="5212" w:type="dxa"/>
            <w:gridSpan w:val="6"/>
            <w:shd w:val="clear" w:color="auto" w:fill="auto"/>
            <w:noWrap/>
            <w:vAlign w:val="center"/>
          </w:tcPr>
          <w:p>
            <w:pPr>
              <w:pStyle w:val="yTableNAm"/>
              <w:rPr>
                <w:sz w:val="20"/>
              </w:rPr>
            </w:pPr>
            <w:r>
              <w:rPr>
                <w:sz w:val="20"/>
              </w:rPr>
              <w:t>*All authorised officers</w:t>
            </w:r>
          </w:p>
          <w:p>
            <w:pPr>
              <w:pStyle w:val="yTableNAm"/>
              <w:rPr>
                <w:sz w:val="20"/>
              </w:rPr>
            </w:pPr>
            <w:r>
              <w:rPr>
                <w:sz w:val="20"/>
              </w:rPr>
              <w:t>*All industrial inspectors</w:t>
            </w:r>
          </w:p>
          <w:p>
            <w:pPr>
              <w:pStyle w:val="yTableNAm"/>
              <w:spacing w:after="120"/>
              <w:rPr>
                <w:sz w:val="20"/>
              </w:rPr>
            </w:pPr>
            <w:r>
              <w:rPr>
                <w:sz w:val="20"/>
              </w:rPr>
              <w:t>*</w:t>
            </w:r>
            <w:r>
              <w:rPr>
                <w:i/>
                <w:sz w:val="20"/>
              </w:rPr>
              <w:t>Delete if inapplicable</w:t>
            </w:r>
          </w:p>
        </w:tc>
      </w:tr>
      <w:tr>
        <w:tc>
          <w:tcPr>
            <w:tcW w:w="1701" w:type="dxa"/>
            <w:tcBorders>
              <w:bottom w:val="single" w:sz="4" w:space="0" w:color="auto"/>
            </w:tcBorders>
            <w:noWrap/>
          </w:tcPr>
          <w:p>
            <w:pPr>
              <w:pStyle w:val="yTableNAm"/>
              <w:rPr>
                <w:sz w:val="20"/>
              </w:rPr>
            </w:pPr>
            <w:r>
              <w:rPr>
                <w:sz w:val="20"/>
              </w:rPr>
              <w:t>Application</w:t>
            </w:r>
          </w:p>
        </w:tc>
        <w:tc>
          <w:tcPr>
            <w:tcW w:w="5212" w:type="dxa"/>
            <w:gridSpan w:val="6"/>
            <w:tcBorders>
              <w:bottom w:val="single" w:sz="4" w:space="0" w:color="auto"/>
            </w:tcBorders>
            <w:noWrap/>
            <w:vAlign w:val="center"/>
          </w:tcPr>
          <w:p>
            <w:pPr>
              <w:pStyle w:val="yTableNAm"/>
              <w:spacing w:after="60"/>
              <w:rPr>
                <w:sz w:val="20"/>
              </w:rPr>
            </w:pPr>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p>
        </w:tc>
      </w:tr>
      <w:tr>
        <w:trPr>
          <w:trHeight w:val="467"/>
        </w:trPr>
        <w:tc>
          <w:tcPr>
            <w:tcW w:w="1701" w:type="dxa"/>
            <w:tcBorders>
              <w:bottom w:val="single" w:sz="4" w:space="0" w:color="auto"/>
            </w:tcBorders>
            <w:noWrap/>
          </w:tcPr>
          <w:p>
            <w:pPr>
              <w:pStyle w:val="yTableNAm"/>
              <w:rPr>
                <w:sz w:val="20"/>
              </w:rPr>
            </w:pPr>
            <w:r>
              <w:rPr>
                <w:sz w:val="20"/>
              </w:rPr>
              <w:t>Applicant’s details</w:t>
            </w:r>
          </w:p>
        </w:tc>
        <w:tc>
          <w:tcPr>
            <w:tcW w:w="1276" w:type="dxa"/>
            <w:gridSpan w:val="3"/>
            <w:tcBorders>
              <w:bottom w:val="single" w:sz="4" w:space="0" w:color="auto"/>
            </w:tcBorders>
            <w:noWrap/>
            <w:vAlign w:val="center"/>
          </w:tcPr>
          <w:p>
            <w:pPr>
              <w:pStyle w:val="yTableNAm"/>
              <w:spacing w:after="60"/>
              <w:rPr>
                <w:sz w:val="20"/>
              </w:rPr>
            </w:pPr>
            <w:r>
              <w:rPr>
                <w:sz w:val="20"/>
              </w:rPr>
              <w:t>Full name and official details</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tcBorders>
              <w:top w:val="single" w:sz="4" w:space="0" w:color="auto"/>
            </w:tcBorders>
            <w:noWrap/>
          </w:tcPr>
          <w:p>
            <w:pPr>
              <w:pStyle w:val="yTableNAm"/>
              <w:spacing w:after="60"/>
              <w:rPr>
                <w:sz w:val="20"/>
              </w:rPr>
            </w:pPr>
            <w:r>
              <w:rPr>
                <w:sz w:val="20"/>
              </w:rPr>
              <w:t>Authorised purpose for which entry is required</w:t>
            </w:r>
          </w:p>
        </w:tc>
        <w:tc>
          <w:tcPr>
            <w:tcW w:w="5212" w:type="dxa"/>
            <w:gridSpan w:val="6"/>
            <w:tcBorders>
              <w:top w:val="single" w:sz="4" w:space="0" w:color="auto"/>
            </w:tcBorders>
            <w:noWrap/>
            <w:vAlign w:val="center"/>
          </w:tcPr>
          <w:p>
            <w:pPr>
              <w:pStyle w:val="yTableNAm"/>
              <w:rPr>
                <w:sz w:val="20"/>
              </w:rPr>
            </w:pPr>
          </w:p>
        </w:tc>
      </w:tr>
      <w:tr>
        <w:trPr>
          <w:trHeight w:val="221"/>
        </w:trPr>
        <w:tc>
          <w:tcPr>
            <w:tcW w:w="1701" w:type="dxa"/>
            <w:noWrap/>
          </w:tcPr>
          <w:p>
            <w:pPr>
              <w:pStyle w:val="yTableNAm"/>
              <w:spacing w:after="60"/>
              <w:rPr>
                <w:sz w:val="20"/>
              </w:rPr>
            </w:pPr>
            <w:r>
              <w:rPr>
                <w:sz w:val="20"/>
              </w:rPr>
              <w:t>Suspected offence (if any)</w:t>
            </w:r>
          </w:p>
        </w:tc>
        <w:tc>
          <w:tcPr>
            <w:tcW w:w="1276" w:type="dxa"/>
            <w:gridSpan w:val="3"/>
            <w:noWrap/>
            <w:vAlign w:val="center"/>
          </w:tcPr>
          <w:p>
            <w:pPr>
              <w:pStyle w:val="yTableNAm"/>
              <w:rPr>
                <w:sz w:val="20"/>
              </w:rPr>
            </w:pPr>
            <w:r>
              <w:rPr>
                <w:sz w:val="20"/>
              </w:rPr>
              <w:t>Provision(s)</w:t>
            </w:r>
          </w:p>
        </w:tc>
        <w:tc>
          <w:tcPr>
            <w:tcW w:w="3936" w:type="dxa"/>
            <w:gridSpan w:val="3"/>
            <w:noWrap/>
            <w:vAlign w:val="center"/>
          </w:tcPr>
          <w:p>
            <w:pPr>
              <w:pStyle w:val="yTableNAm"/>
              <w:rPr>
                <w:sz w:val="20"/>
              </w:rPr>
            </w:pPr>
          </w:p>
        </w:tc>
      </w:tr>
      <w:tr>
        <w:tc>
          <w:tcPr>
            <w:tcW w:w="1701" w:type="dxa"/>
            <w:noWrap/>
          </w:tcPr>
          <w:p>
            <w:pPr>
              <w:pStyle w:val="yTableNAm"/>
              <w:spacing w:after="60"/>
              <w:rPr>
                <w:sz w:val="20"/>
              </w:rPr>
            </w:pPr>
            <w:r>
              <w:rPr>
                <w:sz w:val="20"/>
              </w:rPr>
              <w:t>Warrant</w:t>
            </w:r>
          </w:p>
        </w:tc>
        <w:tc>
          <w:tcPr>
            <w:tcW w:w="5212" w:type="dxa"/>
            <w:gridSpan w:val="6"/>
            <w:noWrap/>
            <w:vAlign w:val="center"/>
          </w:tcPr>
          <w:p>
            <w:pPr>
              <w:pStyle w:val="yTableNAm"/>
              <w:spacing w:after="60"/>
              <w:rPr>
                <w:sz w:val="20"/>
              </w:rPr>
            </w:pPr>
            <w:r>
              <w:rPr>
                <w:sz w:val="20"/>
              </w:rPr>
              <w:t>This warrant authorises you to enter the place described below.</w:t>
            </w:r>
          </w:p>
        </w:tc>
      </w:tr>
      <w:tr>
        <w:trPr>
          <w:trHeight w:val="530"/>
        </w:trPr>
        <w:tc>
          <w:tcPr>
            <w:tcW w:w="1701" w:type="dxa"/>
            <w:noWrap/>
          </w:tcPr>
          <w:p>
            <w:pPr>
              <w:pStyle w:val="yTableNAm"/>
              <w:rPr>
                <w:sz w:val="20"/>
              </w:rPr>
            </w:pPr>
            <w:r>
              <w:rPr>
                <w:sz w:val="20"/>
              </w:rPr>
              <w:t>Place to be entered</w:t>
            </w:r>
          </w:p>
        </w:tc>
        <w:tc>
          <w:tcPr>
            <w:tcW w:w="5212" w:type="dxa"/>
            <w:gridSpan w:val="6"/>
            <w:noWrap/>
            <w:vAlign w:val="center"/>
          </w:tcPr>
          <w:p>
            <w:pPr>
              <w:pStyle w:val="yTableNAm"/>
              <w:rPr>
                <w:sz w:val="20"/>
              </w:rPr>
            </w:pPr>
          </w:p>
        </w:tc>
      </w:tr>
      <w:tr>
        <w:tc>
          <w:tcPr>
            <w:tcW w:w="1701" w:type="dxa"/>
            <w:tcBorders>
              <w:bottom w:val="single" w:sz="4" w:space="0" w:color="auto"/>
            </w:tcBorders>
            <w:noWrap/>
          </w:tcPr>
          <w:p>
            <w:pPr>
              <w:pStyle w:val="yTableNAm"/>
              <w:rPr>
                <w:sz w:val="20"/>
              </w:rPr>
            </w:pPr>
            <w:r>
              <w:rPr>
                <w:sz w:val="20"/>
              </w:rPr>
              <w:t>Execution period</w:t>
            </w:r>
          </w:p>
        </w:tc>
        <w:tc>
          <w:tcPr>
            <w:tcW w:w="5212" w:type="dxa"/>
            <w:gridSpan w:val="6"/>
            <w:tcBorders>
              <w:bottom w:val="single" w:sz="4" w:space="0" w:color="auto"/>
            </w:tcBorders>
            <w:noWrap/>
            <w:vAlign w:val="center"/>
          </w:tcPr>
          <w:p>
            <w:pPr>
              <w:pStyle w:val="yTableNAm"/>
              <w:spacing w:after="60"/>
              <w:rPr>
                <w:sz w:val="20"/>
              </w:rPr>
            </w:pPr>
            <w:r>
              <w:rPr>
                <w:sz w:val="20"/>
              </w:rPr>
              <w:t>This warrant must be executed within ______ day(s) after the date it is issued.</w:t>
            </w:r>
          </w:p>
        </w:tc>
      </w:tr>
      <w:tr>
        <w:trPr>
          <w:trHeight w:val="222"/>
        </w:trPr>
        <w:tc>
          <w:tcPr>
            <w:tcW w:w="1701" w:type="dxa"/>
            <w:vMerge w:val="restart"/>
            <w:tcBorders>
              <w:bottom w:val="single" w:sz="4" w:space="0" w:color="auto"/>
            </w:tcBorders>
            <w:noWrap/>
          </w:tcPr>
          <w:p>
            <w:pPr>
              <w:pStyle w:val="yTableNAm"/>
              <w:rPr>
                <w:sz w:val="20"/>
              </w:rPr>
            </w:pPr>
            <w:r>
              <w:rPr>
                <w:sz w:val="20"/>
              </w:rPr>
              <w:t>Issuing details</w:t>
            </w:r>
          </w:p>
        </w:tc>
        <w:tc>
          <w:tcPr>
            <w:tcW w:w="1276" w:type="dxa"/>
            <w:gridSpan w:val="3"/>
            <w:tcBorders>
              <w:bottom w:val="single" w:sz="4" w:space="0" w:color="auto"/>
            </w:tcBorders>
            <w:noWrap/>
            <w:vAlign w:val="center"/>
          </w:tcPr>
          <w:p>
            <w:pPr>
              <w:pStyle w:val="yTableNAm"/>
              <w:spacing w:after="60"/>
              <w:rPr>
                <w:sz w:val="20"/>
              </w:rPr>
            </w:pPr>
            <w:r>
              <w:rPr>
                <w:sz w:val="20"/>
              </w:rPr>
              <w:t>Name of magistrate</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vMerge/>
            <w:tcBorders>
              <w:bottom w:val="single" w:sz="4" w:space="0" w:color="auto"/>
            </w:tcBorders>
            <w:noWrap/>
          </w:tcPr>
          <w:p>
            <w:pPr>
              <w:pStyle w:val="yTableNAm"/>
              <w:rPr>
                <w:b/>
                <w:sz w:val="20"/>
              </w:rPr>
            </w:pPr>
          </w:p>
        </w:tc>
        <w:tc>
          <w:tcPr>
            <w:tcW w:w="1276" w:type="dxa"/>
            <w:gridSpan w:val="3"/>
            <w:tcBorders>
              <w:bottom w:val="single" w:sz="4" w:space="0" w:color="auto"/>
            </w:tcBorders>
            <w:noWrap/>
            <w:vAlign w:val="center"/>
          </w:tcPr>
          <w:p>
            <w:pPr>
              <w:pStyle w:val="yTableNAm"/>
              <w:spacing w:after="60"/>
              <w:rPr>
                <w:sz w:val="20"/>
              </w:rPr>
            </w:pPr>
            <w:r>
              <w:rPr>
                <w:sz w:val="20"/>
              </w:rPr>
              <w:t>Date</w:t>
            </w:r>
          </w:p>
        </w:tc>
        <w:tc>
          <w:tcPr>
            <w:tcW w:w="1843" w:type="dxa"/>
            <w:tcBorders>
              <w:bottom w:val="single" w:sz="4" w:space="0" w:color="auto"/>
            </w:tcBorders>
            <w:noWrap/>
            <w:vAlign w:val="center"/>
          </w:tcPr>
          <w:p>
            <w:pPr>
              <w:pStyle w:val="yTableNAm"/>
              <w:rPr>
                <w:sz w:val="20"/>
              </w:rPr>
            </w:pPr>
          </w:p>
        </w:tc>
        <w:tc>
          <w:tcPr>
            <w:tcW w:w="708" w:type="dxa"/>
            <w:tcBorders>
              <w:bottom w:val="single" w:sz="4" w:space="0" w:color="auto"/>
            </w:tcBorders>
            <w:noWrap/>
            <w:vAlign w:val="center"/>
          </w:tcPr>
          <w:p>
            <w:pPr>
              <w:pStyle w:val="yTableNAm"/>
              <w:spacing w:after="60"/>
              <w:rPr>
                <w:sz w:val="20"/>
              </w:rPr>
            </w:pPr>
            <w:r>
              <w:rPr>
                <w:sz w:val="20"/>
              </w:rPr>
              <w:t>Time</w:t>
            </w:r>
          </w:p>
        </w:tc>
        <w:tc>
          <w:tcPr>
            <w:tcW w:w="1385" w:type="dxa"/>
            <w:tcBorders>
              <w:bottom w:val="single" w:sz="4" w:space="0" w:color="auto"/>
            </w:tcBorders>
            <w:noWrap/>
            <w:vAlign w:val="center"/>
          </w:tcPr>
          <w:p>
            <w:pPr>
              <w:pStyle w:val="yTableNAm"/>
              <w:rPr>
                <w:sz w:val="20"/>
              </w:rPr>
            </w:pPr>
          </w:p>
        </w:tc>
      </w:tr>
      <w:tr>
        <w:trPr>
          <w:cantSplit/>
        </w:trPr>
        <w:tc>
          <w:tcPr>
            <w:tcW w:w="1701" w:type="dxa"/>
            <w:tcBorders>
              <w:top w:val="single" w:sz="4" w:space="0" w:color="auto"/>
              <w:bottom w:val="single" w:sz="4" w:space="0" w:color="auto"/>
            </w:tcBorders>
            <w:noWrap/>
          </w:tcPr>
          <w:p>
            <w:pPr>
              <w:pStyle w:val="yTableNAm"/>
              <w:rPr>
                <w:sz w:val="20"/>
              </w:rPr>
            </w:pPr>
            <w:r>
              <w:rPr>
                <w:sz w:val="20"/>
              </w:rPr>
              <w:t>Magistrate’s signature</w:t>
            </w:r>
          </w:p>
        </w:tc>
        <w:tc>
          <w:tcPr>
            <w:tcW w:w="5212" w:type="dxa"/>
            <w:gridSpan w:val="6"/>
            <w:tcBorders>
              <w:top w:val="single" w:sz="4" w:space="0" w:color="auto"/>
              <w:bottom w:val="single" w:sz="4" w:space="0" w:color="auto"/>
            </w:tcBorders>
            <w:noWrap/>
            <w:vAlign w:val="center"/>
          </w:tcPr>
          <w:p>
            <w:pPr>
              <w:pStyle w:val="yTableNAm"/>
              <w:rPr>
                <w:sz w:val="20"/>
              </w:rPr>
            </w:pPr>
            <w:r>
              <w:rPr>
                <w:sz w:val="20"/>
              </w:rPr>
              <w:t>Issued by me on the above date and at the above time.</w:t>
            </w:r>
          </w:p>
          <w:p>
            <w:pPr>
              <w:pStyle w:val="yTableNAm"/>
              <w:rPr>
                <w:sz w:val="20"/>
              </w:rPr>
            </w:pPr>
          </w:p>
          <w:p>
            <w:pPr>
              <w:pStyle w:val="yTableNAm"/>
              <w:spacing w:after="60"/>
              <w:rPr>
                <w:sz w:val="20"/>
              </w:rPr>
            </w:pPr>
            <w:r>
              <w:rPr>
                <w:sz w:val="20"/>
              </w:rPr>
              <w:br/>
              <w:t>Magistrate</w:t>
            </w:r>
          </w:p>
        </w:tc>
      </w:tr>
      <w:tr>
        <w:trPr>
          <w:trHeight w:val="222"/>
        </w:trPr>
        <w:tc>
          <w:tcPr>
            <w:tcW w:w="1701" w:type="dxa"/>
            <w:vMerge w:val="restart"/>
            <w:tcBorders>
              <w:top w:val="single" w:sz="4" w:space="0" w:color="auto"/>
            </w:tcBorders>
            <w:noWrap/>
          </w:tcPr>
          <w:p>
            <w:pPr>
              <w:pStyle w:val="yTableNAm"/>
              <w:keepNext/>
              <w:rPr>
                <w:sz w:val="20"/>
              </w:rPr>
            </w:pPr>
            <w:r>
              <w:rPr>
                <w:sz w:val="20"/>
              </w:rPr>
              <w:lastRenderedPageBreak/>
              <w:t>Execution details</w:t>
            </w:r>
          </w:p>
        </w:tc>
        <w:tc>
          <w:tcPr>
            <w:tcW w:w="709" w:type="dxa"/>
            <w:tcBorders>
              <w:top w:val="single" w:sz="4" w:space="0" w:color="auto"/>
              <w:bottom w:val="single" w:sz="4" w:space="0" w:color="auto"/>
            </w:tcBorders>
            <w:noWrap/>
            <w:vAlign w:val="center"/>
          </w:tcPr>
          <w:p>
            <w:pPr>
              <w:pStyle w:val="yTableNAm"/>
              <w:keepNext/>
              <w:spacing w:after="60"/>
              <w:rPr>
                <w:sz w:val="20"/>
              </w:rPr>
            </w:pPr>
            <w:r>
              <w:rPr>
                <w:sz w:val="20"/>
              </w:rPr>
              <w:t>Start</w:t>
            </w:r>
          </w:p>
        </w:tc>
        <w:tc>
          <w:tcPr>
            <w:tcW w:w="4503" w:type="dxa"/>
            <w:gridSpan w:val="5"/>
            <w:tcBorders>
              <w:top w:val="single" w:sz="4" w:space="0" w:color="auto"/>
              <w:bottom w:val="single" w:sz="4" w:space="0" w:color="auto"/>
            </w:tcBorders>
            <w:noWrap/>
            <w:vAlign w:val="center"/>
          </w:tcPr>
          <w:p>
            <w:pPr>
              <w:pStyle w:val="yTableNAm"/>
              <w:keepNext/>
              <w:spacing w:after="60"/>
              <w:rPr>
                <w:sz w:val="20"/>
              </w:rPr>
            </w:pPr>
            <w:r>
              <w:rPr>
                <w:sz w:val="20"/>
              </w:rPr>
              <w:t>Date:</w:t>
            </w:r>
            <w:r>
              <w:rPr>
                <w:sz w:val="20"/>
              </w:rPr>
              <w:tab/>
            </w:r>
            <w:r>
              <w:rPr>
                <w:sz w:val="20"/>
              </w:rPr>
              <w:tab/>
            </w:r>
            <w:r>
              <w:rPr>
                <w:sz w:val="20"/>
              </w:rPr>
              <w:tab/>
              <w:t>Time:</w:t>
            </w:r>
          </w:p>
        </w:tc>
      </w:tr>
      <w:tr>
        <w:trPr>
          <w:trHeight w:val="222"/>
        </w:trPr>
        <w:tc>
          <w:tcPr>
            <w:tcW w:w="1701" w:type="dxa"/>
            <w:vMerge/>
            <w:tcBorders>
              <w:top w:val="single" w:sz="4" w:space="0" w:color="auto"/>
            </w:tcBorders>
            <w:noWrap/>
          </w:tcPr>
          <w:p>
            <w:pPr>
              <w:pStyle w:val="yTableNAm"/>
              <w:rPr>
                <w:b/>
                <w:sz w:val="20"/>
              </w:rPr>
            </w:pPr>
          </w:p>
        </w:tc>
        <w:tc>
          <w:tcPr>
            <w:tcW w:w="709" w:type="dxa"/>
            <w:tcBorders>
              <w:top w:val="single" w:sz="4" w:space="0" w:color="auto"/>
              <w:bottom w:val="single" w:sz="4" w:space="0" w:color="auto"/>
            </w:tcBorders>
            <w:noWrap/>
            <w:vAlign w:val="center"/>
          </w:tcPr>
          <w:p>
            <w:pPr>
              <w:pStyle w:val="yTableNAm"/>
              <w:spacing w:after="60"/>
              <w:rPr>
                <w:sz w:val="20"/>
              </w:rPr>
            </w:pPr>
            <w:r>
              <w:rPr>
                <w:sz w:val="20"/>
              </w:rPr>
              <w:t>End</w:t>
            </w:r>
          </w:p>
        </w:tc>
        <w:tc>
          <w:tcPr>
            <w:tcW w:w="4503" w:type="dxa"/>
            <w:gridSpan w:val="5"/>
            <w:tcBorders>
              <w:top w:val="single" w:sz="4" w:space="0" w:color="auto"/>
              <w:bottom w:val="single" w:sz="4" w:space="0" w:color="auto"/>
            </w:tcBorders>
            <w:noWrap/>
            <w:vAlign w:val="center"/>
          </w:tcPr>
          <w:p>
            <w:pPr>
              <w:pStyle w:val="yTableNAm"/>
              <w:spacing w:after="60"/>
              <w:rPr>
                <w:sz w:val="20"/>
              </w:rPr>
            </w:pPr>
            <w:r>
              <w:rPr>
                <w:sz w:val="20"/>
              </w:rPr>
              <w:t>Date:</w:t>
            </w:r>
            <w:r>
              <w:rPr>
                <w:sz w:val="20"/>
              </w:rPr>
              <w:tab/>
            </w:r>
            <w:r>
              <w:rPr>
                <w:sz w:val="20"/>
              </w:rPr>
              <w:tab/>
            </w:r>
            <w:r>
              <w:rPr>
                <w:sz w:val="20"/>
              </w:rPr>
              <w:tab/>
              <w:t>Time:</w:t>
            </w:r>
          </w:p>
        </w:tc>
      </w:tr>
      <w:tr>
        <w:trPr>
          <w:trHeight w:val="210"/>
        </w:trPr>
        <w:tc>
          <w:tcPr>
            <w:tcW w:w="1701" w:type="dxa"/>
            <w:vMerge/>
            <w:tcBorders>
              <w:bottom w:val="single" w:sz="4" w:space="0" w:color="auto"/>
            </w:tcBorders>
            <w:noWrap/>
          </w:tcPr>
          <w:p>
            <w:pPr>
              <w:pStyle w:val="yTableNAm"/>
              <w:rPr>
                <w:b/>
                <w:sz w:val="20"/>
              </w:rPr>
            </w:pPr>
          </w:p>
        </w:tc>
        <w:tc>
          <w:tcPr>
            <w:tcW w:w="5212" w:type="dxa"/>
            <w:gridSpan w:val="6"/>
            <w:tcBorders>
              <w:bottom w:val="single" w:sz="4" w:space="0" w:color="auto"/>
            </w:tcBorders>
            <w:noWrap/>
            <w:vAlign w:val="center"/>
          </w:tcPr>
          <w:p>
            <w:pPr>
              <w:pStyle w:val="yTableNAm"/>
              <w:rPr>
                <w:sz w:val="20"/>
              </w:rPr>
            </w:pPr>
            <w:r>
              <w:rPr>
                <w:sz w:val="20"/>
              </w:rPr>
              <w:t>Occupier present? Yes/No</w:t>
            </w:r>
          </w:p>
          <w:p>
            <w:pPr>
              <w:pStyle w:val="yTableNAm"/>
              <w:spacing w:after="60"/>
              <w:rPr>
                <w:sz w:val="20"/>
              </w:rPr>
            </w:pPr>
            <w:r>
              <w:rPr>
                <w:sz w:val="20"/>
              </w:rPr>
              <w:t>Entry audiovisually recorded? Yes/No</w:t>
            </w:r>
          </w:p>
        </w:tc>
      </w:tr>
      <w:tr>
        <w:trPr>
          <w:trHeight w:val="421"/>
        </w:trPr>
        <w:tc>
          <w:tcPr>
            <w:tcW w:w="1701" w:type="dxa"/>
            <w:tcBorders>
              <w:bottom w:val="single" w:sz="4" w:space="0" w:color="auto"/>
            </w:tcBorders>
            <w:noWrap/>
          </w:tcPr>
          <w:p>
            <w:pPr>
              <w:pStyle w:val="yTableNAm"/>
              <w:spacing w:after="60"/>
              <w:rPr>
                <w:sz w:val="20"/>
              </w:rPr>
            </w:pPr>
            <w:r>
              <w:rPr>
                <w:sz w:val="20"/>
              </w:rPr>
              <w:t>Person executing this warrant</w:t>
            </w:r>
          </w:p>
        </w:tc>
        <w:tc>
          <w:tcPr>
            <w:tcW w:w="992" w:type="dxa"/>
            <w:gridSpan w:val="2"/>
            <w:tcBorders>
              <w:bottom w:val="single" w:sz="4" w:space="0" w:color="auto"/>
            </w:tcBorders>
            <w:noWrap/>
            <w:vAlign w:val="center"/>
          </w:tcPr>
          <w:p>
            <w:pPr>
              <w:pStyle w:val="yTableNAm"/>
              <w:rPr>
                <w:sz w:val="20"/>
              </w:rPr>
            </w:pPr>
            <w:r>
              <w:rPr>
                <w:sz w:val="20"/>
              </w:rPr>
              <w:t>Name</w:t>
            </w:r>
          </w:p>
        </w:tc>
        <w:tc>
          <w:tcPr>
            <w:tcW w:w="4220" w:type="dxa"/>
            <w:gridSpan w:val="4"/>
            <w:tcBorders>
              <w:bottom w:val="single" w:sz="4" w:space="0" w:color="auto"/>
            </w:tcBorders>
            <w:noWrap/>
            <w:vAlign w:val="center"/>
          </w:tcPr>
          <w:p>
            <w:pPr>
              <w:pStyle w:val="yTableNAm"/>
              <w:rPr>
                <w:sz w:val="20"/>
              </w:rPr>
            </w:pPr>
          </w:p>
        </w:tc>
      </w:tr>
    </w:tbl>
    <w:p>
      <w:pPr>
        <w:pStyle w:val="yFootnotesection"/>
      </w:pPr>
      <w:r>
        <w:tab/>
        <w:t>[Form 3A inserted: SL 2022/49 r. 9(2).]</w:t>
      </w:r>
    </w:p>
    <w:p>
      <w:pPr>
        <w:pStyle w:val="yHeading5"/>
        <w:pageBreakBefore/>
      </w:pPr>
      <w:bookmarkStart w:id="67" w:name="_Toc154745709"/>
      <w:r>
        <w:rPr>
          <w:rStyle w:val="CharSClsNo"/>
        </w:rPr>
        <w:lastRenderedPageBreak/>
        <w:t>4</w:t>
      </w:r>
      <w:r>
        <w:t>.</w:t>
      </w:r>
      <w:r>
        <w:rPr>
          <w:b w:val="0"/>
        </w:rPr>
        <w:tab/>
      </w:r>
      <w:r>
        <w:t>Parentage testing procedure</w:t>
      </w:r>
      <w:bookmarkEnd w:id="67"/>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lastRenderedPageBreak/>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lastRenderedPageBreak/>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68" w:name="_Toc154745710"/>
      <w:r>
        <w:rPr>
          <w:rStyle w:val="CharSClsNo"/>
        </w:rPr>
        <w:lastRenderedPageBreak/>
        <w:t>5</w:t>
      </w:r>
      <w:r>
        <w:t>.</w:t>
      </w:r>
      <w:r>
        <w:rPr>
          <w:b w:val="0"/>
        </w:rPr>
        <w:tab/>
      </w:r>
      <w:r>
        <w:t>Parentage testing procedure</w:t>
      </w:r>
      <w:bookmarkEnd w:id="68"/>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69" w:name="_Toc154745711"/>
      <w:r>
        <w:rPr>
          <w:rStyle w:val="CharSClsNo"/>
        </w:rPr>
        <w:lastRenderedPageBreak/>
        <w:t>6</w:t>
      </w:r>
      <w:r>
        <w:t>.</w:t>
      </w:r>
      <w:r>
        <w:rPr>
          <w:b w:val="0"/>
        </w:rPr>
        <w:tab/>
      </w:r>
      <w:r>
        <w:t>Parentage testing procedure report</w:t>
      </w:r>
      <w:bookmarkEnd w:id="69"/>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lastRenderedPageBreak/>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lastRenderedPageBreak/>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lastRenderedPageBreak/>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outlineLvl w:val="0"/>
        <w:sectPr>
          <w:headerReference w:type="even" r:id="rId25"/>
          <w:headerReference w:type="default" r:id="rId26"/>
          <w:pgSz w:w="11907" w:h="16840" w:code="9"/>
          <w:pgMar w:top="2381" w:right="2410" w:bottom="3544" w:left="2410" w:header="720" w:footer="3544" w:gutter="0"/>
          <w:cols w:space="720"/>
        </w:sectPr>
      </w:pPr>
    </w:p>
    <w:p>
      <w:pPr>
        <w:pStyle w:val="nHeading2"/>
      </w:pPr>
      <w:bookmarkStart w:id="71" w:name="_Toc154745712"/>
      <w:r>
        <w:lastRenderedPageBreak/>
        <w:t>Notes</w:t>
      </w:r>
      <w:bookmarkEnd w:id="71"/>
    </w:p>
    <w:p>
      <w:pPr>
        <w:pStyle w:val="nStatement"/>
      </w:pPr>
      <w:r>
        <w:t xml:space="preserve">This is a compilation of the </w:t>
      </w:r>
      <w:r>
        <w:rPr>
          <w:i/>
          <w:noProof/>
        </w:rPr>
        <w:t>Children and Community Services Regulations 2006</w:t>
      </w:r>
      <w:r>
        <w:t xml:space="preserve"> and includes amendments made by other written laws. For provisions that have come into operation, and for information about any reprints, see the compilation table. For provisions that have not yet come into operation see the uncommenced provisions table.</w:t>
      </w:r>
    </w:p>
    <w:p>
      <w:pPr>
        <w:pStyle w:val="nHeading3"/>
      </w:pPr>
      <w:bookmarkStart w:id="72" w:name="_Toc154745713"/>
      <w:r>
        <w:t>Compilation table</w:t>
      </w:r>
      <w:bookmarkEnd w:id="72"/>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8"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3"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3"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3"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3"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3"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3"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3"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3"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lastRenderedPageBreak/>
              <w:t>Children and Community Services Amendment Regulations 2011</w:t>
            </w:r>
          </w:p>
        </w:tc>
        <w:tc>
          <w:tcPr>
            <w:tcW w:w="1276" w:type="dxa"/>
          </w:tcPr>
          <w:p>
            <w:pPr>
              <w:pStyle w:val="nTable"/>
              <w:spacing w:after="40"/>
            </w:pPr>
            <w:r>
              <w:t>28 Jan 2011 p. 243-56</w:t>
            </w:r>
          </w:p>
        </w:tc>
        <w:tc>
          <w:tcPr>
            <w:tcW w:w="2693"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2012</w:t>
            </w:r>
          </w:p>
        </w:tc>
        <w:tc>
          <w:tcPr>
            <w:tcW w:w="1276" w:type="dxa"/>
          </w:tcPr>
          <w:p>
            <w:pPr>
              <w:pStyle w:val="nTable"/>
              <w:spacing w:after="40"/>
            </w:pPr>
            <w:r>
              <w:t>27 Jan 2012 p. 567</w:t>
            </w:r>
          </w:p>
        </w:tc>
        <w:tc>
          <w:tcPr>
            <w:tcW w:w="2693"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2012</w:t>
            </w:r>
          </w:p>
        </w:tc>
        <w:tc>
          <w:tcPr>
            <w:tcW w:w="1276" w:type="dxa"/>
          </w:tcPr>
          <w:p>
            <w:pPr>
              <w:pStyle w:val="nTable"/>
              <w:spacing w:after="40"/>
            </w:pPr>
            <w:r>
              <w:t>21 Sep 2012 p. 4422</w:t>
            </w:r>
          </w:p>
        </w:tc>
        <w:tc>
          <w:tcPr>
            <w:tcW w:w="2693"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2014</w:t>
            </w:r>
          </w:p>
        </w:tc>
        <w:tc>
          <w:tcPr>
            <w:tcW w:w="1276" w:type="dxa"/>
          </w:tcPr>
          <w:p>
            <w:pPr>
              <w:pStyle w:val="nTable"/>
              <w:spacing w:after="40"/>
            </w:pPr>
            <w:r>
              <w:t>27 Jun 2014 p. 2310-11</w:t>
            </w:r>
          </w:p>
        </w:tc>
        <w:tc>
          <w:tcPr>
            <w:tcW w:w="2693"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rPr>
              <w:t>Children and Community Services Amendment Regulations 2015</w:t>
            </w:r>
          </w:p>
        </w:tc>
        <w:tc>
          <w:tcPr>
            <w:tcW w:w="1276" w:type="dxa"/>
          </w:tcPr>
          <w:p>
            <w:pPr>
              <w:pStyle w:val="nTable"/>
              <w:spacing w:after="40"/>
            </w:pPr>
            <w:r>
              <w:t>10 Apr 2015 p. 1251</w:t>
            </w:r>
          </w:p>
        </w:tc>
        <w:tc>
          <w:tcPr>
            <w:tcW w:w="2693"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20"/>
              <w:rPr>
                <w:i/>
              </w:rPr>
            </w:pPr>
            <w:r>
              <w:rPr>
                <w:i/>
              </w:rPr>
              <w:t>Children and Community Services Amendment Regulations (No. 2) 2015</w:t>
            </w:r>
          </w:p>
        </w:tc>
        <w:tc>
          <w:tcPr>
            <w:tcW w:w="1276" w:type="dxa"/>
          </w:tcPr>
          <w:p>
            <w:pPr>
              <w:pStyle w:val="nTable"/>
              <w:spacing w:after="20"/>
            </w:pPr>
            <w:r>
              <w:t>26 Jun 2015 p. 2238</w:t>
            </w:r>
            <w:r>
              <w:noBreakHyphen/>
              <w:t>9</w:t>
            </w:r>
          </w:p>
        </w:tc>
        <w:tc>
          <w:tcPr>
            <w:tcW w:w="2693"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20"/>
              <w:rPr>
                <w:i/>
              </w:rPr>
            </w:pPr>
            <w:r>
              <w:rPr>
                <w:i/>
              </w:rPr>
              <w:t xml:space="preserve">Children and Community Services Amendment Regulations (No. 3) 2015 </w:t>
            </w:r>
          </w:p>
        </w:tc>
        <w:tc>
          <w:tcPr>
            <w:tcW w:w="1276" w:type="dxa"/>
            <w:shd w:val="clear" w:color="auto" w:fill="auto"/>
          </w:tcPr>
          <w:p>
            <w:pPr>
              <w:pStyle w:val="nTable"/>
              <w:spacing w:after="20"/>
            </w:pPr>
            <w:r>
              <w:t>15 Dec 2015 p. 5028-9</w:t>
            </w:r>
          </w:p>
        </w:tc>
        <w:tc>
          <w:tcPr>
            <w:tcW w:w="2693"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pPr>
            <w:r>
              <w:rPr>
                <w:i/>
              </w:rPr>
              <w:t>Child Protection Regulations Amendment Regulations 2016</w:t>
            </w:r>
            <w:r>
              <w:t xml:space="preserve"> Pt. 3</w:t>
            </w:r>
          </w:p>
        </w:tc>
        <w:tc>
          <w:tcPr>
            <w:tcW w:w="1276" w:type="dxa"/>
            <w:shd w:val="clear" w:color="auto" w:fill="auto"/>
          </w:tcPr>
          <w:p>
            <w:pPr>
              <w:pStyle w:val="nTable"/>
              <w:keepNext/>
              <w:spacing w:after="40"/>
              <w:rPr>
                <w:caps/>
              </w:rPr>
            </w:pPr>
            <w:r>
              <w:t>24 Jun 2016 p. 2292-4</w:t>
            </w:r>
          </w:p>
        </w:tc>
        <w:tc>
          <w:tcPr>
            <w:tcW w:w="2693"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rPr>
                <w:i/>
              </w:rPr>
            </w:pPr>
            <w:r>
              <w:rPr>
                <w:i/>
              </w:rPr>
              <w:lastRenderedPageBreak/>
              <w:t>Children and Community Services Amendment Regulations 2016</w:t>
            </w:r>
          </w:p>
        </w:tc>
        <w:tc>
          <w:tcPr>
            <w:tcW w:w="1276" w:type="dxa"/>
            <w:shd w:val="clear" w:color="auto" w:fill="auto"/>
          </w:tcPr>
          <w:p>
            <w:pPr>
              <w:pStyle w:val="nTable"/>
              <w:keepNext/>
              <w:spacing w:after="40"/>
            </w:pPr>
            <w:r>
              <w:t>24 Jun 2016 p. 2295-6</w:t>
            </w:r>
          </w:p>
        </w:tc>
        <w:tc>
          <w:tcPr>
            <w:tcW w:w="2693"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 Protection Regulations Amendment (Fees and Payments) Regulations 2017</w:t>
            </w:r>
            <w:r>
              <w:t xml:space="preserve"> Pt. 3</w:t>
            </w:r>
          </w:p>
        </w:tc>
        <w:tc>
          <w:tcPr>
            <w:tcW w:w="1276" w:type="dxa"/>
          </w:tcPr>
          <w:p>
            <w:pPr>
              <w:pStyle w:val="nTable"/>
              <w:keepNext/>
              <w:spacing w:after="40"/>
            </w:pPr>
            <w:r>
              <w:t>23 Jun 2017 p. 3174</w:t>
            </w:r>
            <w:r>
              <w:noBreakHyphen/>
              <w:t>5</w:t>
            </w:r>
          </w:p>
        </w:tc>
        <w:tc>
          <w:tcPr>
            <w:tcW w:w="2693"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2018</w:t>
            </w:r>
          </w:p>
        </w:tc>
        <w:tc>
          <w:tcPr>
            <w:tcW w:w="1276" w:type="dxa"/>
          </w:tcPr>
          <w:p>
            <w:pPr>
              <w:pStyle w:val="nTable"/>
              <w:keepNext/>
              <w:spacing w:after="40"/>
            </w:pPr>
            <w:r>
              <w:t>22 Jun 2018 p. 2178</w:t>
            </w:r>
            <w:r>
              <w:noBreakHyphen/>
              <w:t>80</w:t>
            </w:r>
          </w:p>
        </w:tc>
        <w:tc>
          <w:tcPr>
            <w:tcW w:w="2693"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pPr>
            <w:r>
              <w:rPr>
                <w:i/>
              </w:rPr>
              <w:t>Child Protection Regulations Amendment (Fees and Payments) Regulations 2019</w:t>
            </w:r>
            <w:r>
              <w:t xml:space="preserve"> Pt. 3</w:t>
            </w:r>
          </w:p>
        </w:tc>
        <w:tc>
          <w:tcPr>
            <w:tcW w:w="1276" w:type="dxa"/>
          </w:tcPr>
          <w:p>
            <w:pPr>
              <w:pStyle w:val="nTable"/>
              <w:keepNext/>
              <w:spacing w:after="40"/>
            </w:pPr>
            <w:r>
              <w:t>28 Jun 2019 p. 2477</w:t>
            </w:r>
            <w:r>
              <w:noBreakHyphen/>
              <w:t>9</w:t>
            </w:r>
          </w:p>
        </w:tc>
        <w:tc>
          <w:tcPr>
            <w:tcW w:w="2693" w:type="dxa"/>
          </w:tcPr>
          <w:p>
            <w:pPr>
              <w:pStyle w:val="nTable"/>
              <w:keepNext/>
              <w:spacing w:after="40"/>
              <w:rPr>
                <w:snapToGrid w:val="0"/>
              </w:rPr>
            </w:pPr>
            <w:r>
              <w:rPr>
                <w:snapToGrid w:val="0"/>
              </w:rPr>
              <w:t>1 Jul 2019 (see r. 2(b))</w:t>
            </w:r>
          </w:p>
        </w:tc>
      </w:tr>
      <w:tr>
        <w:trPr>
          <w:cantSplit/>
        </w:trPr>
        <w:tc>
          <w:tcPr>
            <w:tcW w:w="3118" w:type="dxa"/>
            <w:tcBorders>
              <w:top w:val="nil"/>
              <w:bottom w:val="nil"/>
            </w:tcBorders>
          </w:tcPr>
          <w:p>
            <w:pPr>
              <w:pStyle w:val="nTable"/>
              <w:spacing w:after="40"/>
              <w:rPr>
                <w:i/>
              </w:rPr>
            </w:pPr>
            <w:r>
              <w:rPr>
                <w:i/>
              </w:rPr>
              <w:t>Children and Community Services Amendment Regulations 2020</w:t>
            </w:r>
          </w:p>
        </w:tc>
        <w:tc>
          <w:tcPr>
            <w:tcW w:w="1276" w:type="dxa"/>
            <w:tcBorders>
              <w:top w:val="nil"/>
              <w:bottom w:val="nil"/>
            </w:tcBorders>
          </w:tcPr>
          <w:p>
            <w:pPr>
              <w:pStyle w:val="nTable"/>
              <w:keepNext/>
              <w:spacing w:after="40"/>
            </w:pPr>
            <w:r>
              <w:t>SL 2020/142 28 Aug 2020</w:t>
            </w:r>
          </w:p>
        </w:tc>
        <w:tc>
          <w:tcPr>
            <w:tcW w:w="2693"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(No. 2) 2020</w:t>
            </w:r>
          </w:p>
        </w:tc>
        <w:tc>
          <w:tcPr>
            <w:tcW w:w="1276" w:type="dxa"/>
            <w:tcBorders>
              <w:top w:val="nil"/>
              <w:bottom w:val="nil"/>
            </w:tcBorders>
          </w:tcPr>
          <w:p>
            <w:pPr>
              <w:pStyle w:val="nTable"/>
              <w:keepNext/>
              <w:spacing w:after="40"/>
            </w:pPr>
            <w:r>
              <w:t>SL 2020/237 4 Dec 2020</w:t>
            </w:r>
          </w:p>
        </w:tc>
        <w:tc>
          <w:tcPr>
            <w:tcW w:w="2693"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2021</w:t>
            </w:r>
          </w:p>
        </w:tc>
        <w:tc>
          <w:tcPr>
            <w:tcW w:w="1276" w:type="dxa"/>
            <w:tcBorders>
              <w:top w:val="nil"/>
              <w:bottom w:val="nil"/>
            </w:tcBorders>
          </w:tcPr>
          <w:p>
            <w:pPr>
              <w:pStyle w:val="nTable"/>
              <w:keepNext/>
              <w:spacing w:after="40"/>
            </w:pPr>
            <w:r>
              <w:t>SL 2021/36 9 Apr 2021</w:t>
            </w:r>
          </w:p>
        </w:tc>
        <w:tc>
          <w:tcPr>
            <w:tcW w:w="2693"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(No. 2) 2021</w:t>
            </w:r>
          </w:p>
        </w:tc>
        <w:tc>
          <w:tcPr>
            <w:tcW w:w="1276" w:type="dxa"/>
          </w:tcPr>
          <w:p>
            <w:pPr>
              <w:pStyle w:val="nTable"/>
              <w:keepNext/>
              <w:spacing w:after="40"/>
            </w:pPr>
            <w:r>
              <w:t>SL 2021/139 30 Jul 2021</w:t>
            </w:r>
          </w:p>
        </w:tc>
        <w:tc>
          <w:tcPr>
            <w:tcW w:w="2693" w:type="dxa"/>
          </w:tcPr>
          <w:p>
            <w:pPr>
              <w:pStyle w:val="nTable"/>
              <w:keepNext/>
              <w:spacing w:after="40"/>
            </w:pPr>
            <w:r>
              <w:t>r. 1 and 2: 30 Jul 2021 (see r. 2(a));</w:t>
            </w:r>
            <w:r>
              <w:br/>
              <w:t>Regulations other than r. 1 and 2: 31 Jul 2021 (see r. 2(b))</w:t>
            </w:r>
          </w:p>
        </w:tc>
      </w:tr>
      <w:tr>
        <w:tc>
          <w:tcPr>
            <w:tcW w:w="3118" w:type="dxa"/>
            <w:tcBorders>
              <w:top w:val="nil"/>
              <w:bottom w:val="nil"/>
            </w:tcBorders>
          </w:tcPr>
          <w:p>
            <w:pPr>
              <w:pStyle w:val="nTable"/>
              <w:spacing w:after="40"/>
            </w:pPr>
            <w:r>
              <w:rPr>
                <w:i/>
              </w:rPr>
              <w:t>Children and Community Services Amendment Regulations 2022</w:t>
            </w:r>
          </w:p>
        </w:tc>
        <w:tc>
          <w:tcPr>
            <w:tcW w:w="1276" w:type="dxa"/>
            <w:tcBorders>
              <w:top w:val="nil"/>
              <w:bottom w:val="nil"/>
            </w:tcBorders>
          </w:tcPr>
          <w:p>
            <w:pPr>
              <w:pStyle w:val="nTable"/>
              <w:spacing w:after="40"/>
            </w:pPr>
            <w:r>
              <w:t>SL 2022/49 22 Apr 2022</w:t>
            </w:r>
          </w:p>
        </w:tc>
        <w:tc>
          <w:tcPr>
            <w:tcW w:w="2693" w:type="dxa"/>
            <w:tcBorders>
              <w:top w:val="nil"/>
              <w:bottom w:val="nil"/>
            </w:tcBorders>
          </w:tcPr>
          <w:p>
            <w:pPr>
              <w:pStyle w:val="nTable"/>
              <w:spacing w:after="40"/>
            </w:pPr>
            <w:r>
              <w:t>r. 1 and 2: 22 Apr 2022 (see r. 2(a));</w:t>
            </w:r>
            <w:r>
              <w:br/>
              <w:t>Regulations other than r. 1 and 2: 1 May 2022 (see r. 2(b))</w:t>
            </w:r>
          </w:p>
        </w:tc>
      </w:tr>
      <w:tr>
        <w:tc>
          <w:tcPr>
            <w:tcW w:w="3118" w:type="dxa"/>
            <w:tcBorders>
              <w:top w:val="nil"/>
              <w:bottom w:val="nil"/>
            </w:tcBorders>
          </w:tcPr>
          <w:p>
            <w:pPr>
              <w:pStyle w:val="nTable"/>
              <w:spacing w:after="40"/>
              <w:rPr>
                <w:i/>
              </w:rPr>
            </w:pPr>
            <w:r>
              <w:rPr>
                <w:i/>
              </w:rPr>
              <w:t>Child Protection Regulations Amendment (Fees and Payments) Regulations 2022</w:t>
            </w:r>
            <w:r>
              <w:t xml:space="preserve"> Pt. 3</w:t>
            </w:r>
          </w:p>
        </w:tc>
        <w:tc>
          <w:tcPr>
            <w:tcW w:w="1276" w:type="dxa"/>
            <w:tcBorders>
              <w:top w:val="nil"/>
              <w:bottom w:val="nil"/>
            </w:tcBorders>
          </w:tcPr>
          <w:p>
            <w:pPr>
              <w:pStyle w:val="nTable"/>
              <w:spacing w:after="40"/>
            </w:pPr>
            <w:r>
              <w:t>SL 2022/87 17 Jun 2022</w:t>
            </w:r>
          </w:p>
        </w:tc>
        <w:tc>
          <w:tcPr>
            <w:tcW w:w="2693" w:type="dxa"/>
            <w:tcBorders>
              <w:top w:val="nil"/>
              <w:bottom w:val="nil"/>
            </w:tcBorders>
          </w:tcPr>
          <w:p>
            <w:pPr>
              <w:pStyle w:val="nTable"/>
              <w:spacing w:after="40"/>
            </w:pPr>
            <w:r>
              <w:t>1 Jul 2022 (see r. 2(b))</w:t>
            </w:r>
          </w:p>
        </w:tc>
      </w:tr>
      <w:tr>
        <w:tc>
          <w:tcPr>
            <w:tcW w:w="3118" w:type="dxa"/>
            <w:tcBorders>
              <w:top w:val="nil"/>
              <w:bottom w:val="nil"/>
            </w:tcBorders>
          </w:tcPr>
          <w:p>
            <w:pPr>
              <w:pStyle w:val="nTable"/>
              <w:spacing w:after="40"/>
              <w:rPr>
                <w:i/>
              </w:rPr>
            </w:pPr>
            <w:r>
              <w:rPr>
                <w:i/>
              </w:rPr>
              <w:lastRenderedPageBreak/>
              <w:t>Children and Community Services Amendment Regulations (No. 3) 2022</w:t>
            </w:r>
          </w:p>
        </w:tc>
        <w:tc>
          <w:tcPr>
            <w:tcW w:w="1276" w:type="dxa"/>
            <w:tcBorders>
              <w:top w:val="nil"/>
              <w:bottom w:val="nil"/>
            </w:tcBorders>
          </w:tcPr>
          <w:p>
            <w:pPr>
              <w:pStyle w:val="nTable"/>
              <w:spacing w:after="40"/>
            </w:pPr>
            <w:r>
              <w:t>SL 2022/168 21 Oct 2022</w:t>
            </w:r>
          </w:p>
        </w:tc>
        <w:tc>
          <w:tcPr>
            <w:tcW w:w="2693" w:type="dxa"/>
            <w:tcBorders>
              <w:top w:val="nil"/>
              <w:bottom w:val="nil"/>
            </w:tcBorders>
          </w:tcPr>
          <w:p>
            <w:pPr>
              <w:pStyle w:val="nTable"/>
              <w:spacing w:after="40"/>
            </w:pPr>
            <w:r>
              <w:t>r. 1 and 2: 21 Oct 2022 (see r. 2(a));</w:t>
            </w:r>
            <w:r>
              <w:br/>
              <w:t>Regulations other than r. 1 and 2: 1 Nov 2022 (see r. 2(b))</w:t>
            </w:r>
          </w:p>
        </w:tc>
      </w:tr>
      <w:tr>
        <w:tc>
          <w:tcPr>
            <w:tcW w:w="3118" w:type="dxa"/>
            <w:tcBorders>
              <w:top w:val="nil"/>
              <w:bottom w:val="nil"/>
            </w:tcBorders>
          </w:tcPr>
          <w:p>
            <w:pPr>
              <w:pStyle w:val="nTable"/>
              <w:spacing w:after="40"/>
              <w:rPr>
                <w:i/>
              </w:rPr>
            </w:pPr>
            <w:r>
              <w:rPr>
                <w:i/>
              </w:rPr>
              <w:t>Children and Community Services Amendment Regulations 2023</w:t>
            </w:r>
            <w:r>
              <w:t xml:space="preserve"> </w:t>
            </w:r>
          </w:p>
        </w:tc>
        <w:tc>
          <w:tcPr>
            <w:tcW w:w="1276" w:type="dxa"/>
            <w:tcBorders>
              <w:top w:val="nil"/>
              <w:bottom w:val="nil"/>
            </w:tcBorders>
          </w:tcPr>
          <w:p>
            <w:pPr>
              <w:pStyle w:val="nTable"/>
              <w:spacing w:after="40"/>
            </w:pPr>
            <w:r>
              <w:t>SL 2023/52 19 May 2023</w:t>
            </w:r>
          </w:p>
        </w:tc>
        <w:tc>
          <w:tcPr>
            <w:tcW w:w="2693" w:type="dxa"/>
            <w:tcBorders>
              <w:top w:val="nil"/>
              <w:bottom w:val="nil"/>
            </w:tcBorders>
          </w:tcPr>
          <w:p>
            <w:pPr>
              <w:pStyle w:val="nTable"/>
              <w:spacing w:after="40"/>
            </w:pPr>
            <w:r>
              <w:t>r. 1 and 2: 19 May 2023 (see r. 2(a));</w:t>
            </w:r>
            <w:r>
              <w:br/>
              <w:t>Regulations other than r. 1 and 2: 1 Jul 2023 (see r. 2(b))</w:t>
            </w:r>
          </w:p>
        </w:tc>
      </w:tr>
      <w:tr>
        <w:tc>
          <w:tcPr>
            <w:tcW w:w="3118" w:type="dxa"/>
            <w:tcBorders>
              <w:top w:val="nil"/>
              <w:bottom w:val="nil"/>
            </w:tcBorders>
          </w:tcPr>
          <w:p>
            <w:pPr>
              <w:pStyle w:val="nTable"/>
              <w:spacing w:after="40"/>
              <w:rPr>
                <w:i/>
              </w:rPr>
            </w:pPr>
            <w:r>
              <w:rPr>
                <w:i/>
              </w:rPr>
              <w:t>Child Protection Regulations Amendment (Fees and Payments) Regulations 2023</w:t>
            </w:r>
            <w:r>
              <w:t xml:space="preserve"> Pt. 3</w:t>
            </w:r>
          </w:p>
        </w:tc>
        <w:tc>
          <w:tcPr>
            <w:tcW w:w="1276" w:type="dxa"/>
            <w:tcBorders>
              <w:top w:val="nil"/>
              <w:bottom w:val="nil"/>
            </w:tcBorders>
          </w:tcPr>
          <w:p>
            <w:pPr>
              <w:pStyle w:val="nTable"/>
              <w:spacing w:after="40"/>
            </w:pPr>
            <w:r>
              <w:t>SL 2023/93 30 Jun 2023</w:t>
            </w:r>
          </w:p>
        </w:tc>
        <w:tc>
          <w:tcPr>
            <w:tcW w:w="2693" w:type="dxa"/>
            <w:tcBorders>
              <w:top w:val="nil"/>
              <w:bottom w:val="nil"/>
            </w:tcBorders>
          </w:tcPr>
          <w:p>
            <w:pPr>
              <w:pStyle w:val="nTable"/>
              <w:spacing w:after="40"/>
            </w:pPr>
            <w:r>
              <w:t>1 Jul 2023 (see r. 2(b))</w:t>
            </w:r>
          </w:p>
        </w:tc>
      </w:tr>
      <w:tr>
        <w:tc>
          <w:tcPr>
            <w:tcW w:w="3118" w:type="dxa"/>
            <w:tcBorders>
              <w:top w:val="nil"/>
              <w:bottom w:val="single" w:sz="4" w:space="0" w:color="auto"/>
            </w:tcBorders>
          </w:tcPr>
          <w:p>
            <w:pPr>
              <w:pStyle w:val="nTable"/>
              <w:spacing w:after="40"/>
              <w:rPr>
                <w:i/>
              </w:rPr>
            </w:pPr>
            <w:r>
              <w:rPr>
                <w:i/>
              </w:rPr>
              <w:t>Children and Community Services Amendment Regulations (No. 2) 2023</w:t>
            </w:r>
          </w:p>
        </w:tc>
        <w:tc>
          <w:tcPr>
            <w:tcW w:w="1276" w:type="dxa"/>
            <w:tcBorders>
              <w:top w:val="nil"/>
              <w:bottom w:val="single" w:sz="4" w:space="0" w:color="auto"/>
            </w:tcBorders>
          </w:tcPr>
          <w:p>
            <w:pPr>
              <w:pStyle w:val="nTable"/>
              <w:spacing w:after="40"/>
            </w:pPr>
            <w:r>
              <w:t>SL 2023/110 14 Jul 2023</w:t>
            </w:r>
          </w:p>
        </w:tc>
        <w:tc>
          <w:tcPr>
            <w:tcW w:w="2693" w:type="dxa"/>
            <w:tcBorders>
              <w:top w:val="nil"/>
              <w:bottom w:val="single" w:sz="4" w:space="0" w:color="auto"/>
            </w:tcBorders>
          </w:tcPr>
          <w:p>
            <w:pPr>
              <w:pStyle w:val="nTable"/>
              <w:spacing w:after="40"/>
            </w:pPr>
            <w:r>
              <w:t>r. 1 and 2: 14 Jul 2023 (see r. 2(a));</w:t>
            </w:r>
            <w:r>
              <w:br/>
              <w:t>Regulations other than r. 1 and 2: 15 Jul 2023 (see r. 2(b))</w:t>
            </w:r>
          </w:p>
        </w:tc>
      </w:tr>
    </w:tbl>
    <w:p>
      <w:pPr>
        <w:pStyle w:val="nHeading3"/>
      </w:pPr>
      <w:bookmarkStart w:id="73" w:name="_Toc154745714"/>
      <w:r>
        <w:t>Uncommenced provisions table</w:t>
      </w:r>
      <w:bookmarkEnd w:id="73"/>
    </w:p>
    <w:p>
      <w:pPr>
        <w:pStyle w:val="nStatement"/>
        <w:keepNext/>
        <w:spacing w:after="240"/>
      </w:pPr>
      <w:r>
        <w:t xml:space="preserve">To view the text of the uncommenced provisions see </w:t>
      </w:r>
      <w:r>
        <w:rPr>
          <w:i/>
        </w:rPr>
        <w:t>Subsidiary legislation as made</w:t>
      </w:r>
      <w:r>
        <w:t xml:space="preserve"> on the WA Legislation website.</w:t>
      </w:r>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c>
          <w:tcPr>
            <w:tcW w:w="3118" w:type="dxa"/>
          </w:tcPr>
          <w:p>
            <w:pPr>
              <w:pStyle w:val="nTable"/>
              <w:spacing w:after="40"/>
            </w:pPr>
            <w:r>
              <w:rPr>
                <w:i/>
              </w:rPr>
              <w:t>Children and Community Services Amendment Regulations (No. 3) 2023</w:t>
            </w:r>
          </w:p>
        </w:tc>
        <w:tc>
          <w:tcPr>
            <w:tcW w:w="1276" w:type="dxa"/>
          </w:tcPr>
          <w:p>
            <w:pPr>
              <w:pStyle w:val="nTable"/>
              <w:spacing w:after="40"/>
            </w:pPr>
            <w:r>
              <w:t>SL 2023/172 1 Nov 2023</w:t>
            </w:r>
          </w:p>
        </w:tc>
        <w:tc>
          <w:tcPr>
            <w:tcW w:w="2693" w:type="dxa"/>
          </w:tcPr>
          <w:p>
            <w:pPr>
              <w:pStyle w:val="nTable"/>
              <w:spacing w:after="40"/>
            </w:pPr>
            <w:r>
              <w:t>15 Nov 2023 (see 2(b) and SL 2023/161 cl. 2)</w:t>
            </w:r>
          </w:p>
        </w:tc>
      </w:tr>
    </w:tbl>
    <w:p>
      <w:pPr>
        <w:pStyle w:val="nHeading3"/>
      </w:pPr>
      <w:bookmarkStart w:id="74" w:name="_Toc154745715"/>
      <w:r>
        <w:t>Other notes</w:t>
      </w:r>
      <w:bookmarkEnd w:id="74"/>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7"/>
          <w:headerReference w:type="default" r:id="rId28"/>
          <w:pgSz w:w="11907" w:h="16840" w:code="9"/>
          <w:pgMar w:top="2376" w:right="2404" w:bottom="3544" w:left="2404" w:header="720" w:footer="3544" w:gutter="0"/>
          <w:cols w:space="720"/>
          <w:noEndnote/>
          <w:docGrid w:linePitch="326"/>
        </w:sectPr>
      </w:pPr>
    </w:p>
    <w:p>
      <w:pPr>
        <w:pStyle w:val="nHeading2"/>
        <w:rPr>
          <w:sz w:val="28"/>
        </w:rPr>
      </w:pPr>
      <w:bookmarkStart w:id="76" w:name="_Toc154745716"/>
      <w:r>
        <w:rPr>
          <w:sz w:val="28"/>
        </w:rPr>
        <w:lastRenderedPageBreak/>
        <w:t>Defined terms</w:t>
      </w:r>
      <w:bookmarkEnd w:id="76"/>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Aboriginal or Torres Strait Islander organisation</w:t>
      </w:r>
      <w:r>
        <w:tab/>
        <w:t>23(1)</w:t>
      </w:r>
    </w:p>
    <w:p>
      <w:pPr>
        <w:pStyle w:val="DefinedTerms"/>
      </w:pPr>
      <w:r>
        <w:t>audio link</w:t>
      </w:r>
      <w:r>
        <w:tab/>
        <w:t>9</w:t>
      </w:r>
    </w:p>
    <w:p>
      <w:pPr>
        <w:pStyle w:val="DefinedTerms"/>
      </w:pPr>
      <w:r>
        <w:t>bodily sample</w:t>
      </w:r>
      <w:r>
        <w:tab/>
        <w:t>16A</w:t>
      </w:r>
    </w:p>
    <w:p>
      <w:pPr>
        <w:pStyle w:val="DefinedTerms"/>
      </w:pPr>
      <w:r>
        <w:t>care plan</w:t>
      </w:r>
      <w:r>
        <w:tab/>
        <w:t>5(2)</w:t>
      </w:r>
    </w:p>
    <w:p>
      <w:pPr>
        <w:pStyle w:val="DefinedTerms"/>
      </w:pPr>
      <w:r>
        <w:t>commencement day</w:t>
      </w:r>
      <w:r>
        <w:tab/>
        <w:t>24</w:t>
      </w:r>
    </w:p>
    <w:p>
      <w:pPr>
        <w:pStyle w:val="DefinedTerms"/>
      </w:pPr>
      <w:r>
        <w:t>donor</w:t>
      </w:r>
      <w:r>
        <w:tab/>
        <w:t>16A</w:t>
      </w:r>
    </w:p>
    <w:p>
      <w:pPr>
        <w:pStyle w:val="DefinedTerms"/>
      </w:pPr>
      <w:r>
        <w:t>guardian</w:t>
      </w:r>
      <w:r>
        <w:tab/>
        <w:t>16A</w:t>
      </w:r>
    </w:p>
    <w:p>
      <w:pPr>
        <w:pStyle w:val="DefinedTerms"/>
      </w:pPr>
      <w:r>
        <w:t>HLA</w:t>
      </w:r>
      <w:r>
        <w:tab/>
        <w:t>16A</w:t>
      </w:r>
    </w:p>
    <w:p>
      <w:pPr>
        <w:pStyle w:val="DefinedTerms"/>
      </w:pPr>
      <w:r>
        <w:t>incident</w:t>
      </w:r>
      <w:r>
        <w:tab/>
        <w:t>7</w:t>
      </w:r>
    </w:p>
    <w:p>
      <w:pPr>
        <w:pStyle w:val="DefinedTerms"/>
      </w:pPr>
      <w:r>
        <w:t>interim carer</w:t>
      </w:r>
      <w:r>
        <w:tab/>
        <w:t>4A(1)</w:t>
      </w:r>
    </w:p>
    <w:p>
      <w:pPr>
        <w:pStyle w:val="DefinedTerms"/>
      </w:pPr>
      <w:r>
        <w:t>interim placement arrangement</w:t>
      </w:r>
      <w:r>
        <w:tab/>
        <w:t>4A(2)</w:t>
      </w:r>
    </w:p>
    <w:p>
      <w:pPr>
        <w:pStyle w:val="DefinedTerms"/>
      </w:pPr>
      <w:r>
        <w:t>medical practitioner</w:t>
      </w:r>
      <w:r>
        <w:tab/>
        <w:t>16A</w:t>
      </w:r>
    </w:p>
    <w:p>
      <w:pPr>
        <w:pStyle w:val="DefinedTerms"/>
      </w:pPr>
      <w:r>
        <w:t>NATA</w:t>
      </w:r>
      <w:r>
        <w:tab/>
        <w:t>16A</w:t>
      </w:r>
    </w:p>
    <w:p>
      <w:pPr>
        <w:pStyle w:val="DefinedTerms"/>
      </w:pPr>
      <w:r>
        <w:t>nominated reporter</w:t>
      </w:r>
      <w:r>
        <w:tab/>
        <w:t>16A</w:t>
      </w:r>
    </w:p>
    <w:p>
      <w:pPr>
        <w:pStyle w:val="DefinedTerms"/>
      </w:pPr>
      <w:r>
        <w:t>panel</w:t>
      </w:r>
      <w:r>
        <w:tab/>
        <w:t>16</w:t>
      </w:r>
    </w:p>
    <w:p>
      <w:pPr>
        <w:pStyle w:val="DefinedTerms"/>
      </w:pPr>
      <w:r>
        <w:t>personal material</w:t>
      </w:r>
      <w:r>
        <w:tab/>
        <w:t>21B</w:t>
      </w:r>
    </w:p>
    <w:p>
      <w:pPr>
        <w:pStyle w:val="DefinedTerms"/>
      </w:pPr>
      <w:r>
        <w:t>President</w:t>
      </w:r>
      <w:r>
        <w:tab/>
        <w:t>3</w:t>
      </w:r>
    </w:p>
    <w:p>
      <w:pPr>
        <w:pStyle w:val="DefinedTerms"/>
      </w:pPr>
      <w:r>
        <w:t>provisional care plan</w:t>
      </w:r>
      <w:r>
        <w:tab/>
        <w:t>5(2)</w:t>
      </w:r>
    </w:p>
    <w:p>
      <w:pPr>
        <w:pStyle w:val="DefinedTerms"/>
      </w:pPr>
      <w:r>
        <w:t>report</w:t>
      </w:r>
      <w:r>
        <w:tab/>
        <w:t>16A, 16</w:t>
      </w:r>
    </w:p>
    <w:p>
      <w:pPr>
        <w:pStyle w:val="DefinedTerms"/>
      </w:pPr>
      <w:r>
        <w:t>represented person</w:t>
      </w:r>
      <w:r>
        <w:tab/>
        <w:t>16A</w:t>
      </w:r>
    </w:p>
    <w:p>
      <w:pPr>
        <w:pStyle w:val="DefinedTerms"/>
      </w:pPr>
      <w:r>
        <w:t>responsible person</w:t>
      </w:r>
      <w:r>
        <w:tab/>
        <w:t>16A</w:t>
      </w:r>
    </w:p>
    <w:p>
      <w:pPr>
        <w:pStyle w:val="DefinedTerms"/>
      </w:pPr>
      <w:r>
        <w:t>sample</w:t>
      </w:r>
      <w:r>
        <w:tab/>
        <w:t>16A</w:t>
      </w:r>
    </w:p>
    <w:p>
      <w:pPr>
        <w:pStyle w:val="DefinedTerms"/>
      </w:pPr>
      <w:r>
        <w:t>sampler</w:t>
      </w:r>
      <w:r>
        <w:tab/>
        <w:t>16A</w:t>
      </w:r>
    </w:p>
    <w:p>
      <w:pPr>
        <w:pStyle w:val="DefinedTerms"/>
      </w:pPr>
      <w:r>
        <w:t>section</w:t>
      </w:r>
      <w:r>
        <w:tab/>
        <w:t>3</w:t>
      </w:r>
    </w:p>
    <w:p>
      <w:pPr>
        <w:pStyle w:val="DefinedTerms"/>
      </w:pPr>
      <w:r>
        <w:t>seized article</w:t>
      </w:r>
      <w:r>
        <w:tab/>
        <w:t>8(1)</w:t>
      </w:r>
    </w:p>
    <w:p>
      <w:pPr>
        <w:pStyle w:val="DefinedTerms"/>
      </w:pPr>
      <w:r>
        <w:t>testing</w:t>
      </w:r>
      <w:r>
        <w:tab/>
        <w:t>16A</w:t>
      </w:r>
    </w:p>
    <w:p>
      <w:pPr>
        <w:pStyle w:val="DefinedTerms"/>
      </w:pPr>
      <w:r>
        <w:t>video link</w:t>
      </w:r>
      <w:r>
        <w:tab/>
        <w:t>9</w:t>
      </w:r>
    </w:p>
    <w:p/>
    <w:p>
      <w:pPr>
        <w:sectPr>
          <w:headerReference w:type="even" r:id="rId29"/>
          <w:headerReference w:type="default" r:id="rId30"/>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434CCF8C"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14:paraId="0EB3B7A9" w14:textId="79D5F0B7" w:rsidR="00620237" w:rsidRDefault="00620237">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14:paraId="1F997941" w14:textId="77777777" w:rsidR="00620237" w:rsidRDefault="00620237">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5DCD888E" w14:textId="1A31EBDC" w:rsidR="00620237" w:rsidRDefault="00620237">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14:paraId="30FC968A" w14:textId="77777777" w:rsidR="00620237" w:rsidRDefault="00620237">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31"/>
      <w:headerReference w:type="default" r:id="rId32"/>
      <w:footerReference w:type="even" r:id="rId33"/>
      <w:footerReference w:type="default" r:id="rId34"/>
      <w:headerReference w:type="first" r:id="rId35"/>
      <w:footerReference w:type="first" r:id="rId36"/>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Nov 2023</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03-r0-01</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Nov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03-r0-01</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Nov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03-r0-01</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xxii</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Nov 2023</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03-r0-01</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Nov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xxiii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03-r0-01</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Nov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03-r0-01</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70" w:name="Schedule"/>
    <w:bookmarkEnd w:id="70"/>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75" w:name="Compilation"/>
    <w:bookmarkEnd w:id="75"/>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bookmarkStart w:id="77" w:name="DefinedTerms"/>
    <w:bookmarkEnd w:id="77"/>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78" w:name="Coversheet"/>
    <w:bookmarkEnd w:id="7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143361"/>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31227160453"/>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 w:name="WAFER_202206151147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15114740_GUID" w:val="2c865ee8-fd49-4830-9a53-8d96db944f0f"/>
    <w:docVar w:name="WAFER_2022062709301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7093013_GUID" w:val="b996fcc0-42f2-4642-9c96-98b178ae5379"/>
    <w:docVar w:name="WAFER_202210181438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18143816_GUID" w:val="9c5eca42-732c-4aaf-9f10-3fa38f067e09"/>
    <w:docVar w:name="WAFER_2022102415214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24152143_GUID" w:val="a26b83b4-5f4f-4e80-a518-c6153cddc528"/>
    <w:docVar w:name="WAFER_202305161343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16134318_GUID" w:val="eb1edd6c-fbc3-4ca8-842b-0f911ceaf0c7"/>
    <w:docVar w:name="WAFER_202306261424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42445_GUID" w:val="0b8cfc5d-843f-4d65-af93-507a0bc4c8af"/>
    <w:docVar w:name="WAFER_2023062615020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50201_GUID" w:val="fe332450-80aa-4cf9-8093-a1e05d9c4665"/>
    <w:docVar w:name="WAFER_2023071017371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710173714_GUID" w:val="16e12a38-8540-4bd8-ae93-5a3404fad463"/>
    <w:docVar w:name="WAFER_2023122716045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0453_GUID" w:val="05f75ab4-9899-4cd6-98c1-5e22c64aa4c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61"/>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link w:val="CommentTextChar"/>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CommentTextChar">
    <w:name w:val="Comment Text Char"/>
    <w:basedOn w:val="DefaultParagraphFont"/>
    <w:link w:val="CommentText"/>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1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239A39-2732-4899-8DE1-A8D2AEE7E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10399</Words>
  <Characters>51685</Characters>
  <Application>Microsoft Office Word</Application>
  <DocSecurity>0</DocSecurity>
  <Lines>1845</Lines>
  <Paragraphs>1149</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60935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2006 - 03-r0-01</dc:title>
  <dc:subject/>
  <dc:creator/>
  <cp:keywords/>
  <dc:description/>
  <cp:lastModifiedBy>Master Repository Process</cp:lastModifiedBy>
  <cp:revision>4</cp:revision>
  <cp:lastPrinted>2016-08-22T01:27:00Z</cp:lastPrinted>
  <dcterms:created xsi:type="dcterms:W3CDTF">2023-12-29T04:33:00Z</dcterms:created>
  <dcterms:modified xsi:type="dcterms:W3CDTF">2023-12-29T04:33:00Z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ReprintedAsAt">
    <vt:filetime>2016-09-01T16:00:00Z</vt:filetime>
  </property>
  <property fmtid="{D5CDD505-2E9C-101B-9397-08002B2CF9AE}" pid="6" name="ReprintNo">
    <vt:lpwstr>3</vt:lpwstr>
  </property>
  <property fmtid="{D5CDD505-2E9C-101B-9397-08002B2CF9AE}" pid="7" name="AsAtDate">
    <vt:lpwstr>01 Nov 2023</vt:lpwstr>
  </property>
  <property fmtid="{D5CDD505-2E9C-101B-9397-08002B2CF9AE}" pid="8" name="Suffix">
    <vt:lpwstr>03-r0-01</vt:lpwstr>
  </property>
  <property fmtid="{D5CDD505-2E9C-101B-9397-08002B2CF9AE}" pid="9" name="Official">
    <vt:lpwstr/>
  </property>
  <property fmtid="{D5CDD505-2E9C-101B-9397-08002B2CF9AE}" pid="10" name="CommencementDate">
    <vt:lpwstr>20231101</vt:lpwstr>
  </property>
  <property fmtid="{D5CDD505-2E9C-101B-9397-08002B2CF9AE}" pid="11" name="CommencementAsAt">
    <vt:filetime>2023-10-31T16:00:00Z</vt:filetime>
  </property>
  <property fmtid="{D5CDD505-2E9C-101B-9397-08002B2CF9AE}" pid="12" name="CommencementYear">
    <vt:lpwstr>2023</vt:lpwstr>
  </property>
</Properties>
</file>