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Control of Vehicles (Off-road Areas)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Control of Vehicles (Off-road Areas) Act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_Toc154747820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_Toc154747821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_Toc154747822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_Toc154747823 \h </w:instrText>
      </w:r>
      <w:r>
        <w:fldChar w:fldCharType="separate"/>
      </w:r>
      <w:r>
        <w:t>4</w:t>
      </w:r>
      <w:r>
        <w:fldChar w:fldCharType="end"/>
      </w:r>
    </w:p>
    <w:p>
      <w:pPr>
        <w:pStyle w:val="TOC8"/>
        <w:rPr>
          <w:rFonts w:asciiTheme="minorHAnsi" w:eastAsiaTheme="minorEastAsia" w:hAnsiTheme="minorHAnsi" w:cstheme="minorBidi"/>
          <w:szCs w:val="22"/>
        </w:rPr>
      </w:pPr>
      <w:r>
        <w:t>4A.</w:t>
      </w:r>
      <w:r>
        <w:tab/>
        <w:t>Delegation by Director General</w:t>
      </w:r>
      <w:r>
        <w:tab/>
      </w:r>
      <w:r>
        <w:fldChar w:fldCharType="begin"/>
      </w:r>
      <w:r>
        <w:instrText xml:space="preserve"> PAGEREF _Toc154747824 \h </w:instrText>
      </w:r>
      <w:r>
        <w:fldChar w:fldCharType="separate"/>
      </w:r>
      <w:r>
        <w:t>4</w:t>
      </w:r>
      <w:r>
        <w:fldChar w:fldCharType="end"/>
      </w:r>
    </w:p>
    <w:p>
      <w:pPr>
        <w:pStyle w:val="TOC8"/>
        <w:rPr>
          <w:rFonts w:asciiTheme="minorHAnsi" w:eastAsiaTheme="minorEastAsia" w:hAnsiTheme="minorHAnsi" w:cstheme="minorBidi"/>
          <w:szCs w:val="22"/>
        </w:rPr>
      </w:pPr>
      <w:r>
        <w:t>4B.</w:t>
      </w:r>
      <w:r>
        <w:tab/>
        <w:t>Agreements for performance of Director General’s functions by others</w:t>
      </w:r>
      <w:r>
        <w:tab/>
      </w:r>
      <w:r>
        <w:fldChar w:fldCharType="begin"/>
      </w:r>
      <w:r>
        <w:instrText xml:space="preserve"> PAGEREF _Toc154747825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Local government’s functions</w:t>
      </w:r>
      <w:r>
        <w:tab/>
      </w:r>
      <w:r>
        <w:fldChar w:fldCharType="begin"/>
      </w:r>
      <w:r>
        <w:instrText xml:space="preserve"> PAGEREF _Toc154747826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Driving and using off</w:t>
      </w:r>
      <w:r>
        <w:rPr>
          <w:snapToGrid w:val="0"/>
        </w:rPr>
        <w:noBreakHyphen/>
        <w:t>road vehicles, offences</w:t>
      </w:r>
      <w:r>
        <w:tab/>
      </w:r>
      <w:r>
        <w:fldChar w:fldCharType="begin"/>
      </w:r>
      <w:r>
        <w:instrText xml:space="preserve"> PAGEREF _Toc154747827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Some vehicles to be registered under this Act</w:t>
      </w:r>
      <w:r>
        <w:tab/>
      </w:r>
      <w:r>
        <w:fldChar w:fldCharType="begin"/>
      </w:r>
      <w:r>
        <w:instrText xml:space="preserve"> PAGEREF _Toc154747828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Exceptions to s. 6(1) and (2), 9A, 9B and 9C</w:t>
      </w:r>
      <w:r>
        <w:tab/>
      </w:r>
      <w:r>
        <w:fldChar w:fldCharType="begin"/>
      </w:r>
      <w:r>
        <w:instrText xml:space="preserve"> PAGEREF _Toc154747829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vehicles not to be driven etc.</w:t>
      </w:r>
      <w:r>
        <w:tab/>
      </w:r>
      <w:r>
        <w:fldChar w:fldCharType="begin"/>
      </w:r>
      <w:r>
        <w:instrText xml:space="preserve"> PAGEREF _Toc154747830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Seat belt requirements for vehicles</w:t>
      </w:r>
      <w:r>
        <w:tab/>
      </w:r>
      <w:r>
        <w:fldChar w:fldCharType="begin"/>
      </w:r>
      <w:r>
        <w:instrText xml:space="preserve"> PAGEREF _Toc154747831 \h </w:instrText>
      </w:r>
      <w:r>
        <w:fldChar w:fldCharType="separate"/>
      </w:r>
      <w:r>
        <w:t>11</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Seat belt requirements for people in vehicles</w:t>
      </w:r>
      <w:r>
        <w:tab/>
      </w:r>
      <w:r>
        <w:fldChar w:fldCharType="begin"/>
      </w:r>
      <w:r>
        <w:instrText xml:space="preserve"> PAGEREF _Toc154747832 \h </w:instrText>
      </w:r>
      <w:r>
        <w:fldChar w:fldCharType="separate"/>
      </w:r>
      <w:r>
        <w:t>11</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Motor cycle helmet requirements</w:t>
      </w:r>
      <w:r>
        <w:tab/>
      </w:r>
      <w:r>
        <w:fldChar w:fldCharType="begin"/>
      </w:r>
      <w:r>
        <w:instrText xml:space="preserve"> PAGEREF _Toc154747833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Minimum age for drivers</w:t>
      </w:r>
      <w:r>
        <w:tab/>
      </w:r>
      <w:r>
        <w:fldChar w:fldCharType="begin"/>
      </w:r>
      <w:r>
        <w:instrText xml:space="preserve"> PAGEREF _Toc154747834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Permitted areas, declaring etc.</w:t>
      </w:r>
      <w:r>
        <w:tab/>
      </w:r>
      <w:r>
        <w:fldChar w:fldCharType="begin"/>
      </w:r>
      <w:r>
        <w:instrText xml:space="preserve"> PAGEREF _Toc154747835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Permitted areas, declaring before 6 Jan 1980</w:t>
      </w:r>
      <w:r>
        <w:tab/>
      </w:r>
      <w:r>
        <w:fldChar w:fldCharType="begin"/>
      </w:r>
      <w:r>
        <w:instrText xml:space="preserve"> PAGEREF _Toc154747836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Private land may be declared to be a permitted area</w:t>
      </w:r>
      <w:r>
        <w:tab/>
      </w:r>
      <w:r>
        <w:fldChar w:fldCharType="begin"/>
      </w:r>
      <w:r>
        <w:instrText xml:space="preserve"> PAGEREF _Toc154747837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Permitted area, temporary closure of</w:t>
      </w:r>
      <w:r>
        <w:tab/>
      </w:r>
      <w:r>
        <w:fldChar w:fldCharType="begin"/>
      </w:r>
      <w:r>
        <w:instrText xml:space="preserve"> PAGEREF _Toc154747838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Prohibited areas, establishing etc.</w:t>
      </w:r>
      <w:r>
        <w:tab/>
      </w:r>
      <w:r>
        <w:fldChar w:fldCharType="begin"/>
      </w:r>
      <w:r>
        <w:instrText xml:space="preserve"> PAGEREF _Toc154747839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Advisory Committee, establishment and functions of</w:t>
      </w:r>
      <w:r>
        <w:tab/>
      </w:r>
      <w:r>
        <w:fldChar w:fldCharType="begin"/>
      </w:r>
      <w:r>
        <w:instrText xml:space="preserve"> PAGEREF _Toc154747840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Committee’s functions as to permitted areas, prohibited areas, and use of vehicles</w:t>
      </w:r>
      <w:r>
        <w:tab/>
      </w:r>
      <w:r>
        <w:fldChar w:fldCharType="begin"/>
      </w:r>
      <w:r>
        <w:instrText xml:space="preserve"> PAGEREF _Toc154747841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Permitted and prohibited areas, identifying</w:t>
      </w:r>
      <w:r>
        <w:tab/>
      </w:r>
      <w:r>
        <w:fldChar w:fldCharType="begin"/>
      </w:r>
      <w:r>
        <w:instrText xml:space="preserve"> PAGEREF _Toc154747842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Permitted areas and prohibited areas, application of to vehicles and effect of</w:t>
      </w:r>
      <w:r>
        <w:tab/>
      </w:r>
      <w:r>
        <w:fldChar w:fldCharType="begin"/>
      </w:r>
      <w:r>
        <w:instrText xml:space="preserve"> PAGEREF _Toc154747843 \h </w:instrText>
      </w:r>
      <w:r>
        <w:fldChar w:fldCharType="separate"/>
      </w:r>
      <w:r>
        <w:t>21</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Advisory Committee, members and procedure of etc.</w:t>
      </w:r>
      <w:r>
        <w:tab/>
      </w:r>
      <w:r>
        <w:fldChar w:fldCharType="begin"/>
      </w:r>
      <w:r>
        <w:instrText xml:space="preserve"> PAGEREF _Toc154747844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Nominations of candidates for Advisory Committee, Minister may request</w:t>
      </w:r>
      <w:r>
        <w:tab/>
      </w:r>
      <w:r>
        <w:fldChar w:fldCharType="begin"/>
      </w:r>
      <w:r>
        <w:instrText xml:space="preserve"> PAGEREF _Toc154747845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Deputies of members, appointing etc.</w:t>
      </w:r>
      <w:r>
        <w:tab/>
      </w:r>
      <w:r>
        <w:fldChar w:fldCharType="begin"/>
      </w:r>
      <w:r>
        <w:instrText xml:space="preserve"> PAGEREF _Toc154747846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r>
      <w:r>
        <w:rPr>
          <w:i/>
          <w:snapToGrid w:val="0"/>
        </w:rPr>
        <w:t>Public Sector Management Act 1994</w:t>
      </w:r>
      <w:r>
        <w:rPr>
          <w:snapToGrid w:val="0"/>
        </w:rPr>
        <w:t>, application of to members</w:t>
      </w:r>
      <w:r>
        <w:tab/>
      </w:r>
      <w:r>
        <w:fldChar w:fldCharType="begin"/>
      </w:r>
      <w:r>
        <w:instrText xml:space="preserve"> PAGEREF _Toc154747847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Advisory Committee, departments etc. may assist</w:t>
      </w:r>
      <w:r>
        <w:tab/>
      </w:r>
      <w:r>
        <w:fldChar w:fldCharType="begin"/>
      </w:r>
      <w:r>
        <w:instrText xml:space="preserve"> PAGEREF _Toc154747848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Sub</w:t>
      </w:r>
      <w:r>
        <w:rPr>
          <w:snapToGrid w:val="0"/>
        </w:rPr>
        <w:noBreakHyphen/>
        <w:t>committees, appointing</w:t>
      </w:r>
      <w:r>
        <w:tab/>
      </w:r>
      <w:r>
        <w:fldChar w:fldCharType="begin"/>
      </w:r>
      <w:r>
        <w:instrText xml:space="preserve"> PAGEREF _Toc154747849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 of vehicles, generally</w:t>
      </w:r>
      <w:r>
        <w:tab/>
      </w:r>
      <w:r>
        <w:fldChar w:fldCharType="begin"/>
      </w:r>
      <w:r>
        <w:instrText xml:space="preserve"> PAGEREF _Toc154747850 \h </w:instrText>
      </w:r>
      <w:r>
        <w:fldChar w:fldCharType="separate"/>
      </w:r>
      <w:r>
        <w:t>28</w:t>
      </w:r>
      <w:r>
        <w:fldChar w:fldCharType="end"/>
      </w:r>
    </w:p>
    <w:p>
      <w:pPr>
        <w:pStyle w:val="TOC8"/>
        <w:rPr>
          <w:rFonts w:asciiTheme="minorHAnsi" w:eastAsiaTheme="minorEastAsia" w:hAnsiTheme="minorHAnsi" w:cstheme="minorBidi"/>
          <w:szCs w:val="22"/>
        </w:rPr>
      </w:pPr>
      <w:r>
        <w:t>28A.</w:t>
      </w:r>
      <w:r>
        <w:tab/>
        <w:t>Applying for registration etc. of vehicle</w:t>
      </w:r>
      <w:r>
        <w:tab/>
      </w:r>
      <w:r>
        <w:fldChar w:fldCharType="begin"/>
      </w:r>
      <w:r>
        <w:instrText xml:space="preserve"> PAGEREF _Toc154747851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Registration procedure</w:t>
      </w:r>
      <w:r>
        <w:tab/>
      </w:r>
      <w:r>
        <w:fldChar w:fldCharType="begin"/>
      </w:r>
      <w:r>
        <w:instrText xml:space="preserve"> PAGEREF _Toc154747852 \h </w:instrText>
      </w:r>
      <w:r>
        <w:fldChar w:fldCharType="separate"/>
      </w:r>
      <w:r>
        <w:t>30</w:t>
      </w:r>
      <w:r>
        <w:fldChar w:fldCharType="end"/>
      </w:r>
    </w:p>
    <w:p>
      <w:pPr>
        <w:pStyle w:val="TOC8"/>
        <w:rPr>
          <w:rFonts w:asciiTheme="minorHAnsi" w:eastAsiaTheme="minorEastAsia" w:hAnsiTheme="minorHAnsi" w:cstheme="minorBidi"/>
          <w:szCs w:val="22"/>
        </w:rPr>
      </w:pPr>
      <w:r>
        <w:t>29A.</w:t>
      </w:r>
      <w:r>
        <w:tab/>
        <w:t>Transfer of vehicle registration</w:t>
      </w:r>
      <w:r>
        <w:tab/>
      </w:r>
      <w:r>
        <w:fldChar w:fldCharType="begin"/>
      </w:r>
      <w:r>
        <w:instrText xml:space="preserve"> PAGEREF _Toc154747853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Fees for registration, reductions in, refunds of etc.</w:t>
      </w:r>
      <w:r>
        <w:tab/>
      </w:r>
      <w:r>
        <w:fldChar w:fldCharType="begin"/>
      </w:r>
      <w:r>
        <w:instrText xml:space="preserve"> PAGEREF _Toc154747854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Registration obtained by dishonoured cheque is void</w:t>
      </w:r>
      <w:r>
        <w:tab/>
      </w:r>
      <w:r>
        <w:fldChar w:fldCharType="begin"/>
      </w:r>
      <w:r>
        <w:instrText xml:space="preserve"> PAGEREF _Toc154747855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Refund of registration fees</w:t>
      </w:r>
      <w:r>
        <w:tab/>
      </w:r>
      <w:r>
        <w:fldChar w:fldCharType="begin"/>
      </w:r>
      <w:r>
        <w:instrText xml:space="preserve"> PAGEREF _Toc154747856 \h </w:instrText>
      </w:r>
      <w:r>
        <w:fldChar w:fldCharType="separate"/>
      </w:r>
      <w:r>
        <w:t>35</w:t>
      </w:r>
      <w:r>
        <w:fldChar w:fldCharType="end"/>
      </w:r>
    </w:p>
    <w:p>
      <w:pPr>
        <w:pStyle w:val="TOC8"/>
        <w:rPr>
          <w:rFonts w:asciiTheme="minorHAnsi" w:eastAsiaTheme="minorEastAsia" w:hAnsiTheme="minorHAnsi" w:cstheme="minorBidi"/>
          <w:szCs w:val="22"/>
        </w:rPr>
      </w:pPr>
      <w:r>
        <w:t>32A.</w:t>
      </w:r>
      <w:r>
        <w:tab/>
        <w:t>Nominated owner of vehicle, cancelling and changing</w:t>
      </w:r>
      <w:r>
        <w:tab/>
      </w:r>
      <w:r>
        <w:fldChar w:fldCharType="begin"/>
      </w:r>
      <w:r>
        <w:instrText xml:space="preserve"> PAGEREF _Toc154747857 \h </w:instrText>
      </w:r>
      <w:r>
        <w:fldChar w:fldCharType="separate"/>
      </w:r>
      <w:r>
        <w:t>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Review by SAT of decision on registration</w:t>
      </w:r>
      <w:r>
        <w:tab/>
      </w:r>
      <w:r>
        <w:fldChar w:fldCharType="begin"/>
      </w:r>
      <w:r>
        <w:instrText xml:space="preserve"> PAGEREF _Toc154747858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Number plate to be displayed</w:t>
      </w:r>
      <w:r>
        <w:tab/>
      </w:r>
      <w:r>
        <w:fldChar w:fldCharType="begin"/>
      </w:r>
      <w:r>
        <w:instrText xml:space="preserve"> PAGEREF _Toc154747859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Other offences concerning number plates</w:t>
      </w:r>
      <w:r>
        <w:tab/>
      </w:r>
      <w:r>
        <w:fldChar w:fldCharType="begin"/>
      </w:r>
      <w:r>
        <w:instrText xml:space="preserve"> PAGEREF _Toc154747860 \h </w:instrText>
      </w:r>
      <w:r>
        <w:fldChar w:fldCharType="separate"/>
      </w:r>
      <w:r>
        <w:t>37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Road law provisions</w:t>
      </w:r>
      <w:r>
        <w:tab/>
      </w:r>
      <w:r>
        <w:fldChar w:fldCharType="begin"/>
      </w:r>
      <w:r>
        <w:instrText xml:space="preserve"> PAGEREF _Toc154747861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Infringement notices</w:t>
      </w:r>
      <w:r>
        <w:tab/>
      </w:r>
      <w:r>
        <w:fldChar w:fldCharType="begin"/>
      </w:r>
      <w:r>
        <w:instrText xml:space="preserve"> PAGEREF _Toc154747862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Authorised persons</w:t>
      </w:r>
      <w:r>
        <w:tab/>
      </w:r>
      <w:r>
        <w:fldChar w:fldCharType="begin"/>
      </w:r>
      <w:r>
        <w:instrText xml:space="preserve"> PAGEREF _Toc154747863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prosecutions</w:t>
      </w:r>
      <w:r>
        <w:tab/>
      </w:r>
      <w:r>
        <w:fldChar w:fldCharType="begin"/>
      </w:r>
      <w:r>
        <w:instrText xml:space="preserve"> PAGEREF _Toc154747864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Prosecutions, who may commence</w:t>
      </w:r>
      <w:r>
        <w:tab/>
      </w:r>
      <w:r>
        <w:fldChar w:fldCharType="begin"/>
      </w:r>
      <w:r>
        <w:instrText xml:space="preserve"> PAGEREF _Toc154747865 \h </w:instrText>
      </w:r>
      <w:r>
        <w:fldChar w:fldCharType="separate"/>
      </w:r>
      <w:r>
        <w:t>48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penalty</w:t>
      </w:r>
      <w:r>
        <w:tab/>
      </w:r>
      <w:r>
        <w:fldChar w:fldCharType="begin"/>
      </w:r>
      <w:r>
        <w:instrText xml:space="preserve"> PAGEREF _Toc154747866 \h </w:instrText>
      </w:r>
      <w:r>
        <w:fldChar w:fldCharType="separate"/>
      </w:r>
      <w:r>
        <w:t>48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Detention of vehicles, court may order</w:t>
      </w:r>
      <w:r>
        <w:tab/>
      </w:r>
      <w:r>
        <w:fldChar w:fldCharType="begin"/>
      </w:r>
      <w:r>
        <w:instrText xml:space="preserve"> PAGEREF _Toc154747867 \h </w:instrText>
      </w:r>
      <w:r>
        <w:fldChar w:fldCharType="separate"/>
      </w:r>
      <w:r>
        <w:t>48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Expenses of this Act, appropriation of penalties etc.</w:t>
      </w:r>
      <w:r>
        <w:tab/>
      </w:r>
      <w:r>
        <w:fldChar w:fldCharType="begin"/>
      </w:r>
      <w:r>
        <w:instrText xml:space="preserve"> PAGEREF _Toc154747868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Regulations that operate as local laws, Governor may make</w:t>
      </w:r>
      <w:r>
        <w:tab/>
      </w:r>
      <w:r>
        <w:fldChar w:fldCharType="begin"/>
      </w:r>
      <w:r>
        <w:instrText xml:space="preserve"> PAGEREF _Toc154747869 \h </w:instrText>
      </w:r>
      <w:r>
        <w:fldChar w:fldCharType="separate"/>
      </w:r>
      <w:r>
        <w:t>50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Local laws, local government may make</w:t>
      </w:r>
      <w:r>
        <w:tab/>
      </w:r>
      <w:r>
        <w:fldChar w:fldCharType="begin"/>
      </w:r>
      <w:r>
        <w:instrText xml:space="preserve"> PAGEREF _Toc154747870 \h </w:instrText>
      </w:r>
      <w:r>
        <w:fldChar w:fldCharType="separate"/>
      </w:r>
      <w:r>
        <w:t>51</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Model local laws, Governor may make</w:t>
      </w:r>
      <w:r>
        <w:tab/>
      </w:r>
      <w:r>
        <w:fldChar w:fldCharType="begin"/>
      </w:r>
      <w:r>
        <w:instrText xml:space="preserve"> PAGEREF _Toc154747871 \h </w:instrText>
      </w:r>
      <w:r>
        <w:fldChar w:fldCharType="separate"/>
      </w:r>
      <w:r>
        <w:t>51</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Local laws, Governor may amend or repeal</w:t>
      </w:r>
      <w:r>
        <w:tab/>
      </w:r>
      <w:r>
        <w:fldChar w:fldCharType="begin"/>
      </w:r>
      <w:r>
        <w:instrText xml:space="preserve"> PAGEREF _Toc154747872 \h </w:instrText>
      </w:r>
      <w:r>
        <w:fldChar w:fldCharType="separate"/>
      </w:r>
      <w:r>
        <w:t>51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Regulations and local laws, general</w:t>
      </w:r>
      <w:r>
        <w:tab/>
      </w:r>
      <w:r>
        <w:fldChar w:fldCharType="begin"/>
      </w:r>
      <w:r>
        <w:instrText xml:space="preserve"> PAGEREF _Toc154747873 \h </w:instrText>
      </w:r>
      <w:r>
        <w:fldChar w:fldCharType="separate"/>
      </w:r>
      <w:r>
        <w:t>52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Local laws and local planning schemes, Governor may revoke or amend</w:t>
      </w:r>
      <w:r>
        <w:tab/>
      </w:r>
      <w:r>
        <w:fldChar w:fldCharType="begin"/>
      </w:r>
      <w:r>
        <w:instrText xml:space="preserve"> PAGEREF _Toc154747874 \h </w:instrText>
      </w:r>
      <w:r>
        <w:fldChar w:fldCharType="separate"/>
      </w:r>
      <w:r>
        <w:t>53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Regulations</w:t>
      </w:r>
      <w:r>
        <w:tab/>
      </w:r>
      <w:r>
        <w:fldChar w:fldCharType="begin"/>
      </w:r>
      <w:r>
        <w:instrText xml:space="preserve"> PAGEREF _Toc154747875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49.</w:t>
      </w:r>
      <w:r>
        <w:tab/>
        <w:t xml:space="preserve">Transitional provision for </w:t>
      </w:r>
      <w:r>
        <w:rPr>
          <w:i/>
        </w:rPr>
        <w:t>Local Government Legislation Amendment Act 2019</w:t>
      </w:r>
      <w:r>
        <w:tab/>
      </w:r>
      <w:r>
        <w:fldChar w:fldCharType="begin"/>
      </w:r>
      <w:r>
        <w:instrText xml:space="preserve"> PAGEREF _Toc154747876 \h </w:instrText>
      </w:r>
      <w:r>
        <w:fldChar w:fldCharType="separate"/>
      </w:r>
      <w:r>
        <w:t>54</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_Toc154747878 \h </w:instrText>
      </w:r>
      <w:r>
        <w:fldChar w:fldCharType="separate"/>
      </w:r>
      <w:r>
        <w:t>55</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_Toc154747879 \h </w:instrText>
      </w:r>
      <w:r>
        <w:fldChar w:fldCharType="separate"/>
      </w:r>
      <w:r>
        <w:t>58</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_Toc154747880 \h </w:instrText>
      </w:r>
      <w:r>
        <w:fldChar w:fldCharType="separate"/>
      </w:r>
      <w:r>
        <w:t>59</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800"/>
      </w:pPr>
      <w:r>
        <w:t>Control of Vehicles (Off</w:t>
      </w:r>
      <w:r>
        <w:noBreakHyphen/>
        <w:t>road Areas) Act 1978</w:t>
      </w:r>
    </w:p>
    <w:p>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3" w:name="_Toc154747820"/>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road Areas) Act 1978</w:t>
      </w:r>
      <w:r>
        <w:rPr>
          <w:snapToGrid w:val="0"/>
        </w:rPr>
        <w:t>.</w:t>
      </w:r>
    </w:p>
    <w:p>
      <w:pPr>
        <w:pStyle w:val="Heading5"/>
        <w:rPr>
          <w:snapToGrid w:val="0"/>
        </w:rPr>
      </w:pPr>
      <w:bookmarkStart w:id="4" w:name="_Toc154747821"/>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several provisions of this Act shall come into operation on such day or days as is, or are respectively, fixed by proclamation.</w:t>
      </w:r>
    </w:p>
    <w:p>
      <w:pPr>
        <w:pStyle w:val="Heading5"/>
        <w:rPr>
          <w:snapToGrid w:val="0"/>
        </w:rPr>
      </w:pPr>
      <w:bookmarkStart w:id="5" w:name="_Toc154747822"/>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person</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lastRenderedPageBreak/>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lastRenderedPageBreak/>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w:t>
      </w:r>
      <w:r>
        <w:lastRenderedPageBreak/>
        <w:t>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 No. 106 of 1981 s. 31 and 34; No. 102 of 1984 s. 4; No. 12 of 1985 s. 3; No. 14 of 1996 s. 4; No. 30 of 1996 s. 13; No. 76 of 1996 s. 23 and 27; No. 39 of 2000 s. 50; No. 28 of 2001 s. 30; No. 7 of 2002 s. 4; No. 28 of 2006 s. 356; No. 8 of 2009 s. 40; No. 8 of 2012 s. 63; No. 16 of 2019 s. 100.]</w:t>
      </w:r>
    </w:p>
    <w:p>
      <w:pPr>
        <w:pStyle w:val="Heading5"/>
        <w:keepNext w:val="0"/>
        <w:keepLines w:val="0"/>
        <w:rPr>
          <w:snapToGrid w:val="0"/>
        </w:rPr>
      </w:pPr>
      <w:bookmarkStart w:id="6" w:name="_Toc154747823"/>
      <w:r>
        <w:rPr>
          <w:rStyle w:val="CharSectno"/>
        </w:rPr>
        <w:t>4</w:t>
      </w:r>
      <w:r>
        <w:rPr>
          <w:snapToGrid w:val="0"/>
        </w:rPr>
        <w:t>.</w:t>
      </w:r>
      <w:r>
        <w:rPr>
          <w:snapToGrid w:val="0"/>
        </w:rPr>
        <w:tab/>
        <w:t>Application of this Act</w:t>
      </w:r>
      <w:bookmarkEnd w:id="6"/>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7" w:name="_Toc154747824"/>
      <w:r>
        <w:rPr>
          <w:rStyle w:val="CharSectno"/>
        </w:rPr>
        <w:t>4A</w:t>
      </w:r>
      <w:r>
        <w:t>.</w:t>
      </w:r>
      <w:r>
        <w:tab/>
        <w:t>Delegation by Director General</w:t>
      </w:r>
      <w:bookmarkEnd w:id="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lastRenderedPageBreak/>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No. 7 of 2002 s. 5.]</w:t>
      </w:r>
    </w:p>
    <w:p>
      <w:pPr>
        <w:pStyle w:val="Heading5"/>
      </w:pPr>
      <w:bookmarkStart w:id="8" w:name="_Toc154747825"/>
      <w:r>
        <w:rPr>
          <w:rStyle w:val="CharSectno"/>
        </w:rPr>
        <w:t>4B</w:t>
      </w:r>
      <w:r>
        <w:t>.</w:t>
      </w:r>
      <w:r>
        <w:tab/>
        <w:t>Agreements for performance of Director General’s functions by others</w:t>
      </w:r>
      <w:bookmarkEnd w:id="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lastRenderedPageBreak/>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No. 7 of 2002 s. 5.]</w:t>
      </w:r>
    </w:p>
    <w:p>
      <w:pPr>
        <w:pStyle w:val="Heading5"/>
        <w:keepNext w:val="0"/>
        <w:keepLines w:val="0"/>
        <w:spacing w:before="180"/>
        <w:rPr>
          <w:snapToGrid w:val="0"/>
        </w:rPr>
      </w:pPr>
      <w:bookmarkStart w:id="9" w:name="_Toc154747826"/>
      <w:r>
        <w:rPr>
          <w:rStyle w:val="CharSectno"/>
        </w:rPr>
        <w:t>5</w:t>
      </w:r>
      <w:r>
        <w:rPr>
          <w:snapToGrid w:val="0"/>
        </w:rPr>
        <w:t>.</w:t>
      </w:r>
      <w:r>
        <w:rPr>
          <w:snapToGrid w:val="0"/>
        </w:rPr>
        <w:tab/>
        <w:t>Local government’s functions</w:t>
      </w:r>
      <w:bookmarkEnd w:id="9"/>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Ednotesubsection"/>
      </w:pPr>
      <w:r>
        <w:tab/>
        <w:t>[(5)</w:t>
      </w:r>
      <w:r>
        <w:tab/>
        <w:t>deleted]</w:t>
      </w:r>
    </w:p>
    <w:p>
      <w:pPr>
        <w:pStyle w:val="Footnotesection"/>
      </w:pPr>
      <w:r>
        <w:lastRenderedPageBreak/>
        <w:tab/>
        <w:t>[Section 5 amended: No. 106 of 1981 s. 32 and 34; No. 14 of 1996 s. 4; No. 76 of 1996 s. 27; No. 7 of 2002 s. 6; No. 16 of 2019 s. 101.]</w:t>
      </w:r>
    </w:p>
    <w:p>
      <w:pPr>
        <w:pStyle w:val="Heading5"/>
        <w:rPr>
          <w:snapToGrid w:val="0"/>
        </w:rPr>
      </w:pPr>
      <w:bookmarkStart w:id="10" w:name="_Toc154747827"/>
      <w:r>
        <w:rPr>
          <w:rStyle w:val="CharSectno"/>
        </w:rPr>
        <w:t>6</w:t>
      </w:r>
      <w:r>
        <w:rPr>
          <w:snapToGrid w:val="0"/>
        </w:rPr>
        <w:t>.</w:t>
      </w:r>
      <w:r>
        <w:rPr>
          <w:snapToGrid w:val="0"/>
        </w:rPr>
        <w:tab/>
        <w:t>Driving and using off</w:t>
      </w:r>
      <w:r>
        <w:rPr>
          <w:snapToGrid w:val="0"/>
        </w:rPr>
        <w:noBreakHyphen/>
        <w:t>road vehicles, offences</w:t>
      </w:r>
      <w:bookmarkEnd w:id="10"/>
    </w:p>
    <w:p>
      <w:pPr>
        <w:pStyle w:val="Subsection"/>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lastRenderedPageBreak/>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11" w:name="_Toc154747828"/>
      <w:r>
        <w:rPr>
          <w:rStyle w:val="CharSectno"/>
        </w:rPr>
        <w:t>7</w:t>
      </w:r>
      <w:r>
        <w:rPr>
          <w:snapToGrid w:val="0"/>
        </w:rPr>
        <w:t>.</w:t>
      </w:r>
      <w:r>
        <w:rPr>
          <w:snapToGrid w:val="0"/>
        </w:rPr>
        <w:tab/>
        <w:t>Some vehicles to be registered under this Act</w:t>
      </w:r>
      <w:bookmarkEnd w:id="11"/>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Footnotesection"/>
      </w:pPr>
      <w:r>
        <w:tab/>
        <w:t>[Section 7 amended: No. 8 of 2012 s. 64.]</w:t>
      </w:r>
    </w:p>
    <w:p>
      <w:pPr>
        <w:pStyle w:val="Heading5"/>
        <w:rPr>
          <w:snapToGrid w:val="0"/>
        </w:rPr>
      </w:pPr>
      <w:bookmarkStart w:id="12" w:name="_Toc154747829"/>
      <w:r>
        <w:rPr>
          <w:rStyle w:val="CharSectno"/>
        </w:rPr>
        <w:lastRenderedPageBreak/>
        <w:t>8</w:t>
      </w:r>
      <w:r>
        <w:rPr>
          <w:snapToGrid w:val="0"/>
        </w:rPr>
        <w:t>.</w:t>
      </w:r>
      <w:r>
        <w:rPr>
          <w:snapToGrid w:val="0"/>
        </w:rPr>
        <w:tab/>
        <w:t>Exceptions to s. 6(1) and (2), 9A, 9B and 9C</w:t>
      </w:r>
      <w:bookmarkEnd w:id="12"/>
    </w:p>
    <w:p>
      <w:pPr>
        <w:pStyle w:val="Subsection"/>
        <w:keepNext/>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pPr>
        <w:pStyle w:val="Indenta"/>
        <w:rPr>
          <w:snapToGrid w:val="0"/>
        </w:rPr>
      </w:pPr>
      <w:r>
        <w:rPr>
          <w:snapToGrid w:val="0"/>
        </w:rPr>
        <w:tab/>
        <w:t>(c)</w:t>
      </w:r>
      <w:r>
        <w:rPr>
          <w:snapToGrid w:val="0"/>
        </w:rPr>
        <w:tab/>
        <w:t xml:space="preserve">by an </w:t>
      </w:r>
      <w:r>
        <w:t>authorised person</w:t>
      </w:r>
      <w:r>
        <w:rPr>
          <w:snapToGrid w:val="0"/>
        </w:rPr>
        <w:t xml:space="preserve"> in the course of his duty; or</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keepNext/>
        <w:keepLines/>
        <w:rPr>
          <w:snapToGrid w:val="0"/>
        </w:rPr>
      </w:pPr>
      <w:r>
        <w:rPr>
          <w:snapToGrid w:val="0"/>
        </w:rPr>
        <w:lastRenderedPageBreak/>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No. 12 of 1985 s. 4; No. 16 of 2019 s. 104.]</w:t>
      </w:r>
    </w:p>
    <w:p>
      <w:pPr>
        <w:pStyle w:val="Heading5"/>
        <w:rPr>
          <w:snapToGrid w:val="0"/>
        </w:rPr>
      </w:pPr>
      <w:bookmarkStart w:id="13" w:name="_Toc154747830"/>
      <w:r>
        <w:rPr>
          <w:rStyle w:val="CharSectno"/>
        </w:rPr>
        <w:t>9</w:t>
      </w:r>
      <w:r>
        <w:rPr>
          <w:snapToGrid w:val="0"/>
        </w:rPr>
        <w:t>.</w:t>
      </w:r>
      <w:r>
        <w:rPr>
          <w:snapToGrid w:val="0"/>
        </w:rPr>
        <w:tab/>
        <w:t>Dangerous vehicles not to be driven etc.</w:t>
      </w:r>
      <w:bookmarkEnd w:id="13"/>
    </w:p>
    <w:p>
      <w:pPr>
        <w:pStyle w:val="Subsection"/>
        <w:rPr>
          <w:snapToGrid w:val="0"/>
        </w:rPr>
      </w:pPr>
      <w:r>
        <w:rPr>
          <w:snapToGrid w:val="0"/>
        </w:rPr>
        <w:tab/>
      </w:r>
      <w:r>
        <w:rPr>
          <w:snapToGrid w:val="0"/>
        </w:rPr>
        <w:tab/>
        <w:t xml:space="preserve">A person shall not drive or use on any land to which this Act applies any vehicle so constructed or in such a condition as to be </w:t>
      </w:r>
      <w:r>
        <w:rPr>
          <w:snapToGrid w:val="0"/>
        </w:rPr>
        <w:lastRenderedPageBreak/>
        <w:t>likely to occasion danger to any person or damage to any property.</w:t>
      </w:r>
    </w:p>
    <w:p>
      <w:pPr>
        <w:pStyle w:val="Penstart"/>
        <w:rPr>
          <w:snapToGrid w:val="0"/>
        </w:rPr>
      </w:pPr>
      <w:r>
        <w:rPr>
          <w:snapToGrid w:val="0"/>
        </w:rPr>
        <w:tab/>
        <w:t>Penalty: $500.</w:t>
      </w:r>
    </w:p>
    <w:p>
      <w:pPr>
        <w:pStyle w:val="Heading5"/>
        <w:rPr>
          <w:snapToGrid w:val="0"/>
        </w:rPr>
      </w:pPr>
      <w:bookmarkStart w:id="14" w:name="_Toc154747831"/>
      <w:r>
        <w:rPr>
          <w:rStyle w:val="CharSectno"/>
        </w:rPr>
        <w:t>9A</w:t>
      </w:r>
      <w:r>
        <w:rPr>
          <w:snapToGrid w:val="0"/>
        </w:rPr>
        <w:t>.</w:t>
      </w:r>
      <w:r>
        <w:rPr>
          <w:snapToGrid w:val="0"/>
        </w:rPr>
        <w:tab/>
        <w:t>Seat belt requirements for vehicles</w:t>
      </w:r>
      <w:bookmarkEnd w:id="14"/>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No. 12 of 1985 s. 5; amended: No. 28 of 2001 s. 31.]</w:t>
      </w:r>
    </w:p>
    <w:p>
      <w:pPr>
        <w:pStyle w:val="Heading5"/>
        <w:rPr>
          <w:snapToGrid w:val="0"/>
        </w:rPr>
      </w:pPr>
      <w:bookmarkStart w:id="15" w:name="_Toc154747832"/>
      <w:r>
        <w:rPr>
          <w:rStyle w:val="CharSectno"/>
        </w:rPr>
        <w:t>9B</w:t>
      </w:r>
      <w:r>
        <w:rPr>
          <w:snapToGrid w:val="0"/>
        </w:rPr>
        <w:t>.</w:t>
      </w:r>
      <w:r>
        <w:rPr>
          <w:snapToGrid w:val="0"/>
        </w:rPr>
        <w:tab/>
        <w:t>Seat belt requirements for people in vehicles</w:t>
      </w:r>
      <w:bookmarkEnd w:id="15"/>
    </w:p>
    <w:p>
      <w:pPr>
        <w:pStyle w:val="Subsection"/>
        <w:spacing w:before="120"/>
        <w:rPr>
          <w:snapToGrid w:val="0"/>
        </w:rPr>
      </w:pPr>
      <w:r>
        <w:rPr>
          <w:snapToGrid w:val="0"/>
        </w:rPr>
        <w:tab/>
        <w:t>(1)</w:t>
      </w:r>
      <w:r>
        <w:rPr>
          <w:snapToGrid w:val="0"/>
        </w:rPr>
        <w:tab/>
        <w:t xml:space="preserve">A person shall not, while occupying a seat position in a motor vehicle to which this section applies and to which a seat belt has been fitted for that seat position, drive or travel as a passenger in an area to which this section applies unless he is wearing that </w:t>
      </w:r>
      <w:r>
        <w:rPr>
          <w:snapToGrid w:val="0"/>
        </w:rPr>
        <w:lastRenderedPageBreak/>
        <w:t>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 or</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pPr>
        <w:pStyle w:val="Indenta"/>
        <w:rPr>
          <w:snapToGrid w:val="0"/>
        </w:rPr>
      </w:pPr>
      <w:r>
        <w:rPr>
          <w:snapToGrid w:val="0"/>
        </w:rPr>
        <w:lastRenderedPageBreak/>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No. 12 of 1985 s. 5; amended: No. 28 of 2001 s. 32; No. 84 of 2004 s. 80.]</w:t>
      </w:r>
    </w:p>
    <w:p>
      <w:pPr>
        <w:pStyle w:val="Heading5"/>
        <w:spacing w:before="180"/>
        <w:rPr>
          <w:snapToGrid w:val="0"/>
        </w:rPr>
      </w:pPr>
      <w:bookmarkStart w:id="16" w:name="_Toc154747833"/>
      <w:r>
        <w:rPr>
          <w:rStyle w:val="CharSectno"/>
        </w:rPr>
        <w:t>9C</w:t>
      </w:r>
      <w:r>
        <w:rPr>
          <w:snapToGrid w:val="0"/>
        </w:rPr>
        <w:t>.</w:t>
      </w:r>
      <w:r>
        <w:rPr>
          <w:snapToGrid w:val="0"/>
        </w:rPr>
        <w:tab/>
        <w:t>Motor cycle helmet requirements</w:t>
      </w:r>
      <w:bookmarkEnd w:id="16"/>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No. 12 of 1985 s. 5; amended: No. 76 of 1996 s. 27.]</w:t>
      </w:r>
    </w:p>
    <w:p>
      <w:pPr>
        <w:pStyle w:val="Heading5"/>
        <w:spacing w:before="180"/>
        <w:rPr>
          <w:snapToGrid w:val="0"/>
        </w:rPr>
      </w:pPr>
      <w:bookmarkStart w:id="17" w:name="_Toc154747834"/>
      <w:r>
        <w:rPr>
          <w:rStyle w:val="CharSectno"/>
        </w:rPr>
        <w:lastRenderedPageBreak/>
        <w:t>10</w:t>
      </w:r>
      <w:r>
        <w:rPr>
          <w:snapToGrid w:val="0"/>
        </w:rPr>
        <w:t>.</w:t>
      </w:r>
      <w:r>
        <w:rPr>
          <w:snapToGrid w:val="0"/>
        </w:rPr>
        <w:tab/>
        <w:t>Minimum age for drivers</w:t>
      </w:r>
      <w:bookmarkEnd w:id="17"/>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spacing w:before="160"/>
        <w:ind w:left="890" w:hanging="890"/>
        <w:rPr>
          <w:b/>
        </w:rPr>
      </w:pPr>
      <w:r>
        <w:t>[</w:t>
      </w:r>
      <w:r>
        <w:rPr>
          <w:b/>
        </w:rPr>
        <w:t>11.</w:t>
      </w:r>
      <w:r>
        <w:tab/>
        <w:t>Has not come into operation.]</w:t>
      </w:r>
    </w:p>
    <w:p>
      <w:pPr>
        <w:pStyle w:val="Heading5"/>
        <w:rPr>
          <w:snapToGrid w:val="0"/>
        </w:rPr>
      </w:pPr>
      <w:bookmarkStart w:id="18" w:name="_Toc154747835"/>
      <w:r>
        <w:rPr>
          <w:rStyle w:val="CharSectno"/>
        </w:rPr>
        <w:t>12</w:t>
      </w:r>
      <w:r>
        <w:rPr>
          <w:snapToGrid w:val="0"/>
        </w:rPr>
        <w:t>.</w:t>
      </w:r>
      <w:r>
        <w:rPr>
          <w:snapToGrid w:val="0"/>
        </w:rPr>
        <w:tab/>
        <w:t>Permitted areas, declaring etc.</w:t>
      </w:r>
      <w:bookmarkEnd w:id="18"/>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19" w:name="_Toc154747836"/>
      <w:r>
        <w:rPr>
          <w:rStyle w:val="CharSectno"/>
        </w:rPr>
        <w:t>13</w:t>
      </w:r>
      <w:r>
        <w:rPr>
          <w:snapToGrid w:val="0"/>
        </w:rPr>
        <w:t>.</w:t>
      </w:r>
      <w:r>
        <w:rPr>
          <w:snapToGrid w:val="0"/>
        </w:rPr>
        <w:tab/>
        <w:t>Permitted areas, declaring before 6 Jan 1980</w:t>
      </w:r>
      <w:bookmarkEnd w:id="19"/>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lastRenderedPageBreak/>
        <w:tab/>
        <w:t>[Section 13 amended: No. 14 of 1996 s. 4.]</w:t>
      </w:r>
    </w:p>
    <w:p>
      <w:pPr>
        <w:pStyle w:val="Heading5"/>
        <w:spacing w:before="240"/>
        <w:rPr>
          <w:snapToGrid w:val="0"/>
        </w:rPr>
      </w:pPr>
      <w:bookmarkStart w:id="20" w:name="_Toc154747837"/>
      <w:r>
        <w:rPr>
          <w:rStyle w:val="CharSectno"/>
        </w:rPr>
        <w:t>14</w:t>
      </w:r>
      <w:r>
        <w:rPr>
          <w:snapToGrid w:val="0"/>
        </w:rPr>
        <w:t>.</w:t>
      </w:r>
      <w:r>
        <w:rPr>
          <w:snapToGrid w:val="0"/>
        </w:rPr>
        <w:tab/>
        <w:t>Private land may be declared to be a permitted area</w:t>
      </w:r>
      <w:bookmarkEnd w:id="20"/>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21" w:name="_Toc154747838"/>
      <w:r>
        <w:rPr>
          <w:rStyle w:val="CharSectno"/>
        </w:rPr>
        <w:t>15</w:t>
      </w:r>
      <w:r>
        <w:rPr>
          <w:snapToGrid w:val="0"/>
        </w:rPr>
        <w:t>.</w:t>
      </w:r>
      <w:r>
        <w:rPr>
          <w:snapToGrid w:val="0"/>
        </w:rPr>
        <w:tab/>
        <w:t>Permitted area, temporary closure of</w:t>
      </w:r>
      <w:bookmarkEnd w:id="2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22" w:name="_Toc154747839"/>
      <w:r>
        <w:rPr>
          <w:rStyle w:val="CharSectno"/>
        </w:rPr>
        <w:t>16</w:t>
      </w:r>
      <w:r>
        <w:rPr>
          <w:snapToGrid w:val="0"/>
        </w:rPr>
        <w:t>.</w:t>
      </w:r>
      <w:r>
        <w:rPr>
          <w:snapToGrid w:val="0"/>
        </w:rPr>
        <w:tab/>
        <w:t>Prohibited areas, establishing etc.</w:t>
      </w:r>
      <w:bookmarkEnd w:id="22"/>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lastRenderedPageBreak/>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 or</w:t>
      </w:r>
    </w:p>
    <w:p>
      <w:pPr>
        <w:pStyle w:val="Indenta"/>
        <w:rPr>
          <w:snapToGrid w:val="0"/>
        </w:rPr>
      </w:pPr>
      <w:r>
        <w:rPr>
          <w:snapToGrid w:val="0"/>
        </w:rPr>
        <w:tab/>
        <w:t>(b)</w:t>
      </w:r>
      <w:r>
        <w:rPr>
          <w:snapToGrid w:val="0"/>
        </w:rPr>
        <w:tab/>
        <w:t>the environmentally sensitive nature of the land or things growing on the land; or</w:t>
      </w:r>
    </w:p>
    <w:p>
      <w:pPr>
        <w:pStyle w:val="Indenta"/>
        <w:rPr>
          <w:snapToGrid w:val="0"/>
        </w:rPr>
      </w:pPr>
      <w:r>
        <w:rPr>
          <w:snapToGrid w:val="0"/>
        </w:rPr>
        <w:lastRenderedPageBreak/>
        <w:tab/>
        <w:t>(c)</w:t>
      </w:r>
      <w:r>
        <w:rPr>
          <w:snapToGrid w:val="0"/>
        </w:rPr>
        <w:tab/>
        <w:t>the proximity of any land used for residential purposes, or for purposes likely to be incompatible with the use of vehicles in the vicinity; or</w:t>
      </w:r>
    </w:p>
    <w:p>
      <w:pPr>
        <w:pStyle w:val="Indenta"/>
        <w:keepNext/>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w:t>
      </w:r>
      <w:r>
        <w:rPr>
          <w:i/>
          <w:szCs w:val="24"/>
        </w:rPr>
        <w:t>2005</w:t>
      </w:r>
      <w:r>
        <w:rPr>
          <w:szCs w:val="24"/>
        </w:rPr>
        <w:t xml:space="preserve"> or the Swan Valley Planning Scheme in force under the </w:t>
      </w:r>
      <w:r>
        <w:rPr>
          <w:i/>
          <w:szCs w:val="24"/>
        </w:rPr>
        <w:t>Swan Valley Planning Act 2020</w:t>
      </w:r>
      <w:r>
        <w:rPr>
          <w:szCs w:val="24"/>
        </w:rPr>
        <w:t>.</w:t>
      </w:r>
    </w:p>
    <w:p>
      <w:pPr>
        <w:pStyle w:val="Footnotesection"/>
      </w:pPr>
      <w:r>
        <w:tab/>
        <w:t>[Section 16 amended: No. 12 of 1985 s. 6; No. 38 of 2005 s. 15; No. 28 of 2010 s. 29; No. 45 of 2020 s. 97.]</w:t>
      </w:r>
    </w:p>
    <w:p>
      <w:pPr>
        <w:pStyle w:val="Heading5"/>
        <w:rPr>
          <w:snapToGrid w:val="0"/>
        </w:rPr>
      </w:pPr>
      <w:bookmarkStart w:id="23" w:name="_Toc154747840"/>
      <w:r>
        <w:rPr>
          <w:rStyle w:val="CharSectno"/>
        </w:rPr>
        <w:t>17</w:t>
      </w:r>
      <w:r>
        <w:rPr>
          <w:snapToGrid w:val="0"/>
        </w:rPr>
        <w:t>.</w:t>
      </w:r>
      <w:r>
        <w:rPr>
          <w:snapToGrid w:val="0"/>
        </w:rPr>
        <w:tab/>
        <w:t>Advisory Committee, establishment and functions of</w:t>
      </w:r>
      <w:bookmarkEnd w:id="23"/>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lastRenderedPageBreak/>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 No. 14 of 1996 s. 4.]</w:t>
      </w:r>
    </w:p>
    <w:p>
      <w:pPr>
        <w:pStyle w:val="Heading5"/>
        <w:keepLines w:val="0"/>
        <w:rPr>
          <w:snapToGrid w:val="0"/>
        </w:rPr>
      </w:pPr>
      <w:bookmarkStart w:id="24" w:name="_Toc154747841"/>
      <w:r>
        <w:rPr>
          <w:rStyle w:val="CharSectno"/>
        </w:rPr>
        <w:t>18</w:t>
      </w:r>
      <w:r>
        <w:rPr>
          <w:snapToGrid w:val="0"/>
        </w:rPr>
        <w:t>.</w:t>
      </w:r>
      <w:r>
        <w:rPr>
          <w:snapToGrid w:val="0"/>
        </w:rPr>
        <w:tab/>
        <w:t>Committee’s functions as to permitted areas, prohibited areas, and use of vehicles</w:t>
      </w:r>
      <w:bookmarkEnd w:id="24"/>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lastRenderedPageBreak/>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lastRenderedPageBreak/>
        <w:tab/>
        <w:t>(ii)</w:t>
      </w:r>
      <w:r>
        <w:rPr>
          <w:snapToGrid w:val="0"/>
        </w:rPr>
        <w:tab/>
        <w:t>the inhabitants of whose district are by reason of proximity likely to be affected by the proposals;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No. 14 of 1996 s. 4; No. 54 of 2003 s. 142.]</w:t>
      </w:r>
    </w:p>
    <w:p>
      <w:pPr>
        <w:pStyle w:val="Heading5"/>
        <w:rPr>
          <w:snapToGrid w:val="0"/>
        </w:rPr>
      </w:pPr>
      <w:bookmarkStart w:id="25" w:name="_Toc154747842"/>
      <w:r>
        <w:rPr>
          <w:rStyle w:val="CharSectno"/>
        </w:rPr>
        <w:t>19</w:t>
      </w:r>
      <w:r>
        <w:rPr>
          <w:snapToGrid w:val="0"/>
        </w:rPr>
        <w:t>.</w:t>
      </w:r>
      <w:r>
        <w:rPr>
          <w:snapToGrid w:val="0"/>
        </w:rPr>
        <w:tab/>
        <w:t>Permitted and prohibited areas, identifying</w:t>
      </w:r>
      <w:bookmarkEnd w:id="25"/>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pPr>
        <w:pStyle w:val="Indenti"/>
        <w:spacing w:before="60"/>
        <w:rPr>
          <w:snapToGrid w:val="0"/>
        </w:rPr>
      </w:pPr>
      <w:r>
        <w:rPr>
          <w:snapToGrid w:val="0"/>
        </w:rPr>
        <w:lastRenderedPageBreak/>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No. 14 of 1996 s. 4; No. 60 of 2006 s. 128.]</w:t>
      </w:r>
    </w:p>
    <w:p>
      <w:pPr>
        <w:pStyle w:val="Heading5"/>
        <w:rPr>
          <w:snapToGrid w:val="0"/>
        </w:rPr>
      </w:pPr>
      <w:bookmarkStart w:id="26" w:name="_Toc154747843"/>
      <w:r>
        <w:rPr>
          <w:rStyle w:val="CharSectno"/>
        </w:rPr>
        <w:t>20</w:t>
      </w:r>
      <w:r>
        <w:rPr>
          <w:snapToGrid w:val="0"/>
        </w:rPr>
        <w:t>.</w:t>
      </w:r>
      <w:r>
        <w:rPr>
          <w:snapToGrid w:val="0"/>
        </w:rPr>
        <w:tab/>
        <w:t>Permitted areas and prohibited areas, application of to vehicles and effect of</w:t>
      </w:r>
      <w:bookmarkEnd w:id="26"/>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lastRenderedPageBreak/>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 and</w:t>
      </w:r>
    </w:p>
    <w:p>
      <w:pPr>
        <w:pStyle w:val="Indenta"/>
        <w:rPr>
          <w:snapToGrid w:val="0"/>
        </w:rPr>
      </w:pPr>
      <w:r>
        <w:rPr>
          <w:snapToGrid w:val="0"/>
        </w:rPr>
        <w:tab/>
        <w:t>(b)</w:t>
      </w:r>
      <w:r>
        <w:rPr>
          <w:snapToGrid w:val="0"/>
        </w:rPr>
        <w:tab/>
        <w:t>may apply in relation to vehicles generally except when used in the manner or circumstances therein specified; and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 xml:space="preserve">Regulations and local laws made under this Act may make provision for the control of vehicles in a permitted area and for the safety and obligations of persons who use vehicles in the </w:t>
      </w:r>
      <w:r>
        <w:rPr>
          <w:snapToGrid w:val="0"/>
        </w:rPr>
        <w:lastRenderedPageBreak/>
        <w:t>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No. 14 of 1996 s. 4.]</w:t>
      </w:r>
    </w:p>
    <w:p>
      <w:pPr>
        <w:pStyle w:val="Heading5"/>
        <w:rPr>
          <w:snapToGrid w:val="0"/>
        </w:rPr>
      </w:pPr>
      <w:bookmarkStart w:id="27" w:name="_Toc154747844"/>
      <w:r>
        <w:rPr>
          <w:rStyle w:val="CharSectno"/>
        </w:rPr>
        <w:t>21</w:t>
      </w:r>
      <w:r>
        <w:rPr>
          <w:snapToGrid w:val="0"/>
        </w:rPr>
        <w:t>.</w:t>
      </w:r>
      <w:r>
        <w:rPr>
          <w:snapToGrid w:val="0"/>
        </w:rPr>
        <w:tab/>
        <w:t>Advisory Committee, members and procedure of etc.</w:t>
      </w:r>
      <w:bookmarkEnd w:id="27"/>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 and</w:t>
      </w:r>
    </w:p>
    <w:p>
      <w:pPr>
        <w:pStyle w:val="Indenta"/>
      </w:pPr>
      <w:r>
        <w:tab/>
        <w:t>(b)</w:t>
      </w:r>
      <w:r>
        <w:tab/>
        <w:t>2 shall be persons selected from a panel of names submitted to the Minister by the body known as the Western Australian Local Government Association;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lastRenderedPageBreak/>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xml:space="preserve">, applies, may be paid such remuneration or allowances as the Minister from time to time determines, and any member </w:t>
      </w:r>
      <w:r>
        <w:rPr>
          <w:snapToGrid w:val="0"/>
        </w:rPr>
        <w:lastRenderedPageBreak/>
        <w:t>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keepNext/>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keepNext/>
        <w:rPr>
          <w:snapToGrid w:val="0"/>
        </w:rPr>
      </w:pPr>
      <w:r>
        <w:rPr>
          <w:snapToGrid w:val="0"/>
        </w:rPr>
        <w:lastRenderedPageBreak/>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No. 56 of 1986 s. 4; No. 24 of 1990 s. 123; No. 32 of 1994 s. 3(1); No. 49 of 2004 s. 13; No. 28 of 2006 s. 357; No. 18 of 2009 s. 22.]</w:t>
      </w:r>
    </w:p>
    <w:p>
      <w:pPr>
        <w:pStyle w:val="Ednotesection"/>
        <w:rPr>
          <w:b/>
        </w:rPr>
      </w:pPr>
      <w:r>
        <w:t>[</w:t>
      </w:r>
      <w:r>
        <w:rPr>
          <w:b/>
        </w:rPr>
        <w:t>22.</w:t>
      </w:r>
      <w:r>
        <w:tab/>
        <w:t>Deleted: No. 28 of 2006 s. 358.]</w:t>
      </w:r>
    </w:p>
    <w:p>
      <w:pPr>
        <w:pStyle w:val="Heading5"/>
        <w:rPr>
          <w:snapToGrid w:val="0"/>
        </w:rPr>
      </w:pPr>
      <w:bookmarkStart w:id="28" w:name="_Toc154747845"/>
      <w:r>
        <w:rPr>
          <w:rStyle w:val="CharSectno"/>
        </w:rPr>
        <w:t>23</w:t>
      </w:r>
      <w:r>
        <w:rPr>
          <w:snapToGrid w:val="0"/>
        </w:rPr>
        <w:t>.</w:t>
      </w:r>
      <w:r>
        <w:rPr>
          <w:snapToGrid w:val="0"/>
        </w:rPr>
        <w:tab/>
        <w:t>Nominations of candidates for Advisory Committee, Minister may request</w:t>
      </w:r>
      <w:bookmarkEnd w:id="28"/>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29" w:name="_Toc154747846"/>
      <w:r>
        <w:rPr>
          <w:rStyle w:val="CharSectno"/>
        </w:rPr>
        <w:t>24</w:t>
      </w:r>
      <w:r>
        <w:rPr>
          <w:snapToGrid w:val="0"/>
        </w:rPr>
        <w:t>.</w:t>
      </w:r>
      <w:r>
        <w:rPr>
          <w:snapToGrid w:val="0"/>
        </w:rPr>
        <w:tab/>
        <w:t>Deputies of members, appointing etc.</w:t>
      </w:r>
      <w:bookmarkEnd w:id="29"/>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lastRenderedPageBreak/>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No. 56 of 1986 s. 5.]</w:t>
      </w:r>
    </w:p>
    <w:p>
      <w:pPr>
        <w:pStyle w:val="Heading5"/>
        <w:rPr>
          <w:snapToGrid w:val="0"/>
        </w:rPr>
      </w:pPr>
      <w:bookmarkStart w:id="30" w:name="_Toc154747847"/>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30"/>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No. 32 of 1994 s. 3(1).]</w:t>
      </w:r>
    </w:p>
    <w:p>
      <w:pPr>
        <w:pStyle w:val="Heading5"/>
        <w:rPr>
          <w:snapToGrid w:val="0"/>
        </w:rPr>
      </w:pPr>
      <w:bookmarkStart w:id="31" w:name="_Toc154747848"/>
      <w:r>
        <w:rPr>
          <w:rStyle w:val="CharSectno"/>
        </w:rPr>
        <w:t>26</w:t>
      </w:r>
      <w:r>
        <w:rPr>
          <w:snapToGrid w:val="0"/>
        </w:rPr>
        <w:t>.</w:t>
      </w:r>
      <w:r>
        <w:rPr>
          <w:snapToGrid w:val="0"/>
        </w:rPr>
        <w:tab/>
        <w:t>Advisory Committee, departments etc. may assist</w:t>
      </w:r>
      <w:bookmarkEnd w:id="31"/>
    </w:p>
    <w:p>
      <w:pPr>
        <w:pStyle w:val="Subsection"/>
        <w:rPr>
          <w:snapToGrid w:val="0"/>
        </w:rPr>
      </w:pPr>
      <w:r>
        <w:rPr>
          <w:snapToGrid w:val="0"/>
        </w:rPr>
        <w:tab/>
      </w:r>
      <w:r>
        <w:rPr>
          <w:snapToGrid w:val="0"/>
        </w:rPr>
        <w:tab/>
        <w:t xml:space="preserve">All Departments and all instrumentalities of the Government of the State and all other authorities, whether corporate or not corporate, established or administered pursuant to any Act </w:t>
      </w:r>
      <w:r>
        <w:rPr>
          <w:snapToGrid w:val="0"/>
        </w:rPr>
        <w:lastRenderedPageBreak/>
        <w:t>(including any local government) are hereby authorised to give to the Committee such assistance in the carrying out of its functions as is reasonably practical.</w:t>
      </w:r>
    </w:p>
    <w:p>
      <w:pPr>
        <w:pStyle w:val="Footnotesection"/>
      </w:pPr>
      <w:r>
        <w:tab/>
        <w:t>[Section 26 amended: No. 14 of 1996 s. 4.]</w:t>
      </w:r>
    </w:p>
    <w:p>
      <w:pPr>
        <w:pStyle w:val="Heading5"/>
        <w:rPr>
          <w:snapToGrid w:val="0"/>
        </w:rPr>
      </w:pPr>
      <w:bookmarkStart w:id="32" w:name="_Toc154747849"/>
      <w:r>
        <w:rPr>
          <w:rStyle w:val="CharSectno"/>
        </w:rPr>
        <w:t>27</w:t>
      </w:r>
      <w:r>
        <w:rPr>
          <w:snapToGrid w:val="0"/>
        </w:rPr>
        <w:t>.</w:t>
      </w:r>
      <w:r>
        <w:rPr>
          <w:snapToGrid w:val="0"/>
        </w:rPr>
        <w:tab/>
        <w:t>Sub</w:t>
      </w:r>
      <w:r>
        <w:rPr>
          <w:snapToGrid w:val="0"/>
        </w:rPr>
        <w:noBreakHyphen/>
        <w:t>committees, appointing</w:t>
      </w:r>
      <w:bookmarkEnd w:id="32"/>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33" w:name="_Toc154747850"/>
      <w:r>
        <w:rPr>
          <w:rStyle w:val="CharSectno"/>
        </w:rPr>
        <w:t>28</w:t>
      </w:r>
      <w:r>
        <w:rPr>
          <w:snapToGrid w:val="0"/>
        </w:rPr>
        <w:t>.</w:t>
      </w:r>
      <w:r>
        <w:rPr>
          <w:snapToGrid w:val="0"/>
        </w:rPr>
        <w:tab/>
        <w:t>Registration of vehicles, generally</w:t>
      </w:r>
      <w:bookmarkEnd w:id="33"/>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lastRenderedPageBreak/>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tab/>
        <w:t>[Section 28 amended: No. 106 of 1981 s. 34; No. 76 of 1996 s. 27; No. 39 of 2000 s. 51; No. 7 of 2002 s. 8.]</w:t>
      </w:r>
    </w:p>
    <w:p>
      <w:pPr>
        <w:pStyle w:val="Heading5"/>
      </w:pPr>
      <w:bookmarkStart w:id="34" w:name="_Toc154747851"/>
      <w:r>
        <w:rPr>
          <w:rStyle w:val="CharSectno"/>
        </w:rPr>
        <w:t>28A</w:t>
      </w:r>
      <w:r>
        <w:t>.</w:t>
      </w:r>
      <w:r>
        <w:tab/>
        <w:t>Applying for registration etc. of vehicle</w:t>
      </w:r>
      <w:bookmarkEnd w:id="34"/>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 and</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lastRenderedPageBreak/>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No. 39 of 2000 s. 52.]</w:t>
      </w:r>
    </w:p>
    <w:p>
      <w:pPr>
        <w:pStyle w:val="Heading5"/>
        <w:keepNext w:val="0"/>
        <w:keepLines w:val="0"/>
        <w:spacing w:before="180"/>
        <w:rPr>
          <w:snapToGrid w:val="0"/>
        </w:rPr>
      </w:pPr>
      <w:bookmarkStart w:id="35" w:name="_Toc154747852"/>
      <w:r>
        <w:rPr>
          <w:rStyle w:val="CharSectno"/>
        </w:rPr>
        <w:t>29</w:t>
      </w:r>
      <w:r>
        <w:rPr>
          <w:snapToGrid w:val="0"/>
        </w:rPr>
        <w:t>.</w:t>
      </w:r>
      <w:r>
        <w:rPr>
          <w:snapToGrid w:val="0"/>
        </w:rPr>
        <w:tab/>
        <w:t>Registration procedure</w:t>
      </w:r>
      <w:bookmarkEnd w:id="35"/>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spacing w:before="180"/>
        <w:rPr>
          <w:snapToGrid w:val="0"/>
        </w:rPr>
      </w:pPr>
      <w:r>
        <w:rPr>
          <w:snapToGrid w:val="0"/>
        </w:rPr>
        <w:lastRenderedPageBreak/>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No. 106 of 1981 s. 34; No. 76 of 1996 s. 27; No. 39 of 2000 s. 53; No. 7 of 2002 s. 9.]</w:t>
      </w:r>
    </w:p>
    <w:p>
      <w:pPr>
        <w:pStyle w:val="Heading5"/>
      </w:pPr>
      <w:bookmarkStart w:id="36" w:name="_Toc154747853"/>
      <w:r>
        <w:rPr>
          <w:rStyle w:val="CharSectno"/>
        </w:rPr>
        <w:lastRenderedPageBreak/>
        <w:t>29A</w:t>
      </w:r>
      <w:r>
        <w:t>.</w:t>
      </w:r>
      <w:r>
        <w:tab/>
        <w:t>Transfer of vehicle registration</w:t>
      </w:r>
      <w:bookmarkEnd w:id="36"/>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lastRenderedPageBreak/>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3(2); or</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No. 39 of 2000 s. 54.]</w:t>
      </w:r>
    </w:p>
    <w:p>
      <w:pPr>
        <w:pStyle w:val="Heading5"/>
        <w:spacing w:before="240"/>
        <w:rPr>
          <w:snapToGrid w:val="0"/>
        </w:rPr>
      </w:pPr>
      <w:bookmarkStart w:id="37" w:name="_Toc154747854"/>
      <w:r>
        <w:rPr>
          <w:rStyle w:val="CharSectno"/>
        </w:rPr>
        <w:t>30</w:t>
      </w:r>
      <w:r>
        <w:rPr>
          <w:snapToGrid w:val="0"/>
        </w:rPr>
        <w:t>.</w:t>
      </w:r>
      <w:r>
        <w:rPr>
          <w:snapToGrid w:val="0"/>
        </w:rPr>
        <w:tab/>
        <w:t>Fees for registration, reductions in, refunds of etc.</w:t>
      </w:r>
      <w:bookmarkEnd w:id="37"/>
    </w:p>
    <w:p>
      <w:pPr>
        <w:pStyle w:val="Subsection"/>
        <w:rPr>
          <w:snapToGrid w:val="0"/>
        </w:rPr>
      </w:pPr>
      <w:r>
        <w:rPr>
          <w:snapToGrid w:val="0"/>
        </w:rPr>
        <w:tab/>
        <w:t>(1)</w:t>
      </w:r>
      <w:r>
        <w:rPr>
          <w:snapToGrid w:val="0"/>
        </w:rPr>
        <w:tab/>
        <w:t xml:space="preserve">Where a certificate of registration has been issued by the Director General without the payment of a fee, or upon the payment of a reduced fee, by reason of specified conditions or </w:t>
      </w:r>
      <w:r>
        <w:rPr>
          <w:snapToGrid w:val="0"/>
        </w:rPr>
        <w:lastRenderedPageBreak/>
        <w:t>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ind w:left="890" w:hanging="890"/>
      </w:pPr>
      <w:r>
        <w:tab/>
        <w:t>[Section 30 amended: No. 106 of 1981 s. 34; No. 76 of 1996 s. 27.]</w:t>
      </w:r>
    </w:p>
    <w:p>
      <w:pPr>
        <w:pStyle w:val="Heading5"/>
        <w:keepNext w:val="0"/>
        <w:keepLines w:val="0"/>
        <w:spacing w:before="180"/>
        <w:rPr>
          <w:snapToGrid w:val="0"/>
        </w:rPr>
      </w:pPr>
      <w:bookmarkStart w:id="38" w:name="_Toc154747855"/>
      <w:r>
        <w:rPr>
          <w:rStyle w:val="CharSectno"/>
        </w:rPr>
        <w:t>31</w:t>
      </w:r>
      <w:r>
        <w:rPr>
          <w:snapToGrid w:val="0"/>
        </w:rPr>
        <w:t>.</w:t>
      </w:r>
      <w:r>
        <w:rPr>
          <w:snapToGrid w:val="0"/>
        </w:rPr>
        <w:tab/>
        <w:t>Registration obtained by dishonoured cheque is void</w:t>
      </w:r>
      <w:bookmarkEnd w:id="38"/>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lastRenderedPageBreak/>
        <w:tab/>
        <w:t>(3)</w:t>
      </w:r>
      <w:r>
        <w:rPr>
          <w:snapToGrid w:val="0"/>
        </w:rPr>
        <w:tab/>
        <w:t>A person to whom a certificate of registration is so issued shall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No. 106 of 1981 s. 34; No. 76 of 1996 s. 27; No. 24 of 2000 s. 48.]</w:t>
      </w:r>
    </w:p>
    <w:p>
      <w:pPr>
        <w:pStyle w:val="Heading5"/>
        <w:spacing w:before="180"/>
        <w:rPr>
          <w:snapToGrid w:val="0"/>
        </w:rPr>
      </w:pPr>
      <w:bookmarkStart w:id="39" w:name="_Toc154747856"/>
      <w:r>
        <w:rPr>
          <w:rStyle w:val="CharSectno"/>
        </w:rPr>
        <w:t>32</w:t>
      </w:r>
      <w:r>
        <w:rPr>
          <w:snapToGrid w:val="0"/>
        </w:rPr>
        <w:t>.</w:t>
      </w:r>
      <w:r>
        <w:rPr>
          <w:snapToGrid w:val="0"/>
        </w:rPr>
        <w:tab/>
        <w:t>Refund of registration fees</w:t>
      </w:r>
      <w:bookmarkEnd w:id="39"/>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tab/>
        <w:t>[Section 32 amended: No. 106 of 1981 s. 34; No. 76 of 1996 s. 27.]</w:t>
      </w:r>
    </w:p>
    <w:p>
      <w:pPr>
        <w:pStyle w:val="Heading5"/>
        <w:keepLines w:val="0"/>
        <w:spacing w:before="240"/>
      </w:pPr>
      <w:bookmarkStart w:id="40" w:name="_Toc154747857"/>
      <w:r>
        <w:rPr>
          <w:rStyle w:val="CharSectno"/>
        </w:rPr>
        <w:t>32A</w:t>
      </w:r>
      <w:r>
        <w:t>.</w:t>
      </w:r>
      <w:r>
        <w:tab/>
        <w:t>Nominated owner of vehicle, cancelling and changing</w:t>
      </w:r>
      <w:bookmarkEnd w:id="40"/>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lastRenderedPageBreak/>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 No. 39 of 2000 s. 55.]</w:t>
      </w:r>
    </w:p>
    <w:p>
      <w:pPr>
        <w:pStyle w:val="Heading5"/>
        <w:rPr>
          <w:snapToGrid w:val="0"/>
        </w:rPr>
      </w:pPr>
      <w:bookmarkStart w:id="41" w:name="_Toc154747858"/>
      <w:r>
        <w:rPr>
          <w:rStyle w:val="CharSectno"/>
        </w:rPr>
        <w:t>33</w:t>
      </w:r>
      <w:r>
        <w:rPr>
          <w:snapToGrid w:val="0"/>
        </w:rPr>
        <w:t>.</w:t>
      </w:r>
      <w:r>
        <w:rPr>
          <w:snapToGrid w:val="0"/>
        </w:rPr>
        <w:tab/>
        <w:t>Review by SAT of decision on registration</w:t>
      </w:r>
      <w:bookmarkEnd w:id="41"/>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No. 55 of 2004 s. 147.]</w:t>
      </w:r>
    </w:p>
    <w:p>
      <w:pPr>
        <w:pStyle w:val="Heading5"/>
        <w:rPr>
          <w:snapToGrid w:val="0"/>
        </w:rPr>
      </w:pPr>
      <w:bookmarkStart w:id="42" w:name="_Toc154747859"/>
      <w:r>
        <w:rPr>
          <w:rStyle w:val="CharSectno"/>
        </w:rPr>
        <w:t>34</w:t>
      </w:r>
      <w:r>
        <w:rPr>
          <w:snapToGrid w:val="0"/>
        </w:rPr>
        <w:t>.</w:t>
      </w:r>
      <w:r>
        <w:rPr>
          <w:snapToGrid w:val="0"/>
        </w:rPr>
        <w:tab/>
        <w:t>Number plate to be displayed</w:t>
      </w:r>
      <w:bookmarkEnd w:id="42"/>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lastRenderedPageBreak/>
        <w:tab/>
        <w:t>[Section 34 amended: No. 106 of 1981 s. 34; No. 76 of 1996 s. 27; No. 7 of 2002 s. 10; No. 8 of 2012 s. 66.]</w:t>
      </w:r>
    </w:p>
    <w:p>
      <w:pPr>
        <w:pStyle w:val="Heading5"/>
        <w:rPr>
          <w:snapToGrid w:val="0"/>
        </w:rPr>
      </w:pPr>
      <w:bookmarkStart w:id="43" w:name="_Toc154747860"/>
      <w:r>
        <w:rPr>
          <w:rStyle w:val="CharSectno"/>
        </w:rPr>
        <w:t>35</w:t>
      </w:r>
      <w:r>
        <w:rPr>
          <w:snapToGrid w:val="0"/>
        </w:rPr>
        <w:t>.</w:t>
      </w:r>
      <w:r>
        <w:rPr>
          <w:snapToGrid w:val="0"/>
        </w:rPr>
        <w:tab/>
        <w:t>Other offences concerning number plates</w:t>
      </w:r>
      <w:bookmarkEnd w:id="43"/>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 or</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r>
        <w:tab/>
        <w:t>[Section 35 amended: No. 39 of 2000 s. 56.]</w:t>
      </w:r>
    </w:p>
    <w:p>
      <w:pPr>
        <w:pStyle w:val="Heading5"/>
        <w:rPr>
          <w:snapToGrid w:val="0"/>
        </w:rPr>
      </w:pPr>
      <w:bookmarkStart w:id="44" w:name="_Toc154747861"/>
      <w:r>
        <w:rPr>
          <w:rStyle w:val="CharSectno"/>
        </w:rPr>
        <w:t>36</w:t>
      </w:r>
      <w:r>
        <w:rPr>
          <w:snapToGrid w:val="0"/>
        </w:rPr>
        <w:t>.</w:t>
      </w:r>
      <w:r>
        <w:rPr>
          <w:snapToGrid w:val="0"/>
        </w:rPr>
        <w:tab/>
        <w:t>Road law provisions</w:t>
      </w:r>
      <w:bookmarkEnd w:id="44"/>
    </w:p>
    <w:p>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lastRenderedPageBreak/>
        <w:t>Road Traffic Act 1974</w:t>
      </w:r>
      <w:r>
        <w:t xml:space="preserve"> section 54, 55 or 57 </w:t>
      </w:r>
      <w:r>
        <w:rPr>
          <w:snapToGrid w:val="0"/>
        </w:rPr>
        <w:t xml:space="preserve">shall be construed as a reference to an </w:t>
      </w:r>
      <w:r>
        <w:t>authorised person</w:t>
      </w:r>
      <w:r>
        <w:rPr>
          <w:snapToGrid w:val="0"/>
        </w:rPr>
        <w:t xml:space="preserve"> within the meaning of this Act.</w:t>
      </w:r>
    </w:p>
    <w:p>
      <w:pPr>
        <w:pStyle w:val="Footnotesection"/>
      </w:pPr>
      <w:r>
        <w:tab/>
        <w:t>[Section 36 amended: No. 106 of 1981 s. 33; No. 8 of 2012 s. 67; No. 16 of 2019 s. 104.]</w:t>
      </w:r>
    </w:p>
    <w:p>
      <w:pPr>
        <w:pStyle w:val="Ednotesection"/>
      </w:pPr>
      <w:r>
        <w:t>[</w:t>
      </w:r>
      <w:r>
        <w:rPr>
          <w:b/>
        </w:rPr>
        <w:t>36A.</w:t>
      </w:r>
      <w:r>
        <w:tab/>
        <w:t>Deleted: No. 76 of 1996 s. 25.]</w:t>
      </w:r>
    </w:p>
    <w:p>
      <w:pPr>
        <w:pStyle w:val="Heading5"/>
        <w:keepNext w:val="0"/>
        <w:keepLines w:val="0"/>
        <w:rPr>
          <w:snapToGrid w:val="0"/>
        </w:rPr>
      </w:pPr>
      <w:bookmarkStart w:id="45" w:name="_Toc154747862"/>
      <w:r>
        <w:rPr>
          <w:rStyle w:val="CharSectno"/>
        </w:rPr>
        <w:t>37</w:t>
      </w:r>
      <w:r>
        <w:rPr>
          <w:snapToGrid w:val="0"/>
        </w:rPr>
        <w:t>.</w:t>
      </w:r>
      <w:r>
        <w:rPr>
          <w:snapToGrid w:val="0"/>
        </w:rPr>
        <w:tab/>
        <w:t>Infringement notices</w:t>
      </w:r>
      <w:bookmarkEnd w:id="45"/>
    </w:p>
    <w:p>
      <w:pPr>
        <w:pStyle w:val="Subsection"/>
        <w:rPr>
          <w:snapToGrid w:val="0"/>
        </w:rPr>
      </w:pPr>
      <w:r>
        <w:rPr>
          <w:snapToGrid w:val="0"/>
        </w:rPr>
        <w:tab/>
        <w:t>(1)</w:t>
      </w:r>
      <w:r>
        <w:rPr>
          <w:snapToGrid w:val="0"/>
        </w:rPr>
        <w:tab/>
        <w:t xml:space="preserve">Where an </w:t>
      </w:r>
      <w:r>
        <w:t>authorised person</w:t>
      </w:r>
      <w:r>
        <w:rPr>
          <w:snapToGrid w:val="0"/>
        </w:rPr>
        <w:t xml:space="preserve">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 xml:space="preserve">informs the chief executive officer of the local government or such other person as may be specified in that notice as to the identity and </w:t>
      </w:r>
      <w:r>
        <w:rPr>
          <w:snapToGrid w:val="0"/>
        </w:rPr>
        <w:lastRenderedPageBreak/>
        <w:t>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 xml:space="preserve">Where a modified penalty has been paid pursuant to an infringement notice and the notice has not been withdrawn as provided by subsection (5), proceedings shall not be brought </w:t>
      </w:r>
      <w:r>
        <w:rPr>
          <w:snapToGrid w:val="0"/>
        </w:rPr>
        <w:lastRenderedPageBreak/>
        <w:t>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No. 14 of 1996 s. 4; No. 39 of 2000 s. 57; No. 84 of 2004 s. 80; No. 16 of 2019 s. 104.]</w:t>
      </w:r>
    </w:p>
    <w:p>
      <w:pPr>
        <w:pStyle w:val="Heading5"/>
        <w:rPr>
          <w:snapToGrid w:val="0"/>
        </w:rPr>
      </w:pPr>
      <w:bookmarkStart w:id="46" w:name="_Toc154747863"/>
      <w:r>
        <w:rPr>
          <w:rStyle w:val="CharSectno"/>
        </w:rPr>
        <w:t>38</w:t>
      </w:r>
      <w:r>
        <w:rPr>
          <w:snapToGrid w:val="0"/>
        </w:rPr>
        <w:t>.</w:t>
      </w:r>
      <w:r>
        <w:rPr>
          <w:snapToGrid w:val="0"/>
        </w:rPr>
        <w:tab/>
        <w:t>Authorised persons</w:t>
      </w:r>
      <w:bookmarkEnd w:id="46"/>
    </w:p>
    <w:p>
      <w:pPr>
        <w:pStyle w:val="Subsection"/>
        <w:rPr>
          <w:snapToGrid w:val="0"/>
        </w:rPr>
      </w:pPr>
      <w:r>
        <w:rPr>
          <w:snapToGrid w:val="0"/>
        </w:rPr>
        <w:tab/>
        <w:t>(1)</w:t>
      </w:r>
      <w:r>
        <w:rPr>
          <w:snapToGrid w:val="0"/>
        </w:rPr>
        <w:tab/>
        <w:t xml:space="preserve">For the purposes of this Act an </w:t>
      </w:r>
      <w:r>
        <w:t>authorised person</w:t>
      </w:r>
      <w:r>
        <w:rPr>
          <w:snapToGrid w:val="0"/>
        </w:rPr>
        <w:t xml:space="preserve">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 xml:space="preserve">any person appointed as such </w:t>
      </w:r>
      <w:r>
        <w:t>under</w:t>
      </w:r>
      <w:r>
        <w:rPr>
          <w:snapToGrid w:val="0"/>
        </w:rPr>
        <w:t xml:space="preserve"> subsection (2) within the area of jurisdiction entrusted to him by the appointment;</w:t>
      </w:r>
    </w:p>
    <w:p>
      <w:pPr>
        <w:pStyle w:val="Indenta"/>
        <w:rPr>
          <w:snapToGrid w:val="0"/>
        </w:rPr>
      </w:pPr>
      <w:r>
        <w:rPr>
          <w:snapToGrid w:val="0"/>
        </w:rPr>
        <w:lastRenderedPageBreak/>
        <w:tab/>
        <w:t>(c)</w:t>
      </w:r>
      <w:r>
        <w:rPr>
          <w:snapToGrid w:val="0"/>
        </w:rPr>
        <w:tab/>
        <w:t xml:space="preserve">any person appointed as such </w:t>
      </w:r>
      <w:r>
        <w:t>under</w:t>
      </w:r>
      <w:r>
        <w:rPr>
          <w:snapToGrid w:val="0"/>
        </w:rPr>
        <w:t xml:space="preserve">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r>
        <w:rPr>
          <w:snapToGrid w:val="0"/>
        </w:rPr>
        <w:t xml:space="preserve"> or</w:t>
      </w:r>
    </w:p>
    <w:p>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pPr>
        <w:pStyle w:val="Ednotepara"/>
        <w:rPr>
          <w:snapToGrid w:val="0"/>
        </w:rPr>
      </w:pPr>
      <w:r>
        <w:rPr>
          <w:snapToGrid w:val="0"/>
        </w:rPr>
        <w:tab/>
        <w:t>[(c), (d)</w:t>
      </w:r>
      <w:r>
        <w:rPr>
          <w:snapToGrid w:val="0"/>
        </w:rPr>
        <w:tab/>
        <w:t>deleted]</w:t>
      </w:r>
    </w:p>
    <w:p>
      <w:pPr>
        <w:pStyle w:val="Indenta"/>
      </w:pPr>
      <w:r>
        <w:tab/>
        <w:t>(e)</w:t>
      </w:r>
      <w:r>
        <w:tab/>
        <w:t xml:space="preserve">an honorary warden, under the </w:t>
      </w:r>
      <w:r>
        <w:rPr>
          <w:i/>
        </w:rPr>
        <w:t>Aboriginal Heritage Act 1972</w:t>
      </w:r>
      <w:r>
        <w:t>; or</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 xml:space="preserve">to be an </w:t>
      </w:r>
      <w:r>
        <w:t>authorised person</w:t>
      </w:r>
      <w:r>
        <w:rPr>
          <w:snapToGrid w:val="0"/>
        </w:rPr>
        <w:t xml:space="preserve"> for the purposes of this Act either in respect of the whole of the State or any part thereof defined in the appointment.</w:t>
      </w:r>
    </w:p>
    <w:p>
      <w:pPr>
        <w:pStyle w:val="Subsection"/>
      </w:pPr>
      <w:r>
        <w:tab/>
        <w:t>(3)</w:t>
      </w:r>
      <w:r>
        <w:tab/>
        <w:t xml:space="preserve">A person is appointed as an authorised person under this subsection if the person is appointed under the </w:t>
      </w:r>
      <w:r>
        <w:rPr>
          <w:i/>
        </w:rPr>
        <w:t>Local Government Act 1995</w:t>
      </w:r>
      <w:r>
        <w:t xml:space="preserve"> section 9.10(2) to be an authorised person for the purposes of this Act either in respect of the whole of a district or any part of a district specified in the appointment.</w:t>
      </w:r>
    </w:p>
    <w:p>
      <w:pPr>
        <w:pStyle w:val="Subsection"/>
        <w:keepNext/>
        <w:rPr>
          <w:snapToGrid w:val="0"/>
        </w:rPr>
      </w:pPr>
      <w:r>
        <w:rPr>
          <w:snapToGrid w:val="0"/>
        </w:rPr>
        <w:lastRenderedPageBreak/>
        <w:tab/>
        <w:t>(4)</w:t>
      </w:r>
      <w:r>
        <w:rPr>
          <w:snapToGrid w:val="0"/>
        </w:rPr>
        <w:tab/>
        <w:t xml:space="preserve">A person who is appointed as an authorised </w:t>
      </w:r>
      <w:r>
        <w:t>person under subsection (2) or (3) —</w:t>
      </w:r>
    </w:p>
    <w:p>
      <w:pPr>
        <w:pStyle w:val="Indenta"/>
        <w:rPr>
          <w:snapToGrid w:val="0"/>
        </w:rPr>
      </w:pPr>
      <w:r>
        <w:rPr>
          <w:snapToGrid w:val="0"/>
        </w:rPr>
        <w:tab/>
        <w:t>(a)</w:t>
      </w:r>
      <w:r>
        <w:rPr>
          <w:snapToGrid w:val="0"/>
        </w:rPr>
        <w:tab/>
        <w:t xml:space="preserve">has within the area of jurisdiction entrusted to him by the appointment the duties and powers of an </w:t>
      </w:r>
      <w:r>
        <w:t>authorised person</w:t>
      </w:r>
      <w:r>
        <w:rPr>
          <w:snapToGrid w:val="0"/>
        </w:rPr>
        <w:t xml:space="preserve"> under this Act, and may exercise such powers within that area; and</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 xml:space="preserve">shall be issued with a certificate of his appointment as an </w:t>
      </w:r>
      <w:r>
        <w:t>authorised person</w:t>
      </w:r>
      <w:r>
        <w:rPr>
          <w:snapToGrid w:val="0"/>
        </w:rPr>
        <w:t xml:space="preserve"> in the prescribed form, evidencing the area of jurisdiction entrusted to him under this Act, which he shall, on reasonable demand, produce for inspection by any person.</w:t>
      </w:r>
    </w:p>
    <w:p>
      <w:pPr>
        <w:pStyle w:val="Subsection"/>
      </w:pPr>
      <w:r>
        <w:tab/>
        <w:t>(4A)</w:t>
      </w:r>
      <w:r>
        <w:tab/>
        <w:t>Subsection (4)(d) does not apply in the case of a person appointed as an authorised person under subsection (3).</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keepNext/>
        <w:rPr>
          <w:snapToGrid w:val="0"/>
        </w:rPr>
      </w:pPr>
      <w:r>
        <w:rPr>
          <w:snapToGrid w:val="0"/>
        </w:rPr>
        <w:lastRenderedPageBreak/>
        <w:tab/>
        <w:t>(6)</w:t>
      </w:r>
      <w:r>
        <w:rPr>
          <w:snapToGrid w:val="0"/>
        </w:rPr>
        <w:tab/>
        <w:t xml:space="preserve">A person shall not wilfully obstruct any </w:t>
      </w:r>
      <w:r>
        <w:t>authorised person</w:t>
      </w:r>
      <w:r>
        <w:rPr>
          <w:snapToGrid w:val="0"/>
        </w:rPr>
        <w:t xml:space="preserve"> or an honorary inspector acting in the execution of this Act.</w:t>
      </w:r>
    </w:p>
    <w:p>
      <w:pPr>
        <w:pStyle w:val="Penstart"/>
        <w:spacing w:before="120"/>
        <w:rPr>
          <w:snapToGrid w:val="0"/>
        </w:rPr>
      </w:pPr>
      <w:r>
        <w:rPr>
          <w:snapToGrid w:val="0"/>
        </w:rPr>
        <w:tab/>
        <w:t>Penalty: $200.</w:t>
      </w:r>
    </w:p>
    <w:p>
      <w:pPr>
        <w:pStyle w:val="Subsection"/>
        <w:rPr>
          <w:snapToGrid w:val="0"/>
        </w:rPr>
      </w:pPr>
      <w:r>
        <w:rPr>
          <w:snapToGrid w:val="0"/>
        </w:rPr>
        <w:tab/>
        <w:t>(7)</w:t>
      </w:r>
      <w:r>
        <w:rPr>
          <w:snapToGrid w:val="0"/>
        </w:rPr>
        <w:tab/>
        <w:t xml:space="preserve">Where an </w:t>
      </w:r>
      <w:r>
        <w:t>authorised person</w:t>
      </w:r>
      <w:r>
        <w:rPr>
          <w:snapToGrid w:val="0"/>
        </w:rPr>
        <w:t xml:space="preserve"> or an honorary inspector has reasonable grounds to believe that a person has contravened or that a vehicle contravenes, or was used or driven in contravention of, the provisions of this Act, </w:t>
      </w:r>
      <w:r>
        <w:t xml:space="preserve">the authorised person </w:t>
      </w:r>
      <w:r>
        <w:rPr>
          <w:snapToGrid w:val="0"/>
        </w:rPr>
        <w:t xml:space="preserve">or inspector may stop that person or vehicle and may request that person to furnish his name and address to </w:t>
      </w:r>
      <w:r>
        <w:t>the authorised person</w:t>
      </w:r>
      <w:r>
        <w:rPr>
          <w:snapToGrid w:val="0"/>
        </w:rPr>
        <w:t xml:space="preserve">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w:t>
      </w:r>
      <w:r>
        <w:t>the authorised person</w:t>
      </w:r>
      <w:r>
        <w:rPr>
          <w:snapToGrid w:val="0"/>
        </w:rPr>
        <w:t xml:space="preserve"> or inspector reasonably believes to be false, he shall be treated as having wilfully obstructed </w:t>
      </w:r>
      <w:r>
        <w:t>the authorised person</w:t>
      </w:r>
      <w:r>
        <w:rPr>
          <w:snapToGrid w:val="0"/>
        </w:rPr>
        <w:t xml:space="preserve"> or inspector for the purposes of subsection (6).</w:t>
      </w:r>
    </w:p>
    <w:p>
      <w:pPr>
        <w:pStyle w:val="Subsection"/>
        <w:keepNext/>
        <w:rPr>
          <w:snapToGrid w:val="0"/>
        </w:rPr>
      </w:pPr>
      <w:r>
        <w:rPr>
          <w:snapToGrid w:val="0"/>
        </w:rPr>
        <w:tab/>
        <w:t>(8)</w:t>
      </w:r>
      <w:r>
        <w:rPr>
          <w:snapToGrid w:val="0"/>
        </w:rPr>
        <w:tab/>
        <w:t xml:space="preserve">An </w:t>
      </w:r>
      <w:r>
        <w:t>authorised person</w:t>
      </w:r>
      <w:r>
        <w:rPr>
          <w:snapToGrid w:val="0"/>
        </w:rPr>
        <w:t xml:space="preserve">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lastRenderedPageBreak/>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tab/>
        <w:t>(9)</w:t>
      </w:r>
      <w:r>
        <w:rPr>
          <w:snapToGrid w:val="0"/>
        </w:rPr>
        <w:tab/>
        <w:t xml:space="preserve">Where an authorised </w:t>
      </w:r>
      <w:r>
        <w:t>person under</w:t>
      </w:r>
      <w:r>
        <w:rPr>
          <w:snapToGrid w:val="0"/>
        </w:rPr>
        <w:t xml:space="preserve">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keepNext/>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keepNext/>
        <w:spacing w:before="120"/>
        <w:rPr>
          <w:snapToGrid w:val="0"/>
        </w:rPr>
      </w:pPr>
      <w:r>
        <w:rPr>
          <w:snapToGrid w:val="0"/>
        </w:rPr>
        <w:tab/>
        <w:t>(11)</w:t>
      </w:r>
      <w:r>
        <w:rPr>
          <w:snapToGrid w:val="0"/>
        </w:rPr>
        <w:tab/>
        <w:t xml:space="preserve">An </w:t>
      </w:r>
      <w:r>
        <w:t>authorised person</w:t>
      </w:r>
      <w:r>
        <w:rPr>
          <w:snapToGrid w:val="0"/>
        </w:rPr>
        <w:t xml:space="preserve">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pPr>
        <w:pStyle w:val="Indenta"/>
        <w:keepNext/>
        <w:rPr>
          <w:snapToGrid w:val="0"/>
        </w:rPr>
      </w:pPr>
      <w:r>
        <w:rPr>
          <w:snapToGrid w:val="0"/>
        </w:rPr>
        <w:tab/>
        <w:t>(b)</w:t>
      </w:r>
      <w:r>
        <w:rPr>
          <w:snapToGrid w:val="0"/>
        </w:rPr>
        <w:tab/>
        <w:t xml:space="preserve">the identity of </w:t>
      </w:r>
      <w:r>
        <w:t xml:space="preserve">a responsible person for, or a driver of, </w:t>
      </w:r>
      <w:r>
        <w:rPr>
          <w:snapToGrid w:val="0"/>
        </w:rPr>
        <w:t xml:space="preserve">the vehicle can not be established to the satisfaction of that </w:t>
      </w:r>
      <w:r>
        <w:t>authorised person,</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keepNext/>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keepNext/>
        <w:rPr>
          <w:snapToGrid w:val="0"/>
        </w:rPr>
      </w:pPr>
      <w:r>
        <w:rPr>
          <w:snapToGrid w:val="0"/>
        </w:rPr>
        <w:lastRenderedPageBreak/>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 xml:space="preserve">No </w:t>
      </w:r>
      <w:r>
        <w:t>authorised person</w:t>
      </w:r>
      <w:r>
        <w:rPr>
          <w:snapToGrid w:val="0"/>
        </w:rPr>
        <w:t xml:space="preserve">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keepNext/>
      </w:pPr>
      <w:r>
        <w:tab/>
        <w:t>(15)</w:t>
      </w:r>
      <w:r>
        <w:tab/>
        <w:t>If a vehicle is seized under subsection (11), it may be detained until the authorised person is satisfied —</w:t>
      </w:r>
    </w:p>
    <w:p>
      <w:pPr>
        <w:pStyle w:val="Indenta"/>
      </w:pPr>
      <w:r>
        <w:tab/>
        <w:t>(a)</w:t>
      </w:r>
      <w:r>
        <w:tab/>
        <w:t xml:space="preserve">that it is licensed under the </w:t>
      </w:r>
      <w:r>
        <w:rPr>
          <w:i/>
          <w:iCs/>
        </w:rPr>
        <w:t xml:space="preserve">Road Traffic (Vehicles) Act 2012 </w:t>
      </w:r>
      <w:r>
        <w:t>or registered under this Act; or</w:t>
      </w:r>
    </w:p>
    <w:p>
      <w:pPr>
        <w:pStyle w:val="Indenta"/>
        <w:keepNext/>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keepNext/>
      </w:pPr>
      <w:r>
        <w:lastRenderedPageBreak/>
        <w:tab/>
        <w:t>(17)</w:t>
      </w:r>
      <w:r>
        <w:tab/>
        <w:t>A vehicle detained —</w:t>
      </w:r>
    </w:p>
    <w:p>
      <w:pPr>
        <w:pStyle w:val="Indenta"/>
      </w:pPr>
      <w:r>
        <w:tab/>
        <w:t>(a)</w:t>
      </w:r>
      <w:r>
        <w:tab/>
        <w:t>under subsection (11) or (12) by a member of the Police Force; or</w:t>
      </w:r>
    </w:p>
    <w:p>
      <w:pPr>
        <w:pStyle w:val="Indenta"/>
        <w:keepNext/>
      </w:pPr>
      <w:r>
        <w:tab/>
        <w:t>(b)</w:t>
      </w:r>
      <w:r>
        <w:tab/>
        <w:t>under subsection (11) by an authorised person appointed under subsection (2),</w:t>
      </w:r>
    </w:p>
    <w:p>
      <w:pPr>
        <w:pStyle w:val="Subsection"/>
      </w:pPr>
      <w:r>
        <w:tab/>
      </w:r>
      <w:r>
        <w:tab/>
        <w:t>is to be taken to be detained in the name of the Director General.</w:t>
      </w:r>
    </w:p>
    <w:p>
      <w:pPr>
        <w:pStyle w:val="Subsection"/>
        <w:keepNext/>
      </w:pPr>
      <w:r>
        <w:tab/>
        <w:t>(18)</w:t>
      </w:r>
      <w:r>
        <w:tab/>
        <w:t>A vehicle detained under subsection (11) by an authorised person appointed under subsection (3) is taken to be detained by the local government concerned.</w:t>
      </w:r>
    </w:p>
    <w:p>
      <w:pPr>
        <w:pStyle w:val="Footnotesection"/>
        <w:keepLines w:val="0"/>
      </w:pPr>
      <w:r>
        <w:tab/>
        <w:t>[Section 38 amended: No. 106 of 1981 s. 34; No. 24 of 1995 s. 53; No. 53 of 1994 s. 264; No. 14 of 1996 s. 4; No. 76 of 1996 s. 26 and 27; No. 39 of 2000 s. 58 and 59; No. 59 of 2004 s. 141; No. 28 of 2006 s. 359; No. 8 of 2012 s. 68; No. 16 of 2019 s. 102 and 104; No. 27 of 2021 s. 345(2); No. 23 of 2023 s. 26.]</w:t>
      </w:r>
    </w:p>
    <w:p>
      <w:pPr>
        <w:pStyle w:val="Heading5"/>
        <w:rPr>
          <w:snapToGrid w:val="0"/>
        </w:rPr>
      </w:pPr>
      <w:bookmarkStart w:id="47" w:name="_Toc154747864"/>
      <w:r>
        <w:rPr>
          <w:rStyle w:val="CharSectno"/>
        </w:rPr>
        <w:t>39</w:t>
      </w:r>
      <w:r>
        <w:rPr>
          <w:snapToGrid w:val="0"/>
        </w:rPr>
        <w:t>.</w:t>
      </w:r>
      <w:r>
        <w:rPr>
          <w:snapToGrid w:val="0"/>
        </w:rPr>
        <w:tab/>
        <w:t>Evidentiary provisions for prosecutions</w:t>
      </w:r>
      <w:bookmarkEnd w:id="47"/>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 and</w:t>
      </w:r>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keepNext/>
        <w:rPr>
          <w:snapToGrid w:val="0"/>
        </w:rPr>
      </w:pPr>
      <w:r>
        <w:rPr>
          <w:snapToGrid w:val="0"/>
        </w:rPr>
        <w:lastRenderedPageBreak/>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Next/>
        <w:keepLines/>
        <w:rPr>
          <w:snapToGrid w:val="0"/>
        </w:rPr>
      </w:pPr>
      <w:r>
        <w:rPr>
          <w:snapToGrid w:val="0"/>
        </w:rPr>
        <w:lastRenderedPageBreak/>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No. 14 of 1996 s. 4; No. 31 of 1997 s. 17; No. 84 of 2004 s. 80; No. 8 of 2012 s. 69.]</w:t>
      </w:r>
    </w:p>
    <w:p>
      <w:pPr>
        <w:pStyle w:val="Heading5"/>
        <w:spacing w:before="240"/>
        <w:rPr>
          <w:snapToGrid w:val="0"/>
        </w:rPr>
      </w:pPr>
      <w:bookmarkStart w:id="48" w:name="_Toc154747865"/>
      <w:r>
        <w:rPr>
          <w:rStyle w:val="CharSectno"/>
        </w:rPr>
        <w:t>40</w:t>
      </w:r>
      <w:r>
        <w:rPr>
          <w:snapToGrid w:val="0"/>
        </w:rPr>
        <w:t>.</w:t>
      </w:r>
      <w:r>
        <w:rPr>
          <w:snapToGrid w:val="0"/>
        </w:rPr>
        <w:tab/>
        <w:t>Prosecutions, who may commence</w:t>
      </w:r>
      <w:bookmarkEnd w:id="48"/>
    </w:p>
    <w:p>
      <w:pPr>
        <w:pStyle w:val="Subsection"/>
        <w:keepNext/>
        <w:rPr>
          <w:snapToGrid w:val="0"/>
        </w:rPr>
      </w:pPr>
      <w:r>
        <w:rPr>
          <w:snapToGrid w:val="0"/>
        </w:rPr>
        <w:tab/>
      </w:r>
      <w:r>
        <w:rPr>
          <w:snapToGrid w:val="0"/>
        </w:rPr>
        <w:tab/>
        <w:t xml:space="preserve">All proceedings for offences under this Act may be instituted by any person aggrieved, or by any employee of a local government or other </w:t>
      </w:r>
      <w:r>
        <w:t>authorised person</w:t>
      </w:r>
      <w:r>
        <w:rPr>
          <w:snapToGrid w:val="0"/>
        </w:rPr>
        <w:t>.</w:t>
      </w:r>
    </w:p>
    <w:p>
      <w:pPr>
        <w:pStyle w:val="Footnotesection"/>
      </w:pPr>
      <w:r>
        <w:tab/>
        <w:t>[Section 40 amended: No. 14 of 1996 s. 4; No. 59 of 2004 s. 141; No. 16 of 2019 s. 104.]</w:t>
      </w:r>
    </w:p>
    <w:p>
      <w:pPr>
        <w:pStyle w:val="Heading5"/>
        <w:spacing w:before="240"/>
        <w:rPr>
          <w:snapToGrid w:val="0"/>
        </w:rPr>
      </w:pPr>
      <w:bookmarkStart w:id="49" w:name="_Toc154747866"/>
      <w:r>
        <w:rPr>
          <w:rStyle w:val="CharSectno"/>
        </w:rPr>
        <w:t>41</w:t>
      </w:r>
      <w:r>
        <w:rPr>
          <w:snapToGrid w:val="0"/>
        </w:rPr>
        <w:t>.</w:t>
      </w:r>
      <w:r>
        <w:rPr>
          <w:snapToGrid w:val="0"/>
        </w:rPr>
        <w:tab/>
        <w:t>General penalty</w:t>
      </w:r>
      <w:bookmarkEnd w:id="49"/>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No. 78 of 1995 s. 17.]</w:t>
      </w:r>
    </w:p>
    <w:p>
      <w:pPr>
        <w:pStyle w:val="Heading5"/>
        <w:spacing w:before="240"/>
        <w:rPr>
          <w:snapToGrid w:val="0"/>
        </w:rPr>
      </w:pPr>
      <w:bookmarkStart w:id="50" w:name="_Toc154747867"/>
      <w:r>
        <w:rPr>
          <w:rStyle w:val="CharSectno"/>
        </w:rPr>
        <w:t>42</w:t>
      </w:r>
      <w:r>
        <w:rPr>
          <w:snapToGrid w:val="0"/>
        </w:rPr>
        <w:t>.</w:t>
      </w:r>
      <w:r>
        <w:rPr>
          <w:snapToGrid w:val="0"/>
        </w:rPr>
        <w:tab/>
        <w:t>Detention of vehicles, court may order</w:t>
      </w:r>
      <w:bookmarkEnd w:id="50"/>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keepNext/>
        <w:rPr>
          <w:snapToGrid w:val="0"/>
        </w:rPr>
      </w:pPr>
      <w:r>
        <w:rPr>
          <w:snapToGrid w:val="0"/>
        </w:rPr>
        <w:tab/>
        <w:t>(b)</w:t>
      </w:r>
      <w:r>
        <w:rPr>
          <w:snapToGrid w:val="0"/>
        </w:rPr>
        <w:tab/>
        <w:t xml:space="preserve">until the Director General is satisfied that arrangements have been made that will ensure that the construction or </w:t>
      </w:r>
      <w:r>
        <w:rPr>
          <w:snapToGrid w:val="0"/>
        </w:rPr>
        <w:lastRenderedPageBreak/>
        <w:t>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No. 106 of 1981 s. 34; No. 14 of 1996 s. 4; No. 76 of 1996 s. 27; No. 39 of 2000 s. 59; No. 59 of 2004 s. 141.]</w:t>
      </w:r>
    </w:p>
    <w:p>
      <w:pPr>
        <w:pStyle w:val="Heading5"/>
        <w:rPr>
          <w:snapToGrid w:val="0"/>
        </w:rPr>
      </w:pPr>
      <w:bookmarkStart w:id="51" w:name="_Toc154747868"/>
      <w:r>
        <w:rPr>
          <w:rStyle w:val="CharSectno"/>
        </w:rPr>
        <w:t>43</w:t>
      </w:r>
      <w:r>
        <w:rPr>
          <w:snapToGrid w:val="0"/>
        </w:rPr>
        <w:t>.</w:t>
      </w:r>
      <w:r>
        <w:rPr>
          <w:snapToGrid w:val="0"/>
        </w:rPr>
        <w:tab/>
        <w:t>Expenses of this Act, appropriation of penalties etc.</w:t>
      </w:r>
      <w:bookmarkEnd w:id="51"/>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 xml:space="preserve">The expenses of the Director General in connection with the administration of this Act shall be paid in so far as is practicable out of moneys derived from the administration of the scheme of </w:t>
      </w:r>
      <w:r>
        <w:rPr>
          <w:snapToGrid w:val="0"/>
        </w:rPr>
        <w:lastRenderedPageBreak/>
        <w:t>registration effected by this Act, and in so far as such moneys shall not be sufficient for that purpose out of moneys from time to time appropriated by Parliament for that purpose.</w:t>
      </w:r>
    </w:p>
    <w:p>
      <w:pPr>
        <w:pStyle w:val="Subsection"/>
        <w:keepNext/>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No. 106 of 1981 s. 34; No. 78 of 1995 s. 17; No. 49 of 1996 s. 64; No. 76 of 1996 s. 27; No. 7 of 2002 s. 11(1); No. 77 of 2006 Sch. 1 cl. 34.]</w:t>
      </w:r>
    </w:p>
    <w:p>
      <w:pPr>
        <w:pStyle w:val="Heading5"/>
        <w:rPr>
          <w:snapToGrid w:val="0"/>
        </w:rPr>
      </w:pPr>
      <w:bookmarkStart w:id="52" w:name="_Toc154747869"/>
      <w:r>
        <w:rPr>
          <w:rStyle w:val="CharSectno"/>
        </w:rPr>
        <w:t>44</w:t>
      </w:r>
      <w:r>
        <w:rPr>
          <w:snapToGrid w:val="0"/>
        </w:rPr>
        <w:t>.</w:t>
      </w:r>
      <w:r>
        <w:rPr>
          <w:snapToGrid w:val="0"/>
        </w:rPr>
        <w:tab/>
        <w:t>Regulations that operate as local laws, Governor may make</w:t>
      </w:r>
      <w:bookmarkEnd w:id="52"/>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No. 14 of 1996 s. 4.]</w:t>
      </w:r>
    </w:p>
    <w:p>
      <w:pPr>
        <w:pStyle w:val="Heading5"/>
        <w:rPr>
          <w:snapToGrid w:val="0"/>
        </w:rPr>
      </w:pPr>
      <w:bookmarkStart w:id="53" w:name="_Toc154747870"/>
      <w:r>
        <w:rPr>
          <w:rStyle w:val="CharSectno"/>
        </w:rPr>
        <w:lastRenderedPageBreak/>
        <w:t>45</w:t>
      </w:r>
      <w:r>
        <w:rPr>
          <w:snapToGrid w:val="0"/>
        </w:rPr>
        <w:t>.</w:t>
      </w:r>
      <w:r>
        <w:rPr>
          <w:snapToGrid w:val="0"/>
        </w:rPr>
        <w:tab/>
        <w:t>Local laws, local government may make</w:t>
      </w:r>
      <w:bookmarkEnd w:id="53"/>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 and</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No. 14 of 1996 s. 4.]</w:t>
      </w:r>
    </w:p>
    <w:p>
      <w:pPr>
        <w:pStyle w:val="Heading5"/>
        <w:rPr>
          <w:snapToGrid w:val="0"/>
        </w:rPr>
      </w:pPr>
      <w:bookmarkStart w:id="54" w:name="_Toc154747871"/>
      <w:r>
        <w:rPr>
          <w:rStyle w:val="CharSectno"/>
        </w:rPr>
        <w:t>45A</w:t>
      </w:r>
      <w:r>
        <w:rPr>
          <w:snapToGrid w:val="0"/>
        </w:rPr>
        <w:t>.</w:t>
      </w:r>
      <w:r>
        <w:rPr>
          <w:snapToGrid w:val="0"/>
        </w:rPr>
        <w:tab/>
        <w:t>Model local laws, Governor may make</w:t>
      </w:r>
      <w:bookmarkEnd w:id="54"/>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No. 14 of 1996 s. 4.]</w:t>
      </w:r>
    </w:p>
    <w:p>
      <w:pPr>
        <w:pStyle w:val="Heading5"/>
        <w:rPr>
          <w:snapToGrid w:val="0"/>
        </w:rPr>
      </w:pPr>
      <w:bookmarkStart w:id="55" w:name="_Toc154747872"/>
      <w:r>
        <w:rPr>
          <w:rStyle w:val="CharSectno"/>
        </w:rPr>
        <w:t>45B</w:t>
      </w:r>
      <w:r>
        <w:rPr>
          <w:snapToGrid w:val="0"/>
        </w:rPr>
        <w:t>.</w:t>
      </w:r>
      <w:r>
        <w:rPr>
          <w:snapToGrid w:val="0"/>
        </w:rPr>
        <w:tab/>
        <w:t>Local laws, Governor may amend or repeal</w:t>
      </w:r>
      <w:bookmarkEnd w:id="55"/>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lastRenderedPageBreak/>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No. 14 of 1996 s. 4.]</w:t>
      </w:r>
    </w:p>
    <w:p>
      <w:pPr>
        <w:pStyle w:val="Heading5"/>
        <w:rPr>
          <w:snapToGrid w:val="0"/>
        </w:rPr>
      </w:pPr>
      <w:bookmarkStart w:id="56" w:name="_Toc154747873"/>
      <w:r>
        <w:rPr>
          <w:rStyle w:val="CharSectno"/>
        </w:rPr>
        <w:t>46</w:t>
      </w:r>
      <w:r>
        <w:rPr>
          <w:snapToGrid w:val="0"/>
        </w:rPr>
        <w:t>.</w:t>
      </w:r>
      <w:r>
        <w:rPr>
          <w:snapToGrid w:val="0"/>
        </w:rPr>
        <w:tab/>
        <w:t>Regulations and local laws, general</w:t>
      </w:r>
      <w:bookmarkEnd w:id="56"/>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spacing w:before="120"/>
        <w:rPr>
          <w:snapToGrid w:val="0"/>
        </w:rPr>
      </w:pPr>
      <w:r>
        <w:rPr>
          <w:snapToGrid w:val="0"/>
        </w:rPr>
        <w:lastRenderedPageBreak/>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 No. 14 of 1996 s. 4.]</w:t>
      </w:r>
    </w:p>
    <w:p>
      <w:pPr>
        <w:pStyle w:val="Heading5"/>
        <w:keepNext w:val="0"/>
        <w:keepLines w:val="0"/>
        <w:spacing w:before="180"/>
        <w:rPr>
          <w:snapToGrid w:val="0"/>
        </w:rPr>
      </w:pPr>
      <w:bookmarkStart w:id="57" w:name="_Toc154747874"/>
      <w:r>
        <w:rPr>
          <w:rStyle w:val="CharSectno"/>
        </w:rPr>
        <w:t>47</w:t>
      </w:r>
      <w:r>
        <w:rPr>
          <w:snapToGrid w:val="0"/>
        </w:rPr>
        <w:t>.</w:t>
      </w:r>
      <w:r>
        <w:rPr>
          <w:snapToGrid w:val="0"/>
        </w:rPr>
        <w:tab/>
        <w:t>Local laws and local planning schemes, Governor may revoke or amend</w:t>
      </w:r>
      <w:bookmarkEnd w:id="57"/>
    </w:p>
    <w:p>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t xml:space="preserve">, or the Swan Valley Planning Scheme has been or is made under the </w:t>
      </w:r>
      <w:r>
        <w:rPr>
          <w:i/>
          <w:szCs w:val="24"/>
        </w:rPr>
        <w:t>Swan Valley Planning Act 2020</w:t>
      </w:r>
      <w:r>
        <w:t xml:space="preserve">, </w:t>
      </w:r>
      <w:r>
        <w:rPr>
          <w:snapToGrid w:val="0"/>
        </w:rPr>
        <w:t xml:space="preserve">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keepNext/>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spacing w:before="80"/>
        <w:ind w:left="890" w:hanging="890"/>
      </w:pPr>
      <w:r>
        <w:tab/>
        <w:t>[Section 47 amended: No. 14 of 1996 s. 4; No. 38 of 2005 s. 15; No. 45 of 2020 s. 98.]</w:t>
      </w:r>
    </w:p>
    <w:p>
      <w:pPr>
        <w:pStyle w:val="Heading5"/>
        <w:rPr>
          <w:snapToGrid w:val="0"/>
        </w:rPr>
      </w:pPr>
      <w:bookmarkStart w:id="58" w:name="_Toc154747875"/>
      <w:r>
        <w:rPr>
          <w:rStyle w:val="CharSectno"/>
        </w:rPr>
        <w:lastRenderedPageBreak/>
        <w:t>48</w:t>
      </w:r>
      <w:r>
        <w:rPr>
          <w:snapToGrid w:val="0"/>
        </w:rPr>
        <w:t>.</w:t>
      </w:r>
      <w:r>
        <w:rPr>
          <w:snapToGrid w:val="0"/>
        </w:rPr>
        <w:tab/>
        <w:t>Regulations</w:t>
      </w:r>
      <w:bookmarkEnd w:id="58"/>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No. 14 of 1996 s. 4.]</w:t>
      </w:r>
    </w:p>
    <w:p>
      <w:pPr>
        <w:pStyle w:val="Heading5"/>
      </w:pPr>
      <w:bookmarkStart w:id="59" w:name="_Toc154747876"/>
      <w:r>
        <w:rPr>
          <w:rStyle w:val="CharSectno"/>
        </w:rPr>
        <w:t>49</w:t>
      </w:r>
      <w:r>
        <w:t>.</w:t>
      </w:r>
      <w:r>
        <w:tab/>
        <w:t xml:space="preserve">Transitional provision for </w:t>
      </w:r>
      <w:r>
        <w:rPr>
          <w:i/>
        </w:rPr>
        <w:t>Local Government Legislation Amendment Act 2019</w:t>
      </w:r>
      <w:bookmarkEnd w:id="59"/>
    </w:p>
    <w:p>
      <w:pPr>
        <w:pStyle w:val="Subsection"/>
      </w:pPr>
      <w:r>
        <w:tab/>
        <w:t>(1)</w:t>
      </w:r>
      <w:r>
        <w:tab/>
        <w:t xml:space="preserve">This section applies to a person who, immediately before the day on which the </w:t>
      </w:r>
      <w:r>
        <w:rPr>
          <w:i/>
        </w:rPr>
        <w:t>Local Government Legislation Amendment Act 2019</w:t>
      </w:r>
      <w:r>
        <w:t xml:space="preserve"> section 102 comes into operation, was a person appointed under section 38(3).</w:t>
      </w:r>
    </w:p>
    <w:p>
      <w:pPr>
        <w:pStyle w:val="Subsection"/>
        <w:keepNext/>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38(3) immediately before the day referred to in subsection (1).</w:t>
      </w:r>
    </w:p>
    <w:p>
      <w:pPr>
        <w:pStyle w:val="Footnotesection"/>
        <w:keepNext/>
      </w:pPr>
      <w:r>
        <w:tab/>
        <w:t>[Section 49 inserted: No. 16 of 2019 s. 103.]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60" w:name="_Toc154747877"/>
      <w:r>
        <w:lastRenderedPageBreak/>
        <w:t>Notes</w:t>
      </w:r>
      <w:bookmarkEnd w:id="60"/>
    </w:p>
    <w:p>
      <w:pPr>
        <w:pStyle w:val="nStatement"/>
      </w:pPr>
      <w:r>
        <w:t xml:space="preserve">This is a compilation of the </w:t>
      </w:r>
      <w:r>
        <w:rPr>
          <w:i/>
          <w:noProof/>
        </w:rPr>
        <w:t>Control of Vehicles (Off-road Areas)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1" w:name="_Toc154747878"/>
      <w:r>
        <w:t>Compilation table</w:t>
      </w:r>
      <w:bookmarkEnd w:id="61"/>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496"/>
      </w:tblGrid>
      <w:tr>
        <w:trPr>
          <w:tblHeader/>
        </w:trPr>
        <w:tc>
          <w:tcPr>
            <w:tcW w:w="2324"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Control of Vehicles (Off</w:t>
            </w:r>
            <w:r>
              <w:rPr>
                <w:i/>
              </w:rPr>
              <w:noBreakHyphen/>
              <w:t>road Areas) Act 1978</w:t>
            </w:r>
          </w:p>
        </w:tc>
        <w:tc>
          <w:tcPr>
            <w:tcW w:w="1134" w:type="dxa"/>
          </w:tcPr>
          <w:p>
            <w:pPr>
              <w:pStyle w:val="nTable"/>
              <w:spacing w:before="60" w:after="60"/>
            </w:pPr>
            <w:r>
              <w:t>117 of 1978</w:t>
            </w:r>
          </w:p>
        </w:tc>
        <w:tc>
          <w:tcPr>
            <w:tcW w:w="1134" w:type="dxa"/>
          </w:tcPr>
          <w:p>
            <w:pPr>
              <w:pStyle w:val="nTable"/>
              <w:spacing w:before="60" w:after="60"/>
            </w:pPr>
            <w:r>
              <w:t>12 Dec 1978</w:t>
            </w:r>
          </w:p>
        </w:tc>
        <w:tc>
          <w:tcPr>
            <w:tcW w:w="2496" w:type="dxa"/>
          </w:tcPr>
          <w:p>
            <w:pPr>
              <w:pStyle w:val="nTable"/>
              <w:spacing w:before="60" w:after="60"/>
              <w:rPr>
                <w:vertAlign w:val="superscript"/>
              </w:rPr>
            </w:pPr>
            <w:r>
              <w:t xml:space="preserve">Act other than s. 11: 5 Oct 1979 (see s. 2 and </w:t>
            </w:r>
            <w:r>
              <w:rPr>
                <w:i/>
              </w:rPr>
              <w:t>Gazette</w:t>
            </w:r>
            <w:r>
              <w:t xml:space="preserve"> 5 Oct 1979 p. 3079)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 xml:space="preserve">Acts Amendment (Traffic Board) Act 1981 </w:t>
            </w:r>
            <w:r>
              <w:t>Pt. VII</w:t>
            </w:r>
          </w:p>
        </w:tc>
        <w:tc>
          <w:tcPr>
            <w:tcW w:w="1134" w:type="dxa"/>
          </w:tcPr>
          <w:p>
            <w:pPr>
              <w:pStyle w:val="nTable"/>
              <w:spacing w:before="60" w:after="60"/>
            </w:pPr>
            <w:r>
              <w:t>106 of 1981</w:t>
            </w:r>
          </w:p>
        </w:tc>
        <w:tc>
          <w:tcPr>
            <w:tcW w:w="1134" w:type="dxa"/>
          </w:tcPr>
          <w:p>
            <w:pPr>
              <w:pStyle w:val="nTable"/>
              <w:spacing w:before="60" w:after="60"/>
            </w:pPr>
            <w:r>
              <w:t>4 Dec 1981</w:t>
            </w:r>
          </w:p>
        </w:tc>
        <w:tc>
          <w:tcPr>
            <w:tcW w:w="2496" w:type="dxa"/>
          </w:tcPr>
          <w:p>
            <w:pPr>
              <w:pStyle w:val="nTable"/>
              <w:spacing w:before="60" w:after="60"/>
            </w:pPr>
            <w:r>
              <w:t xml:space="preserve">2 Feb 1982 (see s. 2 and </w:t>
            </w:r>
            <w:r>
              <w:rPr>
                <w:i/>
              </w:rPr>
              <w:t>Gazette</w:t>
            </w:r>
            <w:r>
              <w:t xml:space="preserve"> 2 Feb 1982 p. 393)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 xml:space="preserve">Acts Amendment and Repeal (Credit) Act 1984 </w:t>
            </w:r>
            <w:r>
              <w:t>Pt. III</w:t>
            </w:r>
          </w:p>
        </w:tc>
        <w:tc>
          <w:tcPr>
            <w:tcW w:w="1134" w:type="dxa"/>
          </w:tcPr>
          <w:p>
            <w:pPr>
              <w:pStyle w:val="nTable"/>
              <w:spacing w:before="60" w:after="60"/>
            </w:pPr>
            <w:r>
              <w:t>102 of 1984</w:t>
            </w:r>
          </w:p>
        </w:tc>
        <w:tc>
          <w:tcPr>
            <w:tcW w:w="1134" w:type="dxa"/>
          </w:tcPr>
          <w:p>
            <w:pPr>
              <w:pStyle w:val="nTable"/>
              <w:spacing w:before="60" w:after="60"/>
            </w:pPr>
            <w:r>
              <w:t>19 Dec 1984</w:t>
            </w:r>
          </w:p>
        </w:tc>
        <w:tc>
          <w:tcPr>
            <w:tcW w:w="2496" w:type="dxa"/>
          </w:tcPr>
          <w:p>
            <w:pPr>
              <w:pStyle w:val="nTable"/>
              <w:spacing w:before="60" w:after="60"/>
            </w:pPr>
            <w:r>
              <w:t xml:space="preserve">31 Mar 1985 (see s. 2 and </w:t>
            </w:r>
            <w:r>
              <w:rPr>
                <w:i/>
              </w:rPr>
              <w:t>Gazette</w:t>
            </w:r>
            <w:r>
              <w:t xml:space="preserve"> 8 Mar 1985 p. 867)</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Control of Vehicles (Off</w:t>
            </w:r>
            <w:r>
              <w:rPr>
                <w:i/>
              </w:rPr>
              <w:noBreakHyphen/>
              <w:t>road Areas) Amendment Act 1985</w:t>
            </w:r>
          </w:p>
        </w:tc>
        <w:tc>
          <w:tcPr>
            <w:tcW w:w="1134" w:type="dxa"/>
          </w:tcPr>
          <w:p>
            <w:pPr>
              <w:pStyle w:val="nTable"/>
              <w:spacing w:before="60" w:after="60"/>
            </w:pPr>
            <w:r>
              <w:t>12 of 1985</w:t>
            </w:r>
          </w:p>
        </w:tc>
        <w:tc>
          <w:tcPr>
            <w:tcW w:w="1134" w:type="dxa"/>
          </w:tcPr>
          <w:p>
            <w:pPr>
              <w:pStyle w:val="nTable"/>
              <w:spacing w:before="60" w:after="60"/>
            </w:pPr>
            <w:r>
              <w:t>12 Apr 1985</w:t>
            </w:r>
          </w:p>
        </w:tc>
        <w:tc>
          <w:tcPr>
            <w:tcW w:w="2496" w:type="dxa"/>
          </w:tcPr>
          <w:p>
            <w:pPr>
              <w:pStyle w:val="nTable"/>
              <w:spacing w:before="60" w:after="60"/>
            </w:pPr>
            <w:r>
              <w:t>s. 1 and 2: 12 Apr 1985;</w:t>
            </w:r>
            <w:r>
              <w:br/>
              <w:t xml:space="preserve">Act other than s. 1 and 2: 1 Dec 1985 (see s. 2 and </w:t>
            </w:r>
            <w:r>
              <w:rPr>
                <w:i/>
              </w:rPr>
              <w:t>Gazette</w:t>
            </w:r>
            <w:r>
              <w:t xml:space="preserve"> 1 Nov 1985 p. 4189)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Control of Vehicles (Off</w:t>
            </w:r>
            <w:r>
              <w:rPr>
                <w:i/>
              </w:rPr>
              <w:noBreakHyphen/>
              <w:t>road Areas) Amendment Act 1986</w:t>
            </w:r>
          </w:p>
        </w:tc>
        <w:tc>
          <w:tcPr>
            <w:tcW w:w="1134" w:type="dxa"/>
          </w:tcPr>
          <w:p>
            <w:pPr>
              <w:pStyle w:val="nTable"/>
              <w:spacing w:before="60" w:after="60"/>
            </w:pPr>
            <w:r>
              <w:t>56 of 1986</w:t>
            </w:r>
          </w:p>
        </w:tc>
        <w:tc>
          <w:tcPr>
            <w:tcW w:w="1134" w:type="dxa"/>
          </w:tcPr>
          <w:p>
            <w:pPr>
              <w:pStyle w:val="nTable"/>
              <w:spacing w:before="60" w:after="60"/>
            </w:pPr>
            <w:r>
              <w:t>26 Nov 1986</w:t>
            </w:r>
          </w:p>
        </w:tc>
        <w:tc>
          <w:tcPr>
            <w:tcW w:w="2496" w:type="dxa"/>
          </w:tcPr>
          <w:p>
            <w:pPr>
              <w:pStyle w:val="nTable"/>
              <w:spacing w:before="60" w:after="60"/>
            </w:pPr>
            <w:r>
              <w:t>s. 1 and 2: 26 Nov 1986;</w:t>
            </w:r>
            <w:r>
              <w:br/>
              <w:t xml:space="preserve">Act other than s. 1 and 2: 15 May 1987 (see s. 2 and </w:t>
            </w:r>
            <w:r>
              <w:rPr>
                <w:i/>
              </w:rPr>
              <w:t>Gazette</w:t>
            </w:r>
            <w:r>
              <w:t xml:space="preserve"> 15 May 1987 p. 2119)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Guardianship and Administration Act 1990</w:t>
            </w:r>
            <w:r>
              <w:t xml:space="preserve"> s. 123</w:t>
            </w:r>
          </w:p>
        </w:tc>
        <w:tc>
          <w:tcPr>
            <w:tcW w:w="1134" w:type="dxa"/>
          </w:tcPr>
          <w:p>
            <w:pPr>
              <w:pStyle w:val="nTable"/>
              <w:spacing w:before="60" w:after="60"/>
            </w:pPr>
            <w:r>
              <w:t>24 of 1990</w:t>
            </w:r>
          </w:p>
        </w:tc>
        <w:tc>
          <w:tcPr>
            <w:tcW w:w="1134" w:type="dxa"/>
          </w:tcPr>
          <w:p>
            <w:pPr>
              <w:pStyle w:val="nTable"/>
              <w:spacing w:before="60" w:after="60"/>
            </w:pPr>
            <w:r>
              <w:t>7 Sep 1990</w:t>
            </w:r>
          </w:p>
        </w:tc>
        <w:tc>
          <w:tcPr>
            <w:tcW w:w="2496" w:type="dxa"/>
          </w:tcPr>
          <w:p>
            <w:pPr>
              <w:pStyle w:val="nTable"/>
              <w:spacing w:before="60" w:after="6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Acts Amendment (Public Sector Management) Act 1994</w:t>
            </w:r>
            <w:r>
              <w:t xml:space="preserve"> s. 3(1)</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496" w:type="dxa"/>
          </w:tcPr>
          <w:p>
            <w:pPr>
              <w:pStyle w:val="nTable"/>
              <w:spacing w:before="60" w:after="6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Fish Resources Management Act 1994</w:t>
            </w:r>
            <w:r>
              <w:t xml:space="preserve"> s. 264</w:t>
            </w:r>
          </w:p>
        </w:tc>
        <w:tc>
          <w:tcPr>
            <w:tcW w:w="1134" w:type="dxa"/>
          </w:tcPr>
          <w:p>
            <w:pPr>
              <w:pStyle w:val="nTable"/>
              <w:spacing w:before="60" w:after="60"/>
            </w:pPr>
            <w:r>
              <w:t>53 of 1994</w:t>
            </w:r>
          </w:p>
        </w:tc>
        <w:tc>
          <w:tcPr>
            <w:tcW w:w="1134" w:type="dxa"/>
          </w:tcPr>
          <w:p>
            <w:pPr>
              <w:pStyle w:val="nTable"/>
              <w:spacing w:before="60" w:after="60"/>
            </w:pPr>
            <w:r>
              <w:t>2 Nov 1994</w:t>
            </w:r>
          </w:p>
        </w:tc>
        <w:tc>
          <w:tcPr>
            <w:tcW w:w="2496" w:type="dxa"/>
          </w:tcPr>
          <w:p>
            <w:pPr>
              <w:pStyle w:val="nTable"/>
              <w:spacing w:before="60" w:after="60"/>
            </w:pPr>
            <w:r>
              <w:t xml:space="preserve">1 Oct 1995 (see s.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Planning Legislation Amendment Act (No. 2) 1994</w:t>
            </w:r>
            <w:r>
              <w:t xml:space="preserve"> s. 46(6)</w:t>
            </w:r>
          </w:p>
        </w:tc>
        <w:tc>
          <w:tcPr>
            <w:tcW w:w="1134" w:type="dxa"/>
          </w:tcPr>
          <w:p>
            <w:pPr>
              <w:pStyle w:val="nTable"/>
              <w:spacing w:before="60" w:after="60"/>
            </w:pPr>
            <w:r>
              <w:t>84 of 1994</w:t>
            </w:r>
          </w:p>
        </w:tc>
        <w:tc>
          <w:tcPr>
            <w:tcW w:w="1134" w:type="dxa"/>
          </w:tcPr>
          <w:p>
            <w:pPr>
              <w:pStyle w:val="nTable"/>
              <w:spacing w:before="60" w:after="60"/>
            </w:pPr>
            <w:r>
              <w:t>13 Jan 1995</w:t>
            </w:r>
          </w:p>
        </w:tc>
        <w:tc>
          <w:tcPr>
            <w:tcW w:w="2496" w:type="dxa"/>
          </w:tcPr>
          <w:p>
            <w:pPr>
              <w:pStyle w:val="nTable"/>
              <w:spacing w:before="60" w:after="6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lastRenderedPageBreak/>
              <w:t>Aboriginal Heritage Amendment Act 1995</w:t>
            </w:r>
            <w:r>
              <w:t xml:space="preserve"> s. 53</w:t>
            </w:r>
          </w:p>
        </w:tc>
        <w:tc>
          <w:tcPr>
            <w:tcW w:w="1134" w:type="dxa"/>
          </w:tcPr>
          <w:p>
            <w:pPr>
              <w:pStyle w:val="nTable"/>
              <w:keepNext/>
              <w:spacing w:before="60" w:after="60"/>
            </w:pPr>
            <w:r>
              <w:t>24 of 1995</w:t>
            </w:r>
          </w:p>
        </w:tc>
        <w:tc>
          <w:tcPr>
            <w:tcW w:w="1134" w:type="dxa"/>
          </w:tcPr>
          <w:p>
            <w:pPr>
              <w:pStyle w:val="nTable"/>
              <w:keepNext/>
              <w:spacing w:before="60" w:after="60"/>
            </w:pPr>
            <w:r>
              <w:t>30 Jun 1995</w:t>
            </w:r>
          </w:p>
        </w:tc>
        <w:tc>
          <w:tcPr>
            <w:tcW w:w="2496" w:type="dxa"/>
          </w:tcPr>
          <w:p>
            <w:pPr>
              <w:pStyle w:val="nTable"/>
              <w:keepNext/>
              <w:spacing w:before="60" w:after="60"/>
            </w:pPr>
            <w:r>
              <w:t>1 Jul 1995 (see s.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Sentencing (Consequential Provisions) Act 1995</w:t>
            </w:r>
            <w:r>
              <w:t xml:space="preserve"> Pt. 14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496" w:type="dxa"/>
          </w:tcPr>
          <w:p>
            <w:pPr>
              <w:pStyle w:val="nTable"/>
              <w:spacing w:before="60" w:after="6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496" w:type="dxa"/>
          </w:tcPr>
          <w:p>
            <w:pPr>
              <w:pStyle w:val="nTable"/>
              <w:spacing w:before="60" w:after="60"/>
            </w:pPr>
            <w:r>
              <w:t>1 Jul 1996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Consumer Credit (Western Australia) Act 1996</w:t>
            </w:r>
            <w:r>
              <w:t xml:space="preserve"> s. 13</w:t>
            </w:r>
          </w:p>
        </w:tc>
        <w:tc>
          <w:tcPr>
            <w:tcW w:w="1134" w:type="dxa"/>
          </w:tcPr>
          <w:p>
            <w:pPr>
              <w:pStyle w:val="nTable"/>
              <w:spacing w:before="60" w:after="60"/>
            </w:pPr>
            <w:r>
              <w:t>30 of 1996</w:t>
            </w:r>
          </w:p>
        </w:tc>
        <w:tc>
          <w:tcPr>
            <w:tcW w:w="1134" w:type="dxa"/>
          </w:tcPr>
          <w:p>
            <w:pPr>
              <w:pStyle w:val="nTable"/>
              <w:spacing w:before="60" w:after="60"/>
            </w:pPr>
            <w:r>
              <w:t>10 Sep 1996</w:t>
            </w:r>
          </w:p>
        </w:tc>
        <w:tc>
          <w:tcPr>
            <w:tcW w:w="2496" w:type="dxa"/>
          </w:tcPr>
          <w:p>
            <w:pPr>
              <w:pStyle w:val="nTable"/>
              <w:spacing w:before="60" w:after="60"/>
            </w:pPr>
            <w:r>
              <w:t>1 Nov 1996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496" w:type="dxa"/>
          </w:tcPr>
          <w:p>
            <w:pPr>
              <w:pStyle w:val="nTable"/>
              <w:spacing w:before="60" w:after="60"/>
            </w:pPr>
            <w:r>
              <w:t>25 Oct 1996 (see s. 2(1))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Road Traffic Amendment Act 1996</w:t>
            </w:r>
            <w:r>
              <w:t xml:space="preserve"> Pt. 3 Div. 2</w:t>
            </w:r>
          </w:p>
        </w:tc>
        <w:tc>
          <w:tcPr>
            <w:tcW w:w="1134" w:type="dxa"/>
          </w:tcPr>
          <w:p>
            <w:pPr>
              <w:pStyle w:val="nTable"/>
              <w:spacing w:before="60" w:after="60"/>
            </w:pPr>
            <w:r>
              <w:t>76 of 1996</w:t>
            </w:r>
          </w:p>
        </w:tc>
        <w:tc>
          <w:tcPr>
            <w:tcW w:w="1134" w:type="dxa"/>
          </w:tcPr>
          <w:p>
            <w:pPr>
              <w:pStyle w:val="nTable"/>
              <w:spacing w:before="60" w:after="60"/>
            </w:pPr>
            <w:r>
              <w:t>14 Nov 1996</w:t>
            </w:r>
          </w:p>
        </w:tc>
        <w:tc>
          <w:tcPr>
            <w:tcW w:w="2496" w:type="dxa"/>
          </w:tcPr>
          <w:p>
            <w:pPr>
              <w:pStyle w:val="nTable"/>
              <w:spacing w:before="60" w:after="6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Acts Amendment (Land Administration) Act 1997</w:t>
            </w:r>
            <w:r>
              <w:t xml:space="preserve"> Pt. 15</w:t>
            </w:r>
          </w:p>
        </w:tc>
        <w:tc>
          <w:tcPr>
            <w:tcW w:w="1134" w:type="dxa"/>
          </w:tcPr>
          <w:p>
            <w:pPr>
              <w:pStyle w:val="nTable"/>
              <w:spacing w:before="60" w:after="60"/>
            </w:pPr>
            <w:r>
              <w:t>31 of 1997</w:t>
            </w:r>
          </w:p>
        </w:tc>
        <w:tc>
          <w:tcPr>
            <w:tcW w:w="1134" w:type="dxa"/>
          </w:tcPr>
          <w:p>
            <w:pPr>
              <w:pStyle w:val="nTable"/>
              <w:spacing w:before="60" w:after="60"/>
            </w:pPr>
            <w:r>
              <w:t>3 Oct 1997</w:t>
            </w:r>
          </w:p>
        </w:tc>
        <w:tc>
          <w:tcPr>
            <w:tcW w:w="2496" w:type="dxa"/>
          </w:tcPr>
          <w:p>
            <w:pPr>
              <w:pStyle w:val="nTable"/>
              <w:spacing w:before="60" w:after="6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Statutes (Repeals and Minor Amendments) Act 2000</w:t>
            </w:r>
            <w:r>
              <w:t xml:space="preserve"> s. 48</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496" w:type="dxa"/>
          </w:tcPr>
          <w:p>
            <w:pPr>
              <w:pStyle w:val="nTable"/>
              <w:spacing w:before="60" w:after="60"/>
            </w:pPr>
            <w:r>
              <w:t>4 Jul 2000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snapToGrid w:val="0"/>
              </w:rPr>
              <w:t>Road Traffic Amendment Act 2000</w:t>
            </w:r>
            <w:r>
              <w:rPr>
                <w:snapToGrid w:val="0"/>
              </w:rPr>
              <w:t xml:space="preserve"> Pt. 3 Div. 1</w:t>
            </w:r>
          </w:p>
        </w:tc>
        <w:tc>
          <w:tcPr>
            <w:tcW w:w="1134" w:type="dxa"/>
          </w:tcPr>
          <w:p>
            <w:pPr>
              <w:pStyle w:val="nTable"/>
              <w:spacing w:before="60" w:after="60"/>
            </w:pPr>
            <w:r>
              <w:t>39 of 2000</w:t>
            </w:r>
          </w:p>
        </w:tc>
        <w:tc>
          <w:tcPr>
            <w:tcW w:w="1134" w:type="dxa"/>
          </w:tcPr>
          <w:p>
            <w:pPr>
              <w:pStyle w:val="nTable"/>
              <w:spacing w:before="60" w:after="60"/>
            </w:pPr>
            <w:r>
              <w:t>10 Oct 2000</w:t>
            </w:r>
          </w:p>
        </w:tc>
        <w:tc>
          <w:tcPr>
            <w:tcW w:w="2496" w:type="dxa"/>
          </w:tcPr>
          <w:p>
            <w:pPr>
              <w:pStyle w:val="nTable"/>
              <w:spacing w:before="60" w:after="60"/>
            </w:pPr>
            <w:r>
              <w:t xml:space="preserve">1 Jan 2006 (see s. 2 and </w:t>
            </w:r>
            <w:r>
              <w:rPr>
                <w:i/>
              </w:rPr>
              <w:t xml:space="preserve">Gazette </w:t>
            </w:r>
            <w:r>
              <w:t>23 Dec 2005 p. 6244</w:t>
            </w:r>
            <w:r>
              <w:noBreakHyphen/>
              <w:t>5)</w:t>
            </w:r>
          </w:p>
        </w:tc>
      </w:tr>
      <w:tr>
        <w:tblPrEx>
          <w:tblBorders>
            <w:top w:val="none" w:sz="0" w:space="0" w:color="auto"/>
            <w:bottom w:val="none" w:sz="0" w:space="0" w:color="auto"/>
            <w:insideH w:val="none" w:sz="0" w:space="0" w:color="auto"/>
          </w:tblBorders>
        </w:tblPrEx>
        <w:tc>
          <w:tcPr>
            <w:tcW w:w="2324" w:type="dxa"/>
          </w:tcPr>
          <w:p>
            <w:pPr>
              <w:pStyle w:val="nTable"/>
              <w:spacing w:before="60" w:after="60"/>
            </w:pPr>
            <w:r>
              <w:rPr>
                <w:i/>
              </w:rPr>
              <w:t>Road Traffic Amendment (Vehicle Licensing) Act 2001</w:t>
            </w:r>
            <w:r>
              <w:t xml:space="preserve"> Pt. 3 Div. 2</w:t>
            </w:r>
          </w:p>
        </w:tc>
        <w:tc>
          <w:tcPr>
            <w:tcW w:w="1134" w:type="dxa"/>
          </w:tcPr>
          <w:p>
            <w:pPr>
              <w:pStyle w:val="nTable"/>
              <w:spacing w:before="60" w:after="60"/>
            </w:pPr>
            <w:r>
              <w:t>28 of 2001</w:t>
            </w:r>
          </w:p>
        </w:tc>
        <w:tc>
          <w:tcPr>
            <w:tcW w:w="1134" w:type="dxa"/>
          </w:tcPr>
          <w:p>
            <w:pPr>
              <w:pStyle w:val="nTable"/>
              <w:spacing w:before="60" w:after="60"/>
            </w:pPr>
            <w:r>
              <w:t>21 Dec 2001</w:t>
            </w:r>
          </w:p>
        </w:tc>
        <w:tc>
          <w:tcPr>
            <w:tcW w:w="2496" w:type="dxa"/>
          </w:tcPr>
          <w:p>
            <w:pPr>
              <w:pStyle w:val="nTable"/>
              <w:spacing w:before="60" w:after="60"/>
            </w:pPr>
            <w:r>
              <w:t xml:space="preserve">4 Dec 2006 (see s. 2 and </w:t>
            </w:r>
            <w:r>
              <w:rPr>
                <w:i/>
              </w:rPr>
              <w:t>Gazette</w:t>
            </w:r>
            <w:r>
              <w:t xml:space="preserve"> 28 Nov 2006 p. 4889)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1</w:t>
            </w:r>
          </w:p>
        </w:tc>
        <w:tc>
          <w:tcPr>
            <w:tcW w:w="1134" w:type="dxa"/>
          </w:tcPr>
          <w:p>
            <w:pPr>
              <w:pStyle w:val="nTable"/>
              <w:spacing w:before="60" w:after="60"/>
            </w:pPr>
            <w:r>
              <w:rPr>
                <w:snapToGrid w:val="0"/>
              </w:rPr>
              <w:t>7 of 2002</w:t>
            </w:r>
          </w:p>
        </w:tc>
        <w:tc>
          <w:tcPr>
            <w:tcW w:w="1134" w:type="dxa"/>
          </w:tcPr>
          <w:p>
            <w:pPr>
              <w:pStyle w:val="nTable"/>
              <w:spacing w:before="60" w:after="60"/>
            </w:pPr>
            <w:r>
              <w:t>19 Jun 2002</w:t>
            </w:r>
          </w:p>
        </w:tc>
        <w:tc>
          <w:tcPr>
            <w:tcW w:w="2496" w:type="dxa"/>
          </w:tcPr>
          <w:p>
            <w:pPr>
              <w:pStyle w:val="nTable"/>
              <w:spacing w:before="60" w:after="6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pPr>
            <w:r>
              <w:rPr>
                <w:i/>
              </w:rPr>
              <w:lastRenderedPageBreak/>
              <w:t>Environmental Protection Amendment Act 2003</w:t>
            </w:r>
            <w:r>
              <w:t xml:space="preserve"> s. 142</w:t>
            </w:r>
          </w:p>
        </w:tc>
        <w:tc>
          <w:tcPr>
            <w:tcW w:w="1134" w:type="dxa"/>
          </w:tcPr>
          <w:p>
            <w:pPr>
              <w:pStyle w:val="nTable"/>
              <w:spacing w:before="60" w:after="60"/>
            </w:pPr>
            <w:r>
              <w:t>54 of 2003</w:t>
            </w:r>
          </w:p>
        </w:tc>
        <w:tc>
          <w:tcPr>
            <w:tcW w:w="1134" w:type="dxa"/>
          </w:tcPr>
          <w:p>
            <w:pPr>
              <w:pStyle w:val="nTable"/>
              <w:spacing w:before="60" w:after="60"/>
            </w:pPr>
            <w:r>
              <w:t>20 Oct 2003</w:t>
            </w:r>
          </w:p>
        </w:tc>
        <w:tc>
          <w:tcPr>
            <w:tcW w:w="2496" w:type="dxa"/>
          </w:tcPr>
          <w:p>
            <w:pPr>
              <w:pStyle w:val="nTable"/>
              <w:spacing w:before="60" w:after="60"/>
            </w:pPr>
            <w:r>
              <w:t xml:space="preserve">19 Nov 2003 (see s. 2 and </w:t>
            </w:r>
            <w:r>
              <w:rPr>
                <w:i/>
              </w:rPr>
              <w:t>Gazette</w:t>
            </w:r>
            <w:r>
              <w:t xml:space="preserve"> 18 Nov 2003 p. 4723)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rPr>
            </w:pPr>
            <w:r>
              <w:rPr>
                <w:i/>
              </w:rPr>
              <w:t xml:space="preserve">Local Government Amendment Act 2004 </w:t>
            </w:r>
            <w:r>
              <w:t>s. 13</w:t>
            </w:r>
          </w:p>
        </w:tc>
        <w:tc>
          <w:tcPr>
            <w:tcW w:w="1134" w:type="dxa"/>
          </w:tcPr>
          <w:p>
            <w:pPr>
              <w:pStyle w:val="nTable"/>
              <w:spacing w:before="60" w:after="60"/>
            </w:pPr>
            <w:r>
              <w:rPr>
                <w:snapToGrid w:val="0"/>
              </w:rPr>
              <w:t>49 of 2004</w:t>
            </w:r>
          </w:p>
        </w:tc>
        <w:tc>
          <w:tcPr>
            <w:tcW w:w="1134" w:type="dxa"/>
          </w:tcPr>
          <w:p>
            <w:pPr>
              <w:pStyle w:val="nTable"/>
              <w:spacing w:before="60" w:after="60"/>
            </w:pPr>
            <w:r>
              <w:t>12 Nov 2004</w:t>
            </w:r>
          </w:p>
        </w:tc>
        <w:tc>
          <w:tcPr>
            <w:tcW w:w="2496" w:type="dxa"/>
          </w:tcPr>
          <w:p>
            <w:pPr>
              <w:pStyle w:val="nTable"/>
              <w:spacing w:before="60" w:after="60"/>
            </w:pPr>
            <w:r>
              <w:t xml:space="preserve">1 Apr 2005 (see s. 2 and </w:t>
            </w:r>
            <w:r>
              <w:rPr>
                <w:i/>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2</w:t>
            </w:r>
          </w:p>
        </w:tc>
        <w:tc>
          <w:tcPr>
            <w:tcW w:w="1134" w:type="dxa"/>
          </w:tcPr>
          <w:p>
            <w:pPr>
              <w:pStyle w:val="nTable"/>
              <w:spacing w:before="60" w:after="60"/>
            </w:pPr>
            <w:r>
              <w:rPr>
                <w:snapToGrid w:val="0"/>
              </w:rPr>
              <w:t>59 of 2004 (as amended by No. 2 of 2008 s. 77(13))</w:t>
            </w:r>
          </w:p>
        </w:tc>
        <w:tc>
          <w:tcPr>
            <w:tcW w:w="1134" w:type="dxa"/>
          </w:tcPr>
          <w:p>
            <w:pPr>
              <w:pStyle w:val="nTable"/>
              <w:spacing w:before="60" w:after="60"/>
            </w:pPr>
            <w:r>
              <w:t>23 Nov 2004</w:t>
            </w:r>
          </w:p>
        </w:tc>
        <w:tc>
          <w:tcPr>
            <w:tcW w:w="2496" w:type="dxa"/>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3</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496" w:type="dxa"/>
          </w:tcPr>
          <w:p>
            <w:pPr>
              <w:pStyle w:val="nTable"/>
              <w:spacing w:before="60" w:after="6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496"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tcPr>
          <w:p>
            <w:pPr>
              <w:pStyle w:val="nTable"/>
              <w:spacing w:before="60" w:after="60"/>
              <w:rPr>
                <w:snapToGrid w:val="0"/>
              </w:rPr>
            </w:pPr>
            <w:r>
              <w:rPr>
                <w:snapToGrid w:val="0"/>
              </w:rPr>
              <w:t>38 of 2005</w:t>
            </w:r>
          </w:p>
        </w:tc>
        <w:tc>
          <w:tcPr>
            <w:tcW w:w="1134" w:type="dxa"/>
          </w:tcPr>
          <w:p>
            <w:pPr>
              <w:pStyle w:val="nTable"/>
              <w:spacing w:before="60" w:after="60"/>
            </w:pPr>
            <w:r>
              <w:t>12 Dec 2005</w:t>
            </w:r>
          </w:p>
        </w:tc>
        <w:tc>
          <w:tcPr>
            <w:tcW w:w="2496" w:type="dxa"/>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496" w:type="dxa"/>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Land Information Authority Act 2006</w:t>
            </w:r>
            <w:r>
              <w:rPr>
                <w:snapToGrid w:val="0"/>
              </w:rPr>
              <w:t xml:space="preserve"> s. 128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496"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 xml:space="preserve">Financial Legislation Amendment and Repeal Act 2006 </w:t>
            </w:r>
            <w:r>
              <w:rPr>
                <w:iCs/>
                <w:snapToGrid w:val="0"/>
              </w:rPr>
              <w:t>Sch. 1 cl. 34</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rPr>
                <w:snapToGrid w:val="0"/>
              </w:rPr>
            </w:pPr>
            <w:r>
              <w:rPr>
                <w:snapToGrid w:val="0"/>
              </w:rPr>
              <w:t>21 Dec 2006</w:t>
            </w:r>
          </w:p>
        </w:tc>
        <w:tc>
          <w:tcPr>
            <w:tcW w:w="2496" w:type="dxa"/>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ind w:right="113"/>
              <w:rPr>
                <w:iCs/>
              </w:rPr>
            </w:pPr>
            <w:r>
              <w:rPr>
                <w:i/>
              </w:rPr>
              <w:lastRenderedPageBreak/>
              <w:t>Statutes (Repeals and Miscellaneous Amendments) Act 2009</w:t>
            </w:r>
            <w:r>
              <w:rPr>
                <w:iCs/>
              </w:rPr>
              <w:t xml:space="preserve"> s. 40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496"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Cs/>
                <w:snapToGrid w:val="0"/>
              </w:rPr>
            </w:pPr>
            <w:r>
              <w:rPr>
                <w:i/>
                <w:snapToGrid w:val="0"/>
              </w:rPr>
              <w:t>Acts Amendment (Bankruptcy) Act 2009</w:t>
            </w:r>
            <w:r>
              <w:rPr>
                <w:iCs/>
                <w:snapToGrid w:val="0"/>
              </w:rPr>
              <w:t xml:space="preserve"> s. 22</w:t>
            </w:r>
          </w:p>
        </w:tc>
        <w:tc>
          <w:tcPr>
            <w:tcW w:w="1134" w:type="dxa"/>
          </w:tcPr>
          <w:p>
            <w:pPr>
              <w:pStyle w:val="nTable"/>
              <w:spacing w:after="40"/>
            </w:pPr>
            <w:r>
              <w:t>18 of 2009</w:t>
            </w:r>
          </w:p>
        </w:tc>
        <w:tc>
          <w:tcPr>
            <w:tcW w:w="1134" w:type="dxa"/>
          </w:tcPr>
          <w:p>
            <w:pPr>
              <w:pStyle w:val="nTable"/>
              <w:spacing w:after="40"/>
            </w:pPr>
            <w:r>
              <w:t>16 Sep 2009</w:t>
            </w:r>
          </w:p>
        </w:tc>
        <w:tc>
          <w:tcPr>
            <w:tcW w:w="2496"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
                <w:snapToGrid w:val="0"/>
              </w:rPr>
            </w:pPr>
            <w:r>
              <w:rPr>
                <w:i/>
                <w:snapToGrid w:val="0"/>
              </w:rPr>
              <w:t>Approvals and Related Reforms (No. 4) (Planning) Act 2010</w:t>
            </w:r>
            <w:r>
              <w:t xml:space="preserve"> s. 29</w:t>
            </w:r>
          </w:p>
        </w:tc>
        <w:tc>
          <w:tcPr>
            <w:tcW w:w="1134" w:type="dxa"/>
          </w:tcPr>
          <w:p>
            <w:pPr>
              <w:pStyle w:val="nTable"/>
              <w:spacing w:after="40"/>
            </w:pPr>
            <w:r>
              <w:rPr>
                <w:snapToGrid w:val="0"/>
              </w:rPr>
              <w:t>28 of 2010</w:t>
            </w:r>
          </w:p>
        </w:tc>
        <w:tc>
          <w:tcPr>
            <w:tcW w:w="1134" w:type="dxa"/>
          </w:tcPr>
          <w:p>
            <w:pPr>
              <w:pStyle w:val="nTable"/>
              <w:spacing w:after="40"/>
            </w:pPr>
            <w:r>
              <w:rPr>
                <w:snapToGrid w:val="0"/>
              </w:rPr>
              <w:t>19 Aug 2010</w:t>
            </w:r>
          </w:p>
        </w:tc>
        <w:tc>
          <w:tcPr>
            <w:tcW w:w="2496" w:type="dxa"/>
          </w:tcPr>
          <w:p>
            <w:pPr>
              <w:pStyle w:val="nTable"/>
              <w:spacing w:after="40"/>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
                <w:snapToGrid w:val="0"/>
              </w:rPr>
            </w:pPr>
            <w:r>
              <w:rPr>
                <w:i/>
                <w:snapToGrid w:val="0"/>
              </w:rPr>
              <w:t xml:space="preserve">Road Traffic Legislation Amendment Act 2012 </w:t>
            </w:r>
            <w:r>
              <w:rPr>
                <w:snapToGrid w:val="0"/>
              </w:rPr>
              <w:t>Pt. 4 Div. 10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496"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r>
        <w:trPr>
          <w:cantSplit/>
        </w:trPr>
        <w:tc>
          <w:tcPr>
            <w:tcW w:w="2324" w:type="dxa"/>
            <w:tcBorders>
              <w:top w:val="nil"/>
              <w:bottom w:val="nil"/>
            </w:tcBorders>
          </w:tcPr>
          <w:p>
            <w:pPr>
              <w:pStyle w:val="nTable"/>
              <w:spacing w:after="40"/>
            </w:pPr>
            <w:r>
              <w:rPr>
                <w:i/>
                <w:snapToGrid w:val="0"/>
              </w:rPr>
              <w:t>Local Government Legislation Amendment Act 2019</w:t>
            </w:r>
            <w:r>
              <w:rPr>
                <w:snapToGrid w:val="0"/>
              </w:rPr>
              <w:t xml:space="preserve"> Pt. 4 Div. 4</w:t>
            </w:r>
          </w:p>
        </w:tc>
        <w:tc>
          <w:tcPr>
            <w:tcW w:w="1134" w:type="dxa"/>
            <w:tcBorders>
              <w:top w:val="nil"/>
              <w:bottom w:val="nil"/>
            </w:tcBorders>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496" w:type="dxa"/>
            <w:tcBorders>
              <w:top w:val="nil"/>
              <w:bottom w:val="nil"/>
            </w:tcBorders>
            <w:shd w:val="clear" w:color="auto" w:fill="auto"/>
          </w:tcPr>
          <w:p>
            <w:pPr>
              <w:pStyle w:val="nTable"/>
              <w:spacing w:after="40"/>
            </w:pPr>
            <w:r>
              <w:t>7 Nov 2020 (see s. 2(b) and SL 2020/212 cl. 2)</w:t>
            </w:r>
          </w:p>
        </w:tc>
      </w:tr>
      <w:tr>
        <w:trPr>
          <w:cantSplit/>
        </w:trPr>
        <w:tc>
          <w:tcPr>
            <w:tcW w:w="2324" w:type="dxa"/>
            <w:tcBorders>
              <w:top w:val="nil"/>
              <w:bottom w:val="nil"/>
            </w:tcBorders>
          </w:tcPr>
          <w:p>
            <w:pPr>
              <w:pStyle w:val="nTable"/>
              <w:spacing w:after="40"/>
              <w:rPr>
                <w:i/>
                <w:snapToGrid w:val="0"/>
              </w:rPr>
            </w:pPr>
            <w:r>
              <w:rPr>
                <w:i/>
                <w:snapToGrid w:val="0"/>
              </w:rPr>
              <w:t>Swan Valley Planning Act 2020</w:t>
            </w:r>
            <w:r>
              <w:rPr>
                <w:snapToGrid w:val="0"/>
              </w:rPr>
              <w:t xml:space="preserve"> Pt. 10 Div. 1</w:t>
            </w:r>
          </w:p>
        </w:tc>
        <w:tc>
          <w:tcPr>
            <w:tcW w:w="1134" w:type="dxa"/>
            <w:tcBorders>
              <w:top w:val="nil"/>
              <w:bottom w:val="nil"/>
            </w:tcBorders>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496" w:type="dxa"/>
            <w:tcBorders>
              <w:top w:val="nil"/>
              <w:bottom w:val="nil"/>
            </w:tcBorders>
            <w:shd w:val="clear" w:color="auto" w:fill="auto"/>
          </w:tcPr>
          <w:p>
            <w:pPr>
              <w:pStyle w:val="nTable"/>
              <w:spacing w:after="40"/>
            </w:pPr>
            <w:r>
              <w:rPr>
                <w:snapToGrid w:val="0"/>
              </w:rPr>
              <w:t>1 Aug 2021 (see s. 2(1)(e) and SL 2021/124 cl. 2)</w:t>
            </w:r>
          </w:p>
        </w:tc>
      </w:tr>
      <w:tr>
        <w:trPr>
          <w:cantSplit/>
        </w:trPr>
        <w:tc>
          <w:tcPr>
            <w:tcW w:w="2324" w:type="dxa"/>
            <w:tcBorders>
              <w:top w:val="nil"/>
              <w:bottom w:val="nil"/>
            </w:tcBorders>
          </w:tcPr>
          <w:p>
            <w:pPr>
              <w:pStyle w:val="nTable"/>
              <w:spacing w:after="40"/>
              <w:rPr>
                <w:i/>
                <w:snapToGrid w:val="0"/>
              </w:rPr>
            </w:pPr>
            <w:r>
              <w:rPr>
                <w:i/>
              </w:rPr>
              <w:t>Aboriginal Cultural Heritage Act 2021</w:t>
            </w:r>
            <w:r>
              <w:t xml:space="preserve"> s. 345</w:t>
            </w:r>
          </w:p>
        </w:tc>
        <w:tc>
          <w:tcPr>
            <w:tcW w:w="1134" w:type="dxa"/>
            <w:tcBorders>
              <w:top w:val="nil"/>
              <w:bottom w:val="nil"/>
            </w:tcBorders>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496" w:type="dxa"/>
            <w:tcBorders>
              <w:top w:val="nil"/>
              <w:bottom w:val="nil"/>
            </w:tcBorders>
            <w:shd w:val="clear" w:color="auto" w:fill="auto"/>
          </w:tcPr>
          <w:p>
            <w:pPr>
              <w:pStyle w:val="nTable"/>
              <w:spacing w:after="40"/>
              <w:rPr>
                <w:snapToGrid w:val="0"/>
              </w:rPr>
            </w:pPr>
            <w:r>
              <w:t>1 Jul 2023 (see s. 2(e) and SL 2023/40 cl. 2(b))</w:t>
            </w:r>
          </w:p>
        </w:tc>
      </w:tr>
      <w:tr>
        <w:tblPrEx>
          <w:tblBorders>
            <w:top w:val="none" w:sz="0" w:space="0" w:color="auto"/>
            <w:bottom w:val="none" w:sz="0" w:space="0" w:color="auto"/>
            <w:insideH w:val="none" w:sz="0" w:space="0" w:color="auto"/>
          </w:tblBorders>
        </w:tblPrEx>
        <w:trPr>
          <w:cantSplit/>
        </w:trPr>
        <w:tc>
          <w:tcPr>
            <w:tcW w:w="2324" w:type="dxa"/>
            <w:tcBorders>
              <w:bottom w:val="single" w:sz="4" w:space="0" w:color="auto"/>
            </w:tcBorders>
          </w:tcPr>
          <w:p>
            <w:pPr>
              <w:pStyle w:val="nTable"/>
              <w:spacing w:after="40"/>
              <w:rPr>
                <w:i/>
              </w:rPr>
            </w:pPr>
            <w:r>
              <w:rPr>
                <w:i/>
                <w:snapToGrid w:val="0"/>
              </w:rPr>
              <w:t>Aboriginal Heritage Legislation Amendment and Repeal Act 2023</w:t>
            </w:r>
            <w:r>
              <w:rPr>
                <w:iCs/>
                <w:snapToGrid w:val="0"/>
              </w:rPr>
              <w:t xml:space="preserve"> s. 26</w:t>
            </w:r>
          </w:p>
        </w:tc>
        <w:tc>
          <w:tcPr>
            <w:tcW w:w="1134" w:type="dxa"/>
            <w:tcBorders>
              <w:bottom w:val="single" w:sz="4" w:space="0" w:color="auto"/>
            </w:tcBorders>
          </w:tcPr>
          <w:p>
            <w:pPr>
              <w:pStyle w:val="nTable"/>
              <w:spacing w:after="40"/>
            </w:pPr>
            <w:r>
              <w:t>23 of 2023</w:t>
            </w:r>
          </w:p>
        </w:tc>
        <w:tc>
          <w:tcPr>
            <w:tcW w:w="1134" w:type="dxa"/>
            <w:tcBorders>
              <w:bottom w:val="single" w:sz="4" w:space="0" w:color="auto"/>
            </w:tcBorders>
            <w:shd w:val="clear" w:color="auto" w:fill="auto"/>
          </w:tcPr>
          <w:p>
            <w:pPr>
              <w:pStyle w:val="nTable"/>
              <w:spacing w:after="40"/>
            </w:pPr>
            <w:r>
              <w:t>24 Oct 2023</w:t>
            </w:r>
          </w:p>
        </w:tc>
        <w:tc>
          <w:tcPr>
            <w:tcW w:w="2496" w:type="dxa"/>
            <w:tcBorders>
              <w:bottom w:val="single" w:sz="4" w:space="0" w:color="auto"/>
            </w:tcBorders>
            <w:shd w:val="clear" w:color="auto" w:fill="auto"/>
          </w:tcPr>
          <w:p>
            <w:pPr>
              <w:pStyle w:val="nTable"/>
              <w:spacing w:after="40"/>
            </w:pPr>
            <w:r>
              <w:rPr>
                <w:snapToGrid w:val="0"/>
              </w:rPr>
              <w:t>15 Nov 2023 (see s. 2(d) and SL 2023/161 cl. 2)</w:t>
            </w:r>
          </w:p>
        </w:tc>
      </w:tr>
    </w:tbl>
    <w:p>
      <w:pPr>
        <w:pStyle w:val="nHeading3"/>
      </w:pPr>
      <w:bookmarkStart w:id="62" w:name="_Toc154747879"/>
      <w:r>
        <w:t>Uncommenced provisions table</w:t>
      </w:r>
      <w:bookmarkEnd w:id="62"/>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24"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w:t>
            </w:r>
          </w:p>
        </w:tc>
        <w:tc>
          <w:tcPr>
            <w:tcW w:w="1134" w:type="dxa"/>
            <w:tcBorders>
              <w:top w:val="single" w:sz="8" w:space="0" w:color="auto"/>
              <w:bottom w:val="nil"/>
            </w:tcBorders>
          </w:tcPr>
          <w:p>
            <w:pPr>
              <w:pStyle w:val="nTable"/>
              <w:spacing w:after="40"/>
            </w:pPr>
            <w:r>
              <w:rPr>
                <w:snapToGrid w:val="0"/>
              </w:rPr>
              <w:t>117 of 1978 (as amended by No. 7 of 2002 s. 7 and No. 8 of 2012 s. 65)</w:t>
            </w:r>
          </w:p>
        </w:tc>
        <w:tc>
          <w:tcPr>
            <w:tcW w:w="1134" w:type="dxa"/>
            <w:tcBorders>
              <w:top w:val="single" w:sz="8" w:space="0" w:color="auto"/>
              <w:bottom w:val="nil"/>
            </w:tcBorders>
          </w:tcPr>
          <w:p>
            <w:pPr>
              <w:pStyle w:val="nTable"/>
              <w:spacing w:after="40"/>
            </w:pPr>
            <w:r>
              <w:t>12 Dec 1978</w:t>
            </w:r>
          </w:p>
        </w:tc>
        <w:tc>
          <w:tcPr>
            <w:tcW w:w="2524" w:type="dxa"/>
            <w:tcBorders>
              <w:top w:val="single" w:sz="8" w:space="0" w:color="auto"/>
              <w:bottom w:val="nil"/>
            </w:tcBorders>
          </w:tcPr>
          <w:p>
            <w:pPr>
              <w:pStyle w:val="nTable"/>
              <w:spacing w:after="40"/>
            </w:pPr>
            <w:r>
              <w:t>To be proclaimed (see s. 2)</w:t>
            </w:r>
          </w:p>
        </w:tc>
      </w:tr>
      <w:tr>
        <w:trPr>
          <w:cantSplit/>
        </w:trPr>
        <w:tc>
          <w:tcPr>
            <w:tcW w:w="2268" w:type="dxa"/>
            <w:tcBorders>
              <w:top w:val="nil"/>
              <w:bottom w:val="single" w:sz="4" w:space="0" w:color="auto"/>
            </w:tcBorders>
          </w:tcPr>
          <w:p>
            <w:pPr>
              <w:pStyle w:val="nTable"/>
              <w:spacing w:after="40"/>
              <w:ind w:right="113"/>
              <w:rPr>
                <w:i/>
                <w:snapToGrid w:val="0"/>
              </w:rPr>
            </w:pPr>
            <w:r>
              <w:rPr>
                <w:i/>
                <w:snapToGrid w:val="0"/>
              </w:rPr>
              <w:lastRenderedPageBreak/>
              <w:t>Aquatic Resources Management Act 2016</w:t>
            </w:r>
            <w:r>
              <w:rPr>
                <w:snapToGrid w:val="0"/>
              </w:rPr>
              <w:t xml:space="preserve"> s. 365</w:t>
            </w:r>
          </w:p>
        </w:tc>
        <w:tc>
          <w:tcPr>
            <w:tcW w:w="1134" w:type="dxa"/>
            <w:tcBorders>
              <w:top w:val="nil"/>
              <w:bottom w:val="single" w:sz="4" w:space="0" w:color="auto"/>
            </w:tcBorders>
          </w:tcPr>
          <w:p>
            <w:pPr>
              <w:pStyle w:val="nTable"/>
              <w:spacing w:after="40"/>
              <w:rPr>
                <w:snapToGrid w:val="0"/>
              </w:rPr>
            </w:pPr>
            <w:r>
              <w:t>53 of 2016</w:t>
            </w:r>
          </w:p>
        </w:tc>
        <w:tc>
          <w:tcPr>
            <w:tcW w:w="1134" w:type="dxa"/>
            <w:tcBorders>
              <w:top w:val="nil"/>
              <w:bottom w:val="single" w:sz="4" w:space="0" w:color="auto"/>
            </w:tcBorders>
          </w:tcPr>
          <w:p>
            <w:pPr>
              <w:pStyle w:val="nTable"/>
              <w:spacing w:after="40"/>
            </w:pPr>
            <w:r>
              <w:t>29 Nov 2016</w:t>
            </w:r>
          </w:p>
        </w:tc>
        <w:tc>
          <w:tcPr>
            <w:tcW w:w="2524" w:type="dxa"/>
            <w:tcBorders>
              <w:top w:val="nil"/>
              <w:bottom w:val="single" w:sz="4" w:space="0" w:color="auto"/>
            </w:tcBorders>
          </w:tcPr>
          <w:p>
            <w:pPr>
              <w:pStyle w:val="nTable"/>
              <w:spacing w:after="40"/>
            </w:pPr>
            <w:r>
              <w:rPr>
                <w:snapToGrid w:val="0"/>
              </w:rPr>
              <w:t>To be proclaimed (see s. 2(b))</w:t>
            </w:r>
          </w:p>
        </w:tc>
      </w:tr>
    </w:tbl>
    <w:p>
      <w:pPr>
        <w:pStyle w:val="nHeading3"/>
      </w:pPr>
      <w:bookmarkStart w:id="63" w:name="_Toc154747880"/>
      <w:r>
        <w:t>Other notes</w:t>
      </w:r>
      <w:bookmarkEnd w:id="63"/>
    </w:p>
    <w:p>
      <w:pPr>
        <w:pStyle w:val="nNote"/>
        <w:rPr>
          <w:snapToGrid w:val="0"/>
        </w:rPr>
      </w:pPr>
      <w:r>
        <w:rPr>
          <w:vertAlign w:val="superscript"/>
        </w:rPr>
        <w:t>1</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pPr>
        <w:pStyle w:val="nNote"/>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Note"/>
        <w:keepNext/>
        <w:keepLines/>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65" w:name="_Toc154747881"/>
      <w:r>
        <w:rPr>
          <w:sz w:val="28"/>
        </w:rPr>
        <w:lastRenderedPageBreak/>
        <w:t>Defined terms</w:t>
      </w:r>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37(5a)</w:t>
      </w:r>
    </w:p>
    <w:p>
      <w:pPr>
        <w:pStyle w:val="DefinedTerms"/>
      </w:pPr>
      <w:r>
        <w:t>authorised person</w:t>
      </w:r>
      <w:r>
        <w:tab/>
        <w:t>3(1)</w:t>
      </w:r>
    </w:p>
    <w:p>
      <w:pPr>
        <w:pStyle w:val="DefinedTerms"/>
      </w:pPr>
      <w:r>
        <w:t>certificate</w:t>
      </w:r>
      <w:r>
        <w:tab/>
        <w:t>3(1)</w:t>
      </w:r>
    </w:p>
    <w:p>
      <w:pPr>
        <w:pStyle w:val="DefinedTerms"/>
      </w:pPr>
      <w:r>
        <w:t>certificate of registration</w:t>
      </w:r>
      <w:r>
        <w:tab/>
        <w:t>3(1)</w:t>
      </w:r>
    </w:p>
    <w:p>
      <w:pPr>
        <w:pStyle w:val="DefinedTerms"/>
      </w:pPr>
      <w:r>
        <w:t>Committee</w:t>
      </w:r>
      <w:r>
        <w:tab/>
        <w:t>3(1)</w:t>
      </w:r>
    </w:p>
    <w:p>
      <w:pPr>
        <w:pStyle w:val="DefinedTerms"/>
      </w:pPr>
      <w:r>
        <w:t>Department</w:t>
      </w:r>
      <w:r>
        <w:tab/>
        <w:t>3(1)</w:t>
      </w:r>
    </w:p>
    <w:p>
      <w:pPr>
        <w:pStyle w:val="DefinedTerms"/>
      </w:pPr>
      <w:r>
        <w:t>Director General</w:t>
      </w:r>
      <w:r>
        <w:tab/>
        <w:t>3(1)</w:t>
      </w:r>
    </w:p>
    <w:p>
      <w:pPr>
        <w:pStyle w:val="DefinedTerms"/>
      </w:pPr>
      <w:r>
        <w:t>district</w:t>
      </w:r>
      <w:r>
        <w:tab/>
        <w:t>3(1)</w:t>
      </w:r>
    </w:p>
    <w:p>
      <w:pPr>
        <w:pStyle w:val="DefinedTerms"/>
      </w:pPr>
      <w:r>
        <w:t>drive</w:t>
      </w:r>
      <w:r>
        <w:tab/>
        <w:t>3(1)</w:t>
      </w:r>
    </w:p>
    <w:p>
      <w:pPr>
        <w:pStyle w:val="DefinedTerms"/>
      </w:pPr>
      <w:r>
        <w:t>driver</w:t>
      </w:r>
      <w:r>
        <w:tab/>
        <w:t>3(1)</w:t>
      </w:r>
    </w:p>
    <w:p>
      <w:pPr>
        <w:pStyle w:val="DefinedTerms"/>
      </w:pPr>
      <w:r>
        <w:t>infringement notice</w:t>
      </w:r>
      <w:r>
        <w:tab/>
        <w:t>3(1)</w:t>
      </w:r>
    </w:p>
    <w:p>
      <w:pPr>
        <w:pStyle w:val="DefinedTerms"/>
      </w:pPr>
      <w:r>
        <w:t>motor car</w:t>
      </w:r>
      <w:r>
        <w:tab/>
        <w:t>3(1)</w:t>
      </w:r>
    </w:p>
    <w:p>
      <w:pPr>
        <w:pStyle w:val="DefinedTerms"/>
      </w:pPr>
      <w:r>
        <w:t>motor cycle</w:t>
      </w:r>
      <w:r>
        <w:tab/>
        <w:t>3(1)</w:t>
      </w:r>
    </w:p>
    <w:p>
      <w:pPr>
        <w:pStyle w:val="DefinedTerms"/>
      </w:pPr>
      <w:r>
        <w:t>new owner</w:t>
      </w:r>
      <w:r>
        <w:tab/>
        <w:t>29A(4)</w:t>
      </w:r>
    </w:p>
    <w:p>
      <w:pPr>
        <w:pStyle w:val="DefinedTerms"/>
      </w:pPr>
      <w:r>
        <w:t>off</w:t>
      </w:r>
      <w:r>
        <w:noBreakHyphen/>
        <w:t>road vehicle</w:t>
      </w:r>
      <w:r>
        <w:tab/>
        <w:t>3(1)</w:t>
      </w:r>
    </w:p>
    <w:p>
      <w:pPr>
        <w:pStyle w:val="DefinedTerms"/>
      </w:pPr>
      <w:r>
        <w:t>owner</w:t>
      </w:r>
      <w:r>
        <w:tab/>
        <w:t>3(1)</w:t>
      </w:r>
    </w:p>
    <w:p>
      <w:pPr>
        <w:pStyle w:val="DefinedTerms"/>
      </w:pPr>
      <w:r>
        <w:t>permitted area</w:t>
      </w:r>
      <w:r>
        <w:tab/>
        <w:t>3(1)</w:t>
      </w:r>
    </w:p>
    <w:p>
      <w:pPr>
        <w:pStyle w:val="DefinedTerms"/>
      </w:pPr>
      <w:r>
        <w:t>private land</w:t>
      </w:r>
      <w:r>
        <w:tab/>
        <w:t>3(1)</w:t>
      </w:r>
    </w:p>
    <w:p>
      <w:pPr>
        <w:pStyle w:val="DefinedTerms"/>
      </w:pPr>
      <w:r>
        <w:t>prohibited area</w:t>
      </w:r>
      <w:r>
        <w:tab/>
        <w:t>3(1)</w:t>
      </w:r>
    </w:p>
    <w:p>
      <w:pPr>
        <w:pStyle w:val="DefinedTerms"/>
      </w:pPr>
      <w:r>
        <w:t>public authority</w:t>
      </w:r>
      <w:r>
        <w:tab/>
        <w:t>3(1)</w:t>
      </w:r>
    </w:p>
    <w:p>
      <w:pPr>
        <w:pStyle w:val="DefinedTerms"/>
      </w:pPr>
      <w:r>
        <w:t>responsible person</w:t>
      </w:r>
      <w:r>
        <w:tab/>
        <w:t>3(1)</w:t>
      </w:r>
    </w:p>
    <w:p>
      <w:pPr>
        <w:pStyle w:val="DefinedTerms"/>
      </w:pPr>
      <w:r>
        <w:t>road</w:t>
      </w:r>
      <w:r>
        <w:tab/>
        <w:t>3(1)</w:t>
      </w:r>
    </w:p>
    <w:p>
      <w:pPr>
        <w:pStyle w:val="DefinedTerms"/>
      </w:pPr>
      <w:r>
        <w:t>seat belt</w:t>
      </w:r>
      <w:r>
        <w:tab/>
        <w:t>3(1)</w:t>
      </w:r>
    </w:p>
    <w:p>
      <w:pPr>
        <w:pStyle w:val="DefinedTerms"/>
      </w:pPr>
      <w:r>
        <w:t>seat position</w:t>
      </w:r>
      <w:r>
        <w:tab/>
        <w:t>3(1)</w:t>
      </w:r>
    </w:p>
    <w:p>
      <w:pPr>
        <w:pStyle w:val="DefinedTerms"/>
      </w:pPr>
      <w:r>
        <w:t>vehicle</w:t>
      </w:r>
      <w:r>
        <w:tab/>
        <w:t>3(1)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6515B1C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BEEB2C5" w14:textId="328462D8" w:rsidR="00515B68" w:rsidRDefault="00515B6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F4D079B" w14:textId="77777777" w:rsidR="00515B68" w:rsidRDefault="00515B6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929AF8E" w14:textId="612F349F" w:rsidR="00515B68" w:rsidRDefault="00515B6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F40CA4E" w14:textId="77777777" w:rsidR="00515B68" w:rsidRDefault="00515B6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05-k0-01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05-k0-01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05-k0-01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05-k0-01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05-k0-01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05-k0-01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57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2543"/>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 w:name="WAFER_202002120902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252_GUID" w:val="d176a224-a656-4f10-bae4-27deaea8a194"/>
    <w:docVar w:name="WAFER_20201015163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3952_GUID" w:val="34538d1a-e844-42ce-9522-f06599499db0"/>
    <w:docVar w:name="WAFER_20201209152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025_GUID" w:val="4ab11dbf-f23b-4bdf-aceb-747706c2925a"/>
    <w:docVar w:name="WAFER_2021071511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458_GUID" w:val="bc85fc8e-2b36-4241-bc3c-018e24c57142"/>
    <w:docVar w:name="WAFER_20210727111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40_GUID" w:val="dfeace2a-a2ad-47cc-870f-655dd1fbb294"/>
    <w:docVar w:name="WAFER_20211221101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051_GUID" w:val="74dea2ae-d4bf-42a0-afb6-eb1028258d01"/>
    <w:docVar w:name="WAFER_20230515102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004_GUID" w:val="e3c0f9f2-acd0-46f5-b73f-ce435ac09cd6"/>
    <w:docVar w:name="WAFER_20230627105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46_GUID" w:val="67e867a9-190d-4c41-a271-85264aeebd9f"/>
    <w:docVar w:name="WAFER_20231019104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4313_GUID" w:val="2916a246-e2b6-4ae3-8fdb-6e70678032b5"/>
    <w:docVar w:name="WAFER_20231027133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3311_GUID" w:val="d2509358-79ac-47d2-aa70-8846fed9f2ac"/>
    <w:docVar w:name="WAFER_20231109113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13418_GUID" w:val="597d2481-8c9d-4dc7-bb91-c5cd1919fb05"/>
    <w:docVar w:name="WAFER_202312220925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2543_GUID" w:val="3a85aafb-46c4-4a73-b56a-174bb6b02a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5713"/>
    <o:shapelayout v:ext="edit">
      <o:idmap v:ext="edit" data="1"/>
    </o:shapelayout>
  </w:shapeDefaults>
  <w:decimalSymbol w:val="."/>
  <w:listSeparator w:val=","/>
  <w15:docId w15:val="{DA1D0AB2-1E10-4710-A941-B6C311978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17856</Words>
  <Characters>81602</Characters>
  <Application>Microsoft Office Word</Application>
  <DocSecurity>0</DocSecurity>
  <Lines>2205</Lines>
  <Paragraphs>1036</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1978 - 05-k0-01</dc:title>
  <dc:subject/>
  <dc:creator/>
  <cp:keywords/>
  <dc:description/>
  <cp:lastModifiedBy>Master Repository Process</cp:lastModifiedBy>
  <cp:revision>4</cp:revision>
  <cp:lastPrinted>2012-09-13T06:31:00Z</cp:lastPrinted>
  <dcterms:created xsi:type="dcterms:W3CDTF">2023-12-29T05:10:00Z</dcterms:created>
  <dcterms:modified xsi:type="dcterms:W3CDTF">2023-12-29T05:10:00Z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AsAtDate">
    <vt:lpwstr>15 Nov 2023</vt:lpwstr>
  </property>
  <property fmtid="{D5CDD505-2E9C-101B-9397-08002B2CF9AE}" pid="8" name="Suffix">
    <vt:lpwstr>05-k0-01</vt:lpwstr>
  </property>
  <property fmtid="{D5CDD505-2E9C-101B-9397-08002B2CF9AE}" pid="9" name="Official">
    <vt:lpwstr/>
  </property>
  <property fmtid="{D5CDD505-2E9C-101B-9397-08002B2CF9AE}" pid="10" name="CommencementDate">
    <vt:lpwstr>20231115</vt:lpwstr>
  </property>
  <property fmtid="{D5CDD505-2E9C-101B-9397-08002B2CF9AE}" pid="11" name="CommencementYear">
    <vt:lpwstr>2023</vt:lpwstr>
  </property>
</Properties>
</file>