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_Toc200115142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_Toc200115143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for licence, form of</w:t>
      </w:r>
      <w:r>
        <w:tab/>
      </w:r>
      <w:r>
        <w:fldChar w:fldCharType="begin"/>
      </w:r>
      <w:r>
        <w:instrText xml:space="preserve"> PAGEREF _Toc200115144 \h </w:instrText>
      </w:r>
      <w:r>
        <w:fldChar w:fldCharType="separate"/>
      </w:r>
      <w:r>
        <w:t>2</w:t>
      </w:r>
      <w:r>
        <w:fldChar w:fldCharType="end"/>
      </w:r>
    </w:p>
    <w:p>
      <w:pPr>
        <w:pStyle w:val="TOC8"/>
        <w:rPr>
          <w:rFonts w:asciiTheme="minorHAnsi" w:eastAsiaTheme="minorEastAsia" w:hAnsiTheme="minorHAnsi" w:cstheme="minorBidi"/>
          <w:szCs w:val="22"/>
        </w:rPr>
      </w:pPr>
      <w:r>
        <w:t>4.</w:t>
      </w:r>
      <w:r>
        <w:tab/>
        <w:t>Licence, form of</w:t>
      </w:r>
      <w:r>
        <w:tab/>
      </w:r>
      <w:r>
        <w:fldChar w:fldCharType="begin"/>
      </w:r>
      <w:r>
        <w:instrText xml:space="preserve"> PAGEREF _Toc200115145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_Toc200115146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_Toc200115147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_Toc200115148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_Toc200115149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_Toc200115150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_Toc200115151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_Toc200115152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_Toc200115153 \h </w:instrText>
      </w:r>
      <w:r>
        <w:fldChar w:fldCharType="separate"/>
      </w:r>
      <w:r>
        <w:t>6</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_Toc200115154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_Toc200115155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_Toc200115156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_Toc200115157 \h </w:instrText>
      </w:r>
      <w:r>
        <w:fldChar w:fldCharType="separate"/>
      </w:r>
      <w:r>
        <w:t>8</w:t>
      </w:r>
      <w:r>
        <w:fldChar w:fldCharType="end"/>
      </w:r>
    </w:p>
    <w:p>
      <w:pPr>
        <w:pStyle w:val="TOC2"/>
        <w:tabs>
          <w:tab w:val="right" w:pos="7077"/>
        </w:tabs>
        <w:rPr>
          <w:rFonts w:asciiTheme="minorHAnsi" w:eastAsiaTheme="minorEastAsia" w:hAnsiTheme="minorHAnsi" w:cstheme="minorBidi"/>
          <w:b w:val="0"/>
          <w:sz w:val="22"/>
          <w:szCs w:val="22"/>
        </w:rPr>
      </w:pPr>
      <w:r>
        <w:lastRenderedPageBreak/>
        <w:t>Schedule 1 — Forms</w:t>
      </w:r>
    </w:p>
    <w:p>
      <w:pPr>
        <w:pStyle w:val="TOC2"/>
        <w:tabs>
          <w:tab w:val="right" w:pos="7077"/>
        </w:tabs>
        <w:rPr>
          <w:rFonts w:asciiTheme="minorHAnsi" w:eastAsiaTheme="minorEastAsia" w:hAnsiTheme="minorHAnsi" w:cstheme="minorBidi"/>
          <w:b w:val="0"/>
          <w:sz w:val="22"/>
          <w:szCs w:val="22"/>
        </w:rPr>
      </w:pPr>
      <w:r>
        <w:t>Schedule 2 — Prescribed bodies</w:t>
      </w:r>
    </w:p>
    <w:p>
      <w:pPr>
        <w:pStyle w:val="TOC2"/>
        <w:tabs>
          <w:tab w:val="right" w:pos="7077"/>
        </w:tabs>
        <w:rPr>
          <w:rFonts w:asciiTheme="minorHAnsi" w:eastAsiaTheme="minorEastAsia" w:hAnsiTheme="minorHAnsi" w:cstheme="minorBidi"/>
          <w:b w:val="0"/>
          <w:sz w:val="22"/>
          <w:szCs w:val="22"/>
        </w:rPr>
      </w:pPr>
      <w:r>
        <w:t>Schedule 3 — Classes of vehicles</w:t>
      </w:r>
    </w:p>
    <w:p>
      <w:pPr>
        <w:pStyle w:val="TOC2"/>
        <w:tabs>
          <w:tab w:val="right" w:pos="7077"/>
        </w:tabs>
        <w:rPr>
          <w:rFonts w:asciiTheme="minorHAnsi" w:eastAsiaTheme="minorEastAsia" w:hAnsiTheme="minorHAnsi" w:cstheme="minorBidi"/>
          <w:b w:val="0"/>
          <w:sz w:val="22"/>
          <w:szCs w:val="22"/>
        </w:rPr>
      </w:pPr>
      <w:r>
        <w:t>Schedule 4 — Scope of a licence or permit</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_Toc200115163 \h </w:instrText>
      </w:r>
      <w:r>
        <w:fldChar w:fldCharType="separate"/>
      </w:r>
      <w:r>
        <w:t>19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_Toc200115164 \h </w:instrText>
      </w:r>
      <w:r>
        <w:fldChar w:fldCharType="separate"/>
      </w:r>
      <w:r>
        <w:t>24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pPr>
      <w:bookmarkStart w:id="2" w:name="_Toc200115142"/>
      <w:r>
        <w:rPr>
          <w:rStyle w:val="CharSectno"/>
        </w:rPr>
        <w:t>1</w:t>
      </w:r>
      <w:r>
        <w:t>.</w:t>
      </w:r>
      <w: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w:t>
      </w:r>
    </w:p>
    <w:p>
      <w:pPr>
        <w:pStyle w:val="Heading5"/>
      </w:pPr>
      <w:bookmarkStart w:id="3" w:name="_Toc200115143"/>
      <w:r>
        <w:rPr>
          <w:rStyle w:val="CharSectno"/>
        </w:rPr>
        <w:t>2</w:t>
      </w:r>
      <w:r>
        <w:t>.</w:t>
      </w:r>
      <w:r>
        <w:tab/>
        <w:t>Terms used</w:t>
      </w:r>
      <w:bookmarkEnd w:id="3"/>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lastRenderedPageBreak/>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Gazette 27 Apr 2001 p. 2203</w:t>
      </w:r>
      <w:r>
        <w:noBreakHyphen/>
        <w:t>4; amended: Gazette 11 Jul 2006 p. 2545; 28 Nov 2006 p. 4894; 22 Jun 2007 p. 2876; 13 Jun 2008 p. 2525; 8 Jan 2015 p. 57</w:t>
      </w:r>
      <w:r>
        <w:noBreakHyphen/>
        <w:t xml:space="preserve">8.] </w:t>
      </w:r>
    </w:p>
    <w:p>
      <w:pPr>
        <w:pStyle w:val="Heading5"/>
      </w:pPr>
      <w:bookmarkStart w:id="4" w:name="_Toc200115144"/>
      <w:r>
        <w:rPr>
          <w:rStyle w:val="CharSectno"/>
        </w:rPr>
        <w:t>3</w:t>
      </w:r>
      <w:r>
        <w:t>.</w:t>
      </w:r>
      <w:r>
        <w:tab/>
        <w:t>Application for licence, form of</w:t>
      </w:r>
      <w:bookmarkEnd w:id="4"/>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Gazette 30 Jan 2001 p. 618.]</w:t>
      </w:r>
    </w:p>
    <w:p>
      <w:pPr>
        <w:pStyle w:val="Heading5"/>
      </w:pPr>
      <w:bookmarkStart w:id="5" w:name="_Toc200115145"/>
      <w:r>
        <w:rPr>
          <w:rStyle w:val="CharSectno"/>
        </w:rPr>
        <w:lastRenderedPageBreak/>
        <w:t>4</w:t>
      </w:r>
      <w:r>
        <w:t>.</w:t>
      </w:r>
      <w:r>
        <w:tab/>
        <w:t>Licence, form of</w:t>
      </w:r>
      <w:bookmarkEnd w:id="5"/>
    </w:p>
    <w:p>
      <w:pPr>
        <w:pStyle w:val="Subsection"/>
        <w:keepNext/>
        <w:rPr>
          <w:snapToGrid w:val="0"/>
        </w:rPr>
      </w:pPr>
      <w:r>
        <w:rPr>
          <w:snapToGrid w:val="0"/>
        </w:rPr>
        <w:tab/>
      </w:r>
      <w:r>
        <w:rPr>
          <w:snapToGrid w:val="0"/>
        </w:rPr>
        <w:tab/>
        <w:t>A licence shall be in the form of Form 2 in Schedule 1.</w:t>
      </w:r>
    </w:p>
    <w:p>
      <w:pPr>
        <w:pStyle w:val="Footnotesection"/>
        <w:ind w:left="890" w:hanging="890"/>
      </w:pPr>
      <w:r>
        <w:tab/>
        <w:t>[Regulation 4 inserted: Gazette 9 Jul 1976 p. 2367; amended: Gazette 30 Jan 2001 p. 619.]</w:t>
      </w:r>
    </w:p>
    <w:p>
      <w:pPr>
        <w:pStyle w:val="Heading5"/>
        <w:rPr>
          <w:snapToGrid w:val="0"/>
        </w:rPr>
      </w:pPr>
      <w:bookmarkStart w:id="6" w:name="_Toc200115146"/>
      <w:r>
        <w:rPr>
          <w:rStyle w:val="CharSectno"/>
        </w:rPr>
        <w:t>5</w:t>
      </w:r>
      <w:r>
        <w:rPr>
          <w:snapToGrid w:val="0"/>
        </w:rPr>
        <w:t>.</w:t>
      </w:r>
      <w:r>
        <w:rPr>
          <w:snapToGrid w:val="0"/>
        </w:rPr>
        <w:tab/>
        <w:t>Medical examinations</w:t>
      </w:r>
      <w:bookmarkEnd w:id="6"/>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Gazette 30 May 1975 p. 1604; 2 Feb 1982 p. 397; 31 Jan 1997 p. 674.] </w:t>
      </w:r>
    </w:p>
    <w:p>
      <w:pPr>
        <w:pStyle w:val="Heading5"/>
        <w:rPr>
          <w:snapToGrid w:val="0"/>
        </w:rPr>
      </w:pPr>
      <w:bookmarkStart w:id="7" w:name="_Toc200115147"/>
      <w:r>
        <w:rPr>
          <w:rStyle w:val="CharSectno"/>
        </w:rPr>
        <w:t>6</w:t>
      </w:r>
      <w:r>
        <w:rPr>
          <w:snapToGrid w:val="0"/>
        </w:rPr>
        <w:t>.</w:t>
      </w:r>
      <w:r>
        <w:rPr>
          <w:snapToGrid w:val="0"/>
        </w:rPr>
        <w:tab/>
        <w:t>Expired etc. licences etc. to be delivered to Director General</w:t>
      </w:r>
      <w:bookmarkEnd w:id="7"/>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Gazette 30 May 1975 p. 1604; 2 Feb 1982 p. 397; 31 Jan 1997 p. 674.] </w:t>
      </w:r>
    </w:p>
    <w:p>
      <w:pPr>
        <w:pStyle w:val="Heading5"/>
        <w:rPr>
          <w:snapToGrid w:val="0"/>
        </w:rPr>
      </w:pPr>
      <w:bookmarkStart w:id="8" w:name="_Toc200115148"/>
      <w:r>
        <w:rPr>
          <w:rStyle w:val="CharSectno"/>
        </w:rPr>
        <w:lastRenderedPageBreak/>
        <w:t>7</w:t>
      </w:r>
      <w:r>
        <w:rPr>
          <w:snapToGrid w:val="0"/>
        </w:rPr>
        <w:t>.</w:t>
      </w:r>
      <w:r>
        <w:rPr>
          <w:snapToGrid w:val="0"/>
        </w:rPr>
        <w:tab/>
        <w:t>Change of address to be notified to Director General</w:t>
      </w:r>
      <w:bookmarkEnd w:id="8"/>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Gazette 30 May 1975 p. 1604; 2 Feb 1982 p. 397; 31 Jan 1997 p. 674.] </w:t>
      </w:r>
    </w:p>
    <w:p>
      <w:pPr>
        <w:pStyle w:val="Heading5"/>
        <w:rPr>
          <w:snapToGrid w:val="0"/>
        </w:rPr>
      </w:pPr>
      <w:bookmarkStart w:id="9" w:name="_Toc200115149"/>
      <w:r>
        <w:rPr>
          <w:rStyle w:val="CharSectno"/>
        </w:rPr>
        <w:t>8</w:t>
      </w:r>
      <w:r>
        <w:rPr>
          <w:snapToGrid w:val="0"/>
        </w:rPr>
        <w:t>.</w:t>
      </w:r>
      <w:r>
        <w:rPr>
          <w:snapToGrid w:val="0"/>
        </w:rPr>
        <w:tab/>
        <w:t>Licence etc. to be produced on request by police officer etc.</w:t>
      </w:r>
      <w:bookmarkEnd w:id="9"/>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Gazette 30 May 1975 p. 1604; 9 Jul 1976 p. 2367; 2 Feb 1982 p. 397; 11 Jul 2006 p. 2545.] </w:t>
      </w:r>
    </w:p>
    <w:p>
      <w:pPr>
        <w:pStyle w:val="Heading5"/>
        <w:rPr>
          <w:snapToGrid w:val="0"/>
        </w:rPr>
      </w:pPr>
      <w:bookmarkStart w:id="10" w:name="_Toc200115150"/>
      <w:r>
        <w:rPr>
          <w:rStyle w:val="CharSectno"/>
        </w:rPr>
        <w:t>9</w:t>
      </w:r>
      <w:r>
        <w:rPr>
          <w:snapToGrid w:val="0"/>
        </w:rPr>
        <w:t>.</w:t>
      </w:r>
      <w:r>
        <w:rPr>
          <w:snapToGrid w:val="0"/>
        </w:rPr>
        <w:tab/>
        <w:t>Replacement licence etc., issue of</w:t>
      </w:r>
      <w:bookmarkEnd w:id="10"/>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Gazette 30 May 1975 p. 1605; 2 Feb 1982 p. 397; 31 Jan 1997 p. 674.] </w:t>
      </w:r>
    </w:p>
    <w:p>
      <w:pPr>
        <w:pStyle w:val="Heading5"/>
        <w:rPr>
          <w:snapToGrid w:val="0"/>
        </w:rPr>
      </w:pPr>
      <w:bookmarkStart w:id="11" w:name="_Toc200115151"/>
      <w:r>
        <w:rPr>
          <w:rStyle w:val="CharSectno"/>
        </w:rPr>
        <w:t>10</w:t>
      </w:r>
      <w:r>
        <w:rPr>
          <w:snapToGrid w:val="0"/>
        </w:rPr>
        <w:t>.</w:t>
      </w:r>
      <w:r>
        <w:rPr>
          <w:snapToGrid w:val="0"/>
        </w:rPr>
        <w:tab/>
        <w:t>Duplicate controls and mirrors, vehicles used for instruction to have</w:t>
      </w:r>
      <w:bookmarkEnd w:id="11"/>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lastRenderedPageBreak/>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Gazette 29 Oct 1976 p. 4120; amended: Gazette 2 Feb 1982 p. 397; 31 Jan 1997 p. 674; 28 Jun 2013 p. 2803.] </w:t>
      </w:r>
    </w:p>
    <w:p>
      <w:pPr>
        <w:pStyle w:val="Ednotesection"/>
        <w:spacing w:before="240"/>
        <w:ind w:left="890" w:hanging="890"/>
      </w:pPr>
      <w:r>
        <w:t>[</w:t>
      </w:r>
      <w:r>
        <w:rPr>
          <w:b/>
          <w:bCs/>
        </w:rPr>
        <w:t>11.</w:t>
      </w:r>
      <w:r>
        <w:tab/>
        <w:t>Deleted: Gazette 30 Dec 2004 p. 6954.]</w:t>
      </w:r>
    </w:p>
    <w:p>
      <w:pPr>
        <w:pStyle w:val="Heading5"/>
        <w:spacing w:before="240"/>
        <w:rPr>
          <w:snapToGrid w:val="0"/>
        </w:rPr>
      </w:pPr>
      <w:bookmarkStart w:id="12" w:name="_Toc200115152"/>
      <w:r>
        <w:rPr>
          <w:rStyle w:val="CharSectno"/>
        </w:rPr>
        <w:t>12</w:t>
      </w:r>
      <w:r>
        <w:rPr>
          <w:snapToGrid w:val="0"/>
        </w:rPr>
        <w:t>.</w:t>
      </w:r>
      <w:r>
        <w:rPr>
          <w:snapToGrid w:val="0"/>
        </w:rPr>
        <w:tab/>
        <w:t>Bodies prescribed (Act s. 7(4)); classes of vehicle prescribed</w:t>
      </w:r>
      <w:bookmarkEnd w:id="12"/>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3" w:name="_Toc200115153"/>
      <w:r>
        <w:rPr>
          <w:rStyle w:val="CharSectno"/>
        </w:rPr>
        <w:lastRenderedPageBreak/>
        <w:t>12A</w:t>
      </w:r>
      <w:r>
        <w:t>.</w:t>
      </w:r>
      <w:r>
        <w:tab/>
        <w:t>Scope of licence or permit (Sch. 4)</w:t>
      </w:r>
      <w:bookmarkEnd w:id="13"/>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Gazette 27 Apr 2001 p. 2205.]</w:t>
      </w:r>
    </w:p>
    <w:p>
      <w:pPr>
        <w:pStyle w:val="Heading5"/>
        <w:spacing w:before="180"/>
      </w:pPr>
      <w:bookmarkStart w:id="14" w:name="_Toc200115154"/>
      <w:r>
        <w:rPr>
          <w:rStyle w:val="CharSectno"/>
        </w:rPr>
        <w:t>13</w:t>
      </w:r>
      <w:r>
        <w:t>.</w:t>
      </w:r>
      <w:r>
        <w:tab/>
        <w:t>Fees</w:t>
      </w:r>
      <w:bookmarkEnd w:id="14"/>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$101.40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r>
        <w:tab/>
        <w:t>[Regulation 13 inserted: Gazette 29 May 2015 p. 1883; amended: Gazette 14 Jun 2016 p. 1991; 23 Jun 2017 p. 3259; 22 Jun 2018 p. 2185.]</w:t>
      </w:r>
    </w:p>
    <w:p>
      <w:pPr>
        <w:pStyle w:val="Heading5"/>
        <w:spacing w:before="180"/>
        <w:rPr>
          <w:snapToGrid w:val="0"/>
        </w:rPr>
      </w:pPr>
      <w:bookmarkStart w:id="15" w:name="_Toc200115155"/>
      <w:r>
        <w:rPr>
          <w:rStyle w:val="CharSectno"/>
        </w:rPr>
        <w:t>13A</w:t>
      </w:r>
      <w:r>
        <w:rPr>
          <w:snapToGrid w:val="0"/>
        </w:rPr>
        <w:t>.</w:t>
      </w:r>
      <w:r>
        <w:rPr>
          <w:snapToGrid w:val="0"/>
        </w:rPr>
        <w:tab/>
        <w:t>Exemption from Act’s requirements to pay fees</w:t>
      </w:r>
      <w:bookmarkEnd w:id="15"/>
    </w:p>
    <w:p>
      <w:pPr>
        <w:pStyle w:val="Subsection"/>
        <w:spacing w:before="120"/>
        <w:rPr>
          <w:snapToGrid w:val="0"/>
        </w:rPr>
      </w:pPr>
      <w:r>
        <w:rPr>
          <w:snapToGrid w:val="0"/>
        </w:rPr>
        <w:tab/>
        <w:t>(1)</w:t>
      </w:r>
      <w:r>
        <w:rPr>
          <w:snapToGrid w:val="0"/>
        </w:rPr>
        <w:tab/>
        <w:t xml:space="preserve">The Director General may exempt from the provisions of the Act relating to the payment of the prescribed fee an application </w:t>
      </w:r>
      <w:r>
        <w:rPr>
          <w:snapToGrid w:val="0"/>
        </w:rPr>
        <w:lastRenderedPageBreak/>
        <w:t>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Gazette 9 Feb 1970 p. 369; amended: Gazette 30 May 1975 p. 1605; 9 Jul 1976 p. 2368; 2 Feb 1982 p. 397; 10 Jun 1988 p. 1906; 31 Jan 1997 p. 674; 30 Jan 2001 p. 619; 19 Feb 2013 p. 997; 8 Jan 2015 p. 59.] </w:t>
      </w:r>
    </w:p>
    <w:p>
      <w:pPr>
        <w:pStyle w:val="Heading5"/>
      </w:pPr>
      <w:bookmarkStart w:id="16" w:name="_Toc200115156"/>
      <w:r>
        <w:rPr>
          <w:rStyle w:val="CharSectno"/>
        </w:rPr>
        <w:t>13B</w:t>
      </w:r>
      <w:r>
        <w:t>.</w:t>
      </w:r>
      <w:r>
        <w:tab/>
        <w:t>Exemptions from Act’s requirement to be licensed</w:t>
      </w:r>
      <w:bookmarkEnd w:id="16"/>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lastRenderedPageBreak/>
        <w:tab/>
        <w:t>(b)</w:t>
      </w:r>
      <w:r>
        <w:tab/>
        <w:t>he or she does not act as a driving instructor on a full</w:t>
      </w:r>
      <w:r>
        <w:noBreakHyphen/>
        <w:t>time basis.</w:t>
      </w:r>
    </w:p>
    <w:p>
      <w:pPr>
        <w:pStyle w:val="Footnotesection"/>
      </w:pPr>
      <w:r>
        <w:tab/>
        <w:t>[Regulation 13B inserted: Gazette 28 Jun 2013 p. 2803-4.]</w:t>
      </w:r>
    </w:p>
    <w:p>
      <w:pPr>
        <w:pStyle w:val="Heading5"/>
        <w:rPr>
          <w:snapToGrid w:val="0"/>
        </w:rPr>
      </w:pPr>
      <w:bookmarkStart w:id="17" w:name="_Toc200115157"/>
      <w:r>
        <w:rPr>
          <w:rStyle w:val="CharSectno"/>
        </w:rPr>
        <w:t>14</w:t>
      </w:r>
      <w:r>
        <w:rPr>
          <w:snapToGrid w:val="0"/>
        </w:rPr>
        <w:t>.</w:t>
      </w:r>
      <w:r>
        <w:rPr>
          <w:snapToGrid w:val="0"/>
        </w:rPr>
        <w:tab/>
        <w:t>Offence and penalty</w:t>
      </w:r>
      <w:bookmarkEnd w:id="17"/>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Gazette 5 Sep 1968 p. 2685; 10 Jun 1988 p. 1906.] </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8" w:name="_Toc200115158"/>
      <w:r>
        <w:rPr>
          <w:rStyle w:val="CharSchNo"/>
        </w:rPr>
        <w:lastRenderedPageBreak/>
        <w:t>Schedule 1 </w:t>
      </w:r>
      <w:r>
        <w:t>— </w:t>
      </w:r>
      <w:r>
        <w:rPr>
          <w:rStyle w:val="CharSchText"/>
        </w:rPr>
        <w:t>Forms</w:t>
      </w:r>
      <w:bookmarkEnd w:id="18"/>
    </w:p>
    <w:p>
      <w:pPr>
        <w:pStyle w:val="yShoulderClause"/>
      </w:pPr>
      <w:r>
        <w:t>[r. 3 and 4]</w:t>
      </w:r>
    </w:p>
    <w:p>
      <w:pPr>
        <w:pStyle w:val="yFootnoteheading"/>
      </w:pPr>
      <w:r>
        <w:tab/>
        <w:t>[Heading inserted: Gazette 30 Jan 2001 p. 619.]</w:t>
      </w:r>
    </w:p>
    <w:p>
      <w:pPr>
        <w:pStyle w:val="yMiscellaneousHeading"/>
        <w:rPr>
          <w:b/>
          <w:snapToGrid w:val="0"/>
        </w:rPr>
      </w:pPr>
      <w:r>
        <w:rPr>
          <w:rStyle w:val="CharSClsNo"/>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lastRenderedPageBreak/>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lastRenderedPageBreak/>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lastRenderedPageBreak/>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lastRenderedPageBreak/>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lastRenderedPageBreak/>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Gazette 9 Jul 1976 p. 2368; amended: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Gazette 9 Jul 1976 p. 2368.]</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0" w:name="_Toc200115159"/>
      <w:r>
        <w:rPr>
          <w:rStyle w:val="CharSchNo"/>
        </w:rPr>
        <w:lastRenderedPageBreak/>
        <w:t>Schedule 2</w:t>
      </w:r>
      <w:r>
        <w:t> — </w:t>
      </w:r>
      <w:r>
        <w:rPr>
          <w:rStyle w:val="CharSchText"/>
        </w:rPr>
        <w:t>Prescribed bodies</w:t>
      </w:r>
      <w:bookmarkEnd w:id="20"/>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Chisholm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NumberedItem"/>
      </w:pPr>
      <w:r>
        <w:t>21.</w:t>
      </w:r>
      <w:r>
        <w:tab/>
        <w:t>Richards Mining Services Pty Ltd</w:t>
      </w:r>
    </w:p>
    <w:p>
      <w:pPr>
        <w:pStyle w:val="yNumberedItem"/>
      </w:pPr>
      <w:r>
        <w:t>22.</w:t>
      </w:r>
      <w:r>
        <w:tab/>
        <w:t>Shift Training Pty. Ltd. (ACN 168 567 280)</w:t>
      </w:r>
    </w:p>
    <w:p>
      <w:pPr>
        <w:pStyle w:val="yNumberedItem"/>
      </w:pPr>
      <w:r>
        <w:lastRenderedPageBreak/>
        <w:t>23.</w:t>
      </w:r>
      <w:r>
        <w:tab/>
        <w:t>Academy of Road Safety Pty Ltd (ACN 165 345 853)</w:t>
      </w:r>
    </w:p>
    <w:p>
      <w:pPr>
        <w:pStyle w:val="yNumberedItem"/>
      </w:pPr>
      <w:r>
        <w:t>24.</w:t>
      </w:r>
      <w:r>
        <w:tab/>
        <w:t>121 Training Pty Ltd (ACN 142 831 203)</w:t>
      </w:r>
    </w:p>
    <w:p>
      <w:pPr>
        <w:pStyle w:val="yFootnotesection"/>
      </w:pPr>
      <w:r>
        <w:tab/>
        <w:t>[Schedule 2 inserted: Gazette 30 Jan 2001 p. 619</w:t>
      </w:r>
      <w:r>
        <w:noBreakHyphen/>
        <w:t>20; amended: Gazette 11 Mar 2003 p. 751; 18 Aug 2006 p. 3371; 9 Nov 2010 p. 5633; 8 Feb 2013 p. 869; 4 Nov 2014 p. 4207; 5 Apr 2016 p. 1030; 26 May 2017 p. 2634; 31 Dec 2019 p. 4684; SL 2023/181 r. 4.]</w:t>
      </w:r>
    </w:p>
    <w:p>
      <w:pPr>
        <w:pStyle w:val="yScheduleHeading"/>
      </w:pPr>
      <w:bookmarkStart w:id="21" w:name="_Toc200115160"/>
      <w:r>
        <w:rPr>
          <w:rStyle w:val="CharSchNo"/>
        </w:rPr>
        <w:lastRenderedPageBreak/>
        <w:t>Schedule 3</w:t>
      </w:r>
      <w:r>
        <w:t> — </w:t>
      </w:r>
      <w:r>
        <w:rPr>
          <w:rStyle w:val="CharSchText"/>
        </w:rPr>
        <w:t>Classes of vehicles</w:t>
      </w:r>
      <w:bookmarkEnd w:id="21"/>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Gazette 27 Apr 2001 p. 2206.]</w:t>
      </w:r>
    </w:p>
    <w:p>
      <w:pPr>
        <w:pStyle w:val="yScheduleHeading"/>
      </w:pPr>
      <w:bookmarkStart w:id="22" w:name="_Toc200115161"/>
      <w:r>
        <w:rPr>
          <w:rStyle w:val="CharSchNo"/>
        </w:rPr>
        <w:lastRenderedPageBreak/>
        <w:t>Schedule 4</w:t>
      </w:r>
      <w:r>
        <w:t> — </w:t>
      </w:r>
      <w:r>
        <w:rPr>
          <w:rStyle w:val="CharSchText"/>
        </w:rPr>
        <w:t>Scope of a licence or permit</w:t>
      </w:r>
      <w:bookmarkEnd w:id="2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23" w:name="_Toc200115162"/>
      <w:r>
        <w:lastRenderedPageBreak/>
        <w:t>Notes</w:t>
      </w:r>
      <w:bookmarkEnd w:id="23"/>
    </w:p>
    <w:p>
      <w:pPr>
        <w:pStyle w:val="nStatement"/>
      </w:pPr>
      <w:r>
        <w:t xml:space="preserve">This is a compilation of the </w:t>
      </w:r>
      <w:r>
        <w:rPr>
          <w:i/>
          <w:noProof/>
        </w:rPr>
        <w:t>Motor Vehicle Drivers Instructors Regulations 1964</w:t>
      </w:r>
      <w:r>
        <w:t xml:space="preserve"> and includes amendments made by other written laws. For provisions that have come into operation, and for information about any reprints, see the compilation table.</w:t>
      </w:r>
    </w:p>
    <w:p>
      <w:pPr>
        <w:pStyle w:val="nHeading3"/>
      </w:pPr>
      <w:bookmarkStart w:id="24" w:name="_Toc200115163"/>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8"/>
      </w:tblGrid>
      <w:tr>
        <w:trPr>
          <w:gridAfter w:val="1"/>
          <w:wAfter w:w="28"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1</w:t>
            </w:r>
          </w:p>
        </w:tc>
        <w:tc>
          <w:tcPr>
            <w:tcW w:w="1276" w:type="dxa"/>
          </w:tcPr>
          <w:p>
            <w:pPr>
              <w:pStyle w:val="nTable"/>
              <w:spacing w:after="40"/>
            </w:pPr>
            <w:r>
              <w:t>18 Dec 1981 p. 5193</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2</w:t>
            </w:r>
          </w:p>
        </w:tc>
        <w:tc>
          <w:tcPr>
            <w:tcW w:w="1276" w:type="dxa"/>
          </w:tcPr>
          <w:p>
            <w:pPr>
              <w:pStyle w:val="nTable"/>
              <w:spacing w:after="40"/>
            </w:pPr>
            <w:r>
              <w:t>24 May 1996 p. 2170</w:t>
            </w:r>
          </w:p>
        </w:tc>
        <w:tc>
          <w:tcPr>
            <w:tcW w:w="2693" w:type="dxa"/>
          </w:tcPr>
          <w:p>
            <w:pPr>
              <w:pStyle w:val="nTable"/>
              <w:spacing w:after="40"/>
            </w:pPr>
            <w:r>
              <w:t>1 Jun 1996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2001</w:t>
            </w:r>
            <w:r>
              <w:rPr>
                <w:vertAlign w:val="superscript"/>
              </w:rPr>
              <w:t> 3</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b/>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snapToGrid w:val="0"/>
              </w:rPr>
            </w:pPr>
            <w:r>
              <w:rPr>
                <w:bCs/>
                <w:snapToGrid w:val="0"/>
              </w:rPr>
              <w:t>r. 1 and 2: 13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lastRenderedPageBreak/>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bCs/>
                <w:snapToGrid w:val="0"/>
              </w:rPr>
            </w:pPr>
            <w:r>
              <w:rPr>
                <w:bCs/>
                <w:snapToGrid w:val="0"/>
                <w:spacing w:val="-2"/>
              </w:rPr>
              <w:t xml:space="preserve">r. 1 and 2: </w:t>
            </w:r>
            <w:r>
              <w:t>29 May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rPr>
                <w:bCs/>
                <w:snapToGrid w:val="0"/>
              </w:rPr>
            </w:pPr>
            <w:r>
              <w:rPr>
                <w:b/>
                <w:bCs/>
                <w:snapToGrid w:val="0"/>
              </w:rPr>
              <w:t xml:space="preserve">Reprint 7: The </w:t>
            </w:r>
            <w:r>
              <w:rPr>
                <w:b/>
                <w:bCs/>
                <w:i/>
                <w:noProof/>
                <w:snapToGrid w:val="0"/>
              </w:rPr>
              <w:t>Motor Vehicle Drivers Instructors Regulations 1964</w:t>
            </w:r>
            <w:r>
              <w:rPr>
                <w:b/>
                <w:bCs/>
                <w:snapToGrid w:val="0"/>
              </w:rPr>
              <w:t xml:space="preserve"> as at 2 Oct 2015</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bCs/>
                <w:snapToGrid w:val="0"/>
              </w:rPr>
            </w:pPr>
            <w:r>
              <w:rPr>
                <w:bCs/>
                <w:snapToGrid w:val="0"/>
                <w:spacing w:val="-2"/>
              </w:rPr>
              <w:t xml:space="preserve">r. 1 and 2: </w:t>
            </w:r>
            <w:r>
              <w:t xml:space="preserve">5 Apr 2016 </w:t>
            </w:r>
            <w:r>
              <w:rPr>
                <w:bCs/>
                <w:snapToGrid w:val="0"/>
                <w:spacing w:val="-2"/>
              </w:rPr>
              <w:t>(see r. 2(a));</w:t>
            </w:r>
            <w:r>
              <w:rPr>
                <w:bCs/>
                <w:snapToGrid w:val="0"/>
                <w:spacing w:val="-2"/>
              </w:rPr>
              <w:br/>
              <w:t>Regulations other than r. 1 and 2: 6</w:t>
            </w:r>
            <w:r>
              <w:t xml:space="preserve"> Apr 2016 </w:t>
            </w:r>
            <w:r>
              <w:rPr>
                <w:bCs/>
                <w:snapToGrid w:val="0"/>
                <w:spacing w:val="-2"/>
              </w:rPr>
              <w:t>(see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1"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2018</w:t>
            </w:r>
            <w:r>
              <w:t xml:space="preserve"> Pt. 4</w:t>
            </w:r>
          </w:p>
        </w:tc>
        <w:tc>
          <w:tcPr>
            <w:tcW w:w="1276" w:type="dxa"/>
            <w:tcBorders>
              <w:top w:val="nil"/>
              <w:bottom w:val="nil"/>
            </w:tcBorders>
          </w:tcPr>
          <w:p>
            <w:pPr>
              <w:pStyle w:val="nTable"/>
              <w:spacing w:after="40"/>
            </w:pPr>
            <w:r>
              <w:t>22 Jun 2018 p. 2184-93</w:t>
            </w:r>
          </w:p>
        </w:tc>
        <w:tc>
          <w:tcPr>
            <w:tcW w:w="2721"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2019</w:t>
            </w:r>
          </w:p>
        </w:tc>
        <w:tc>
          <w:tcPr>
            <w:tcW w:w="1276" w:type="dxa"/>
            <w:tcBorders>
              <w:top w:val="nil"/>
              <w:bottom w:val="nil"/>
            </w:tcBorders>
          </w:tcPr>
          <w:p>
            <w:pPr>
              <w:pStyle w:val="nTable"/>
              <w:spacing w:after="40"/>
            </w:pPr>
            <w:r>
              <w:t>31 Dec 2019 p. 4683-4</w:t>
            </w:r>
          </w:p>
        </w:tc>
        <w:tc>
          <w:tcPr>
            <w:tcW w:w="2721" w:type="dxa"/>
            <w:gridSpan w:val="2"/>
            <w:tcBorders>
              <w:top w:val="nil"/>
              <w:bottom w:val="nil"/>
            </w:tcBorders>
          </w:tcPr>
          <w:p>
            <w:pPr>
              <w:pStyle w:val="nTable"/>
              <w:spacing w:after="40"/>
              <w:rPr>
                <w:snapToGrid w:val="0"/>
                <w:spacing w:val="-2"/>
              </w:rPr>
            </w:pPr>
            <w:r>
              <w:rPr>
                <w:snapToGrid w:val="0"/>
                <w:spacing w:val="-2"/>
              </w:rPr>
              <w:t>r. 1 and 2: 31 Dec 2019 (see r. 2(a));</w:t>
            </w:r>
            <w:r>
              <w:rPr>
                <w:snapToGrid w:val="0"/>
                <w:spacing w:val="-2"/>
              </w:rPr>
              <w:br/>
              <w:t>Regulations other than r. 1 and 2: 1 Jan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Motor Vehicle Drivers Instructors Amendment Regulations 2023</w:t>
            </w:r>
          </w:p>
        </w:tc>
        <w:tc>
          <w:tcPr>
            <w:tcW w:w="1276" w:type="dxa"/>
            <w:tcBorders>
              <w:top w:val="nil"/>
              <w:bottom w:val="single" w:sz="4" w:space="0" w:color="auto"/>
            </w:tcBorders>
          </w:tcPr>
          <w:p>
            <w:pPr>
              <w:pStyle w:val="nTable"/>
              <w:spacing w:after="40"/>
            </w:pPr>
            <w:r>
              <w:t>SL 2023/181 15 Nov 2023</w:t>
            </w:r>
          </w:p>
        </w:tc>
        <w:tc>
          <w:tcPr>
            <w:tcW w:w="2721" w:type="dxa"/>
            <w:gridSpan w:val="2"/>
            <w:tcBorders>
              <w:top w:val="nil"/>
              <w:bottom w:val="single" w:sz="4" w:space="0" w:color="auto"/>
            </w:tcBorders>
          </w:tcPr>
          <w:p>
            <w:pPr>
              <w:pStyle w:val="nTable"/>
              <w:spacing w:after="40"/>
              <w:rPr>
                <w:snapToGrid w:val="0"/>
                <w:spacing w:val="-2"/>
              </w:rPr>
            </w:pPr>
            <w:r>
              <w:rPr>
                <w:snapToGrid w:val="0"/>
                <w:spacing w:val="-2"/>
              </w:rPr>
              <w:t>r. 1 and 2: 15 Nov 2023 (see r. 2(a));</w:t>
            </w:r>
            <w:r>
              <w:rPr>
                <w:snapToGrid w:val="0"/>
                <w:spacing w:val="-2"/>
              </w:rPr>
              <w:br/>
              <w:t>Regulations other than r. 1 and 2: 16 Nov 2023 (see r. 2(b))</w:t>
            </w:r>
          </w:p>
        </w:tc>
      </w:tr>
    </w:tbl>
    <w:p>
      <w:pPr>
        <w:pStyle w:val="nHeading3"/>
      </w:pPr>
      <w:bookmarkStart w:id="25" w:name="_Toc200115164"/>
      <w:r>
        <w:lastRenderedPageBreak/>
        <w:t>Other notes</w:t>
      </w:r>
      <w:bookmarkEnd w:id="25"/>
    </w:p>
    <w:p>
      <w:pPr>
        <w:pStyle w:val="nNote"/>
        <w:spacing w:before="120"/>
        <w:rPr>
          <w:snapToGrid w:val="0"/>
        </w:rPr>
      </w:pPr>
      <w:r>
        <w:rPr>
          <w:snapToGrid w:val="0"/>
          <w:vertAlign w:val="superscript"/>
        </w:rPr>
        <w:t>1</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Note"/>
        <w:spacing w:before="120"/>
        <w:rPr>
          <w:snapToGrid w:val="0"/>
        </w:rPr>
      </w:pPr>
      <w:r>
        <w:rPr>
          <w:snapToGrid w:val="0"/>
          <w:vertAlign w:val="superscript"/>
        </w:rPr>
        <w:t>2</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Note"/>
        <w:keepNext/>
        <w:keepLines/>
        <w:spacing w:before="120"/>
        <w:rPr>
          <w:snapToGrid w:val="0"/>
        </w:rPr>
      </w:pPr>
      <w:r>
        <w:rPr>
          <w:snapToGrid w:val="0"/>
          <w:vertAlign w:val="superscript"/>
        </w:rPr>
        <w:t>3</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further effect.</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27" w:name="_Toc200115165"/>
      <w:r>
        <w:rPr>
          <w:sz w:val="28"/>
        </w:rPr>
        <w:lastRenderedPageBreak/>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20122"/>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 w:name="WAFER_20191224113656" w:val="RemoveTocBookmarks,RemoveUnusedBookmarks,RemoveLanguageTags,ResetPageSize,RunningHeaders,UpdateStyles,UsedStyles"/>
    <w:docVar w:name="WAFER_20191224113656_GUID" w:val="268a2365-0075-406d-ba32-070478d4c745"/>
    <w:docVar w:name="WAFER_202002110922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242_GUID" w:val="df46be05-2181-41ce-838a-896c01e5e875"/>
    <w:docVar w:name="WAFER_2023111015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50834_GUID" w:val="f5c71788-bcc2-49d5-b967-9e95e9644bc5"/>
    <w:docVar w:name="WAFER_2023122812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22_GUID" w:val="751066b0-27a7-4fdb-bb24-59b8c4b9a7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88294C8B-C263-431C-B32E-174B278A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1CF39-0952-470E-9512-870967D31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5774</Words>
  <Characters>29510</Characters>
  <Application>Microsoft Office Word</Application>
  <DocSecurity>0</DocSecurity>
  <Lines>1135</Lines>
  <Paragraphs>720</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1964 - 07-i0-01</dc:title>
  <dc:subject/>
  <dc:creator/>
  <cp:keywords/>
  <dc:description/>
  <cp:lastModifiedBy>Master Repository Process</cp:lastModifiedBy>
  <cp:revision>4</cp:revision>
  <cp:lastPrinted>2015-09-30T06:50:00Z</cp:lastPrinted>
  <dcterms:created xsi:type="dcterms:W3CDTF">2025-06-06T07:12:00Z</dcterms:created>
  <dcterms:modified xsi:type="dcterms:W3CDTF">2025-06-06T07:12:00Z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AsAtDate">
    <vt:lpwstr>16 Nov 2023</vt:lpwstr>
  </property>
  <property fmtid="{D5CDD505-2E9C-101B-9397-08002B2CF9AE}" pid="8" name="Suffix">
    <vt:lpwstr>07-i0-01</vt:lpwstr>
  </property>
  <property fmtid="{D5CDD505-2E9C-101B-9397-08002B2CF9AE}" pid="9" name="Official">
    <vt:lpwstr/>
  </property>
  <property fmtid="{D5CDD505-2E9C-101B-9397-08002B2CF9AE}" pid="10" name="CommencementDate">
    <vt:lpwstr>20231116</vt:lpwstr>
  </property>
  <property fmtid="{D5CDD505-2E9C-101B-9397-08002B2CF9AE}" pid="11" name="CommencementAsAt">
    <vt:filetime>2023-11-15T16:00:00Z</vt:filetime>
  </property>
  <property fmtid="{D5CDD505-2E9C-101B-9397-08002B2CF9AE}" pid="12" name="CommencementYear">
    <vt:lpwstr>2023</vt:lpwstr>
  </property>
</Properties>
</file>