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_Toc153338880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_Toc153338881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_Toc153338882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_Toc153338883 \h </w:instrText>
      </w:r>
      <w:r>
        <w:fldChar w:fldCharType="separate"/>
      </w:r>
      <w:r>
        <w:t>2</w:t>
      </w:r>
      <w:r>
        <w:fldChar w:fldCharType="end"/>
      </w:r>
    </w:p>
    <w:p>
      <w:pPr>
        <w:pStyle w:val="TOC8"/>
        <w:rPr>
          <w:rFonts w:asciiTheme="minorHAnsi" w:eastAsiaTheme="minorEastAsia" w:hAnsiTheme="minorHAnsi" w:cstheme="minorBidi"/>
          <w:szCs w:val="22"/>
        </w:rPr>
      </w:pPr>
      <w:r>
        <w:t>5.</w:t>
      </w:r>
      <w:r>
        <w:tab/>
        <w:t>Specific charges: liability and amount</w:t>
      </w:r>
      <w:r>
        <w:tab/>
      </w:r>
      <w:r>
        <w:fldChar w:fldCharType="begin"/>
      </w:r>
      <w:r>
        <w:instrText xml:space="preserve"> PAGEREF _Toc153338884 \h </w:instrText>
      </w:r>
      <w:r>
        <w:fldChar w:fldCharType="separate"/>
      </w:r>
      <w:r>
        <w:t>2</w:t>
      </w:r>
      <w:r>
        <w:fldChar w:fldCharType="end"/>
      </w:r>
    </w:p>
    <w:p>
      <w:pPr>
        <w:pStyle w:val="TOC8"/>
        <w:rPr>
          <w:rFonts w:asciiTheme="minorHAnsi" w:eastAsiaTheme="minorEastAsia" w:hAnsiTheme="minorHAnsi" w:cstheme="minorBidi"/>
          <w:szCs w:val="22"/>
        </w:rPr>
      </w:pPr>
      <w:r>
        <w:t>6.</w:t>
      </w:r>
      <w:r>
        <w:tab/>
        <w:t>Standing charges: liability and amount</w:t>
      </w:r>
      <w:r>
        <w:tab/>
      </w:r>
      <w:r>
        <w:fldChar w:fldCharType="begin"/>
      </w:r>
      <w:r>
        <w:instrText xml:space="preserve"> PAGEREF _Toc153338885 \h </w:instrText>
      </w:r>
      <w:r>
        <w:fldChar w:fldCharType="separate"/>
      </w:r>
      <w:r>
        <w:t>4</w:t>
      </w:r>
      <w:r>
        <w:fldChar w:fldCharType="end"/>
      </w:r>
    </w:p>
    <w:p>
      <w:pPr>
        <w:pStyle w:val="TOC8"/>
        <w:rPr>
          <w:rFonts w:asciiTheme="minorHAnsi" w:eastAsiaTheme="minorEastAsia" w:hAnsiTheme="minorHAnsi" w:cstheme="minorBidi"/>
          <w:szCs w:val="22"/>
        </w:rPr>
      </w:pPr>
      <w:r>
        <w:t>7.</w:t>
      </w:r>
      <w:r>
        <w:tab/>
        <w:t>Standing charges: assessment and payment</w:t>
      </w:r>
      <w:r>
        <w:tab/>
      </w:r>
      <w:r>
        <w:fldChar w:fldCharType="begin"/>
      </w:r>
      <w:r>
        <w:instrText xml:space="preserve"> PAGEREF _Toc153338886 \h </w:instrText>
      </w:r>
      <w:r>
        <w:fldChar w:fldCharType="separate"/>
      </w:r>
      <w:r>
        <w:t>5</w:t>
      </w:r>
      <w:r>
        <w:fldChar w:fldCharType="end"/>
      </w:r>
    </w:p>
    <w:p>
      <w:pPr>
        <w:pStyle w:val="TOC8"/>
        <w:rPr>
          <w:rFonts w:asciiTheme="minorHAnsi" w:eastAsiaTheme="minorEastAsia" w:hAnsiTheme="minorHAnsi" w:cstheme="minorBidi"/>
          <w:szCs w:val="22"/>
        </w:rPr>
      </w:pPr>
      <w:r>
        <w:t>8.</w:t>
      </w:r>
      <w:r>
        <w:tab/>
        <w:t>Recovery of unpaid amounts</w:t>
      </w:r>
      <w:r>
        <w:tab/>
      </w:r>
      <w:r>
        <w:fldChar w:fldCharType="begin"/>
      </w:r>
      <w:r>
        <w:instrText xml:space="preserve"> PAGEREF _Toc153338887 \h </w:instrText>
      </w:r>
      <w:r>
        <w:fldChar w:fldCharType="separate"/>
      </w:r>
      <w:r>
        <w:t>6</w:t>
      </w:r>
      <w:r>
        <w:fldChar w:fldCharType="end"/>
      </w:r>
    </w:p>
    <w:p>
      <w:pPr>
        <w:pStyle w:val="TOC8"/>
        <w:rPr>
          <w:rFonts w:asciiTheme="minorHAnsi" w:eastAsiaTheme="minorEastAsia" w:hAnsiTheme="minorHAnsi" w:cstheme="minorBidi"/>
          <w:szCs w:val="22"/>
        </w:rPr>
      </w:pPr>
      <w:r>
        <w:t>9.</w:t>
      </w:r>
      <w:r>
        <w:tab/>
        <w:t>Extension of time within which to pay</w:t>
      </w:r>
      <w:r>
        <w:tab/>
      </w:r>
      <w:r>
        <w:fldChar w:fldCharType="begin"/>
      </w:r>
      <w:r>
        <w:instrText xml:space="preserve"> PAGEREF _Toc153338888 \h </w:instrText>
      </w:r>
      <w:r>
        <w:fldChar w:fldCharType="separate"/>
      </w:r>
      <w:r>
        <w:t>6</w:t>
      </w:r>
      <w:r>
        <w:fldChar w:fldCharType="end"/>
      </w:r>
    </w:p>
    <w:p>
      <w:pPr>
        <w:pStyle w:val="TOC8"/>
        <w:rPr>
          <w:rFonts w:asciiTheme="minorHAnsi" w:eastAsiaTheme="minorEastAsia" w:hAnsiTheme="minorHAnsi" w:cstheme="minorBidi"/>
          <w:szCs w:val="22"/>
        </w:rPr>
      </w:pPr>
      <w:r>
        <w:t>10.</w:t>
      </w:r>
      <w:r>
        <w:tab/>
        <w:t>Authority’s annual report</w:t>
      </w:r>
      <w:r>
        <w:tab/>
      </w:r>
      <w:r>
        <w:fldChar w:fldCharType="begin"/>
      </w:r>
      <w:r>
        <w:instrText xml:space="preserve"> PAGEREF _Toc153338889 \h </w:instrText>
      </w:r>
      <w:r>
        <w:fldChar w:fldCharType="separate"/>
      </w:r>
      <w:r>
        <w:t>7</w:t>
      </w:r>
      <w:r>
        <w:fldChar w:fldCharType="end"/>
      </w:r>
    </w:p>
    <w:p>
      <w:pPr>
        <w:pStyle w:val="TOC8"/>
        <w:rPr>
          <w:rFonts w:asciiTheme="minorHAnsi" w:eastAsiaTheme="minorEastAsia" w:hAnsiTheme="minorHAnsi" w:cstheme="minorBidi"/>
          <w:szCs w:val="22"/>
        </w:rPr>
      </w:pPr>
      <w:r>
        <w:t>11.</w:t>
      </w:r>
      <w:r>
        <w:tab/>
        <w:t>Review</w:t>
      </w:r>
      <w:r>
        <w:tab/>
      </w:r>
      <w:r>
        <w:fldChar w:fldCharType="begin"/>
      </w:r>
      <w:r>
        <w:instrText xml:space="preserve"> PAGEREF _Toc153338890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_Toc153338892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_Toc153338893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3" w:name="_Toc15333888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5" w:name="_Toc15333888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6" w:name="_Toc153338882"/>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lastRenderedPageBreak/>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7" w:name="_Toc153338883"/>
      <w:r>
        <w:rPr>
          <w:rStyle w:val="CharSectno"/>
        </w:rPr>
        <w:t>4</w:t>
      </w:r>
      <w:r>
        <w:t>.</w:t>
      </w:r>
      <w:r>
        <w:tab/>
        <w:t>Application of these regulations</w:t>
      </w:r>
      <w:bookmarkEnd w:id="7"/>
    </w:p>
    <w:p>
      <w:pPr>
        <w:pStyle w:val="Subsection"/>
      </w:pPr>
      <w:r>
        <w:tab/>
      </w:r>
      <w:r>
        <w:tab/>
        <w:t>These regulations apply to and in relation to the railway owners of covered routes.</w:t>
      </w:r>
    </w:p>
    <w:p>
      <w:pPr>
        <w:pStyle w:val="Heading5"/>
        <w:spacing w:before="120"/>
      </w:pPr>
      <w:bookmarkStart w:id="8" w:name="_Toc153338884"/>
      <w:r>
        <w:rPr>
          <w:rStyle w:val="CharSectno"/>
        </w:rPr>
        <w:t>5</w:t>
      </w:r>
      <w:r>
        <w:t>.</w:t>
      </w:r>
      <w:r>
        <w:tab/>
        <w:t>Specific charges: liability and amount</w:t>
      </w:r>
      <w:bookmarkEnd w:id="8"/>
    </w:p>
    <w:p>
      <w:pPr>
        <w:pStyle w:val="Subsection"/>
        <w:spacing w:before="120"/>
      </w:pPr>
      <w:r>
        <w:tab/>
        <w:t>(1)</w:t>
      </w:r>
      <w:r>
        <w:tab/>
        <w:t xml:space="preserve">The following functions of the Authority are listed for the purposes of subregulation (2) — </w:t>
      </w:r>
    </w:p>
    <w:p>
      <w:pPr>
        <w:pStyle w:val="Indenta"/>
      </w:pPr>
      <w:r>
        <w:tab/>
        <w:t>(a)</w:t>
      </w:r>
      <w:r>
        <w:tab/>
        <w:t>functions under section 10 of the Code, in relation to negotiations on a proposal that a railway owner considers might preclude access to railway infrastructure;</w:t>
      </w:r>
    </w:p>
    <w:p>
      <w:pPr>
        <w:pStyle w:val="Indenta"/>
      </w:pPr>
      <w:r>
        <w:tab/>
        <w:t>(b)</w:t>
      </w:r>
      <w:r>
        <w:tab/>
        <w:t>functions under section 21 of the Code, in relation to the price sought by a railway owner in negotiations for an access agreement;</w:t>
      </w:r>
    </w:p>
    <w:p>
      <w:pPr>
        <w:pStyle w:val="Indenta"/>
      </w:pPr>
      <w:r>
        <w:lastRenderedPageBreak/>
        <w:tab/>
        <w:t>(c)</w:t>
      </w:r>
      <w:r>
        <w:tab/>
        <w:t>functions under section 26 of the Code, in relation to appointing an arbitrator;</w:t>
      </w:r>
    </w:p>
    <w:p>
      <w:pPr>
        <w:pStyle w:val="Indenta"/>
      </w:pPr>
      <w:r>
        <w:tab/>
        <w:t>(d)</w:t>
      </w:r>
      <w:r>
        <w:tab/>
        <w:t>functions under section 30 of the Code, in relation to a question referred by an arbitrator;</w:t>
      </w:r>
    </w:p>
    <w:p>
      <w:pPr>
        <w:pStyle w:val="Indenta"/>
      </w:pPr>
      <w:r>
        <w:tab/>
        <w:t>(e)</w:t>
      </w:r>
      <w:r>
        <w:tab/>
        <w:t>functions under Part 5 of the Code, in relation to approving guidelines, policies, principles or rules of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to be done for or in connection with the performance of the function.</w:t>
      </w:r>
    </w:p>
    <w:p>
      <w:pPr>
        <w:pStyle w:val="Subsection"/>
      </w:pPr>
      <w:r>
        <w:lastRenderedPageBreak/>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Heading5"/>
      </w:pPr>
      <w:bookmarkStart w:id="9" w:name="_Toc153338885"/>
      <w:r>
        <w:rPr>
          <w:rStyle w:val="CharSectno"/>
        </w:rPr>
        <w:t>6</w:t>
      </w:r>
      <w:r>
        <w:t>.</w:t>
      </w:r>
      <w:r>
        <w:tab/>
        <w:t>Standing charges: liability and amount</w:t>
      </w:r>
      <w:bookmarkEnd w:id="9"/>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lastRenderedPageBreak/>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10" w:name="_Toc153338886"/>
      <w:r>
        <w:rPr>
          <w:rStyle w:val="CharSectno"/>
        </w:rPr>
        <w:t>7</w:t>
      </w:r>
      <w:r>
        <w:t>.</w:t>
      </w:r>
      <w:r>
        <w:tab/>
        <w:t>Standing charges: assessment and payment</w:t>
      </w:r>
      <w:bookmarkEnd w:id="10"/>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lastRenderedPageBreak/>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11" w:name="_Toc153338887"/>
      <w:r>
        <w:rPr>
          <w:rStyle w:val="CharSectno"/>
        </w:rPr>
        <w:t>8</w:t>
      </w:r>
      <w:r>
        <w:t>.</w:t>
      </w:r>
      <w:r>
        <w:tab/>
        <w:t>Recovery of unpaid amounts</w:t>
      </w:r>
      <w:bookmarkEnd w:id="11"/>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tab/>
        <w:t>(e)</w:t>
      </w:r>
      <w:r>
        <w:tab/>
        <w:t>stating that the specified amounts are unpaid.</w:t>
      </w:r>
    </w:p>
    <w:p>
      <w:pPr>
        <w:pStyle w:val="Heading5"/>
      </w:pPr>
      <w:bookmarkStart w:id="12" w:name="_Toc153338888"/>
      <w:r>
        <w:rPr>
          <w:rStyle w:val="CharSectno"/>
        </w:rPr>
        <w:t>9</w:t>
      </w:r>
      <w:r>
        <w:t>.</w:t>
      </w:r>
      <w:r>
        <w:tab/>
        <w:t>Extension of time within which to pay</w:t>
      </w:r>
      <w:bookmarkEnd w:id="12"/>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13" w:name="_Toc153338889"/>
      <w:r>
        <w:rPr>
          <w:rStyle w:val="CharSectno"/>
        </w:rPr>
        <w:lastRenderedPageBreak/>
        <w:t>10</w:t>
      </w:r>
      <w:r>
        <w:t>.</w:t>
      </w:r>
      <w:r>
        <w:tab/>
        <w:t>Authority’s annual report</w:t>
      </w:r>
      <w:bookmarkEnd w:id="13"/>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14" w:name="_Toc153338890"/>
      <w:r>
        <w:rPr>
          <w:rStyle w:val="CharSectno"/>
        </w:rPr>
        <w:t>11</w:t>
      </w:r>
      <w:r>
        <w:t>.</w:t>
      </w:r>
      <w:r>
        <w:tab/>
        <w:t>Review</w:t>
      </w:r>
      <w:bookmarkEnd w:id="14"/>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53199277"/>
      <w:bookmarkStart w:id="16" w:name="_Toc153268123"/>
      <w:bookmarkStart w:id="17" w:name="_Toc153338891"/>
      <w:bookmarkStart w:id="18" w:name="_Toc153187866"/>
      <w:bookmarkStart w:id="19" w:name="_Toc153195705"/>
      <w:r>
        <w:lastRenderedPageBreak/>
        <w:t>Notes</w:t>
      </w:r>
      <w:bookmarkEnd w:id="15"/>
      <w:bookmarkEnd w:id="16"/>
      <w:bookmarkEnd w:id="17"/>
    </w:p>
    <w:p>
      <w:pPr>
        <w:pStyle w:val="nStatement"/>
      </w:pPr>
      <w:r>
        <w:t xml:space="preserve">This is a compilation of the </w:t>
      </w:r>
      <w:r>
        <w:rPr>
          <w:i/>
          <w:noProof/>
        </w:rPr>
        <w:t>Economic Regulation Authority (Railways Access Funding)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 w:name="_Toc153338892"/>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Economic Regulation Authority (Railways Access Funding) Regulations 2019</w:t>
            </w:r>
          </w:p>
        </w:tc>
        <w:tc>
          <w:tcPr>
            <w:tcW w:w="1276" w:type="dxa"/>
          </w:tcPr>
          <w:p>
            <w:pPr>
              <w:pStyle w:val="nTable"/>
              <w:spacing w:after="40"/>
            </w:pPr>
            <w:r>
              <w:t>3 May 2019 p. 1337-48</w:t>
            </w:r>
          </w:p>
        </w:tc>
        <w:tc>
          <w:tcPr>
            <w:tcW w:w="2693" w:type="dxa"/>
          </w:tcPr>
          <w:p>
            <w:pPr>
              <w:pStyle w:val="nTable"/>
              <w:spacing w:after="40"/>
            </w:pPr>
            <w:r>
              <w:t>r. 1 and 2: 3 May 2019 (see r. 2(a));</w:t>
            </w:r>
            <w:r>
              <w:br/>
              <w:t>Regulations other than r. 1 and 2: 1 Jul 2019 (see r. 2(b))</w:t>
            </w:r>
          </w:p>
        </w:tc>
      </w:tr>
    </w:tbl>
    <w:p>
      <w:pPr>
        <w:pStyle w:val="nHeading3"/>
      </w:pPr>
      <w:bookmarkStart w:id="21" w:name="_Toc153338893"/>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 xml:space="preserve">Economic Regulation Authority (Railways Access Funding) Amendment Regulations 2023 </w:t>
            </w:r>
            <w:r>
              <w:rPr>
                <w:iCs/>
                <w:noProof/>
              </w:rPr>
              <w:t>r. 3 and 4</w:t>
            </w:r>
          </w:p>
        </w:tc>
        <w:tc>
          <w:tcPr>
            <w:tcW w:w="1276" w:type="dxa"/>
          </w:tcPr>
          <w:p>
            <w:pPr>
              <w:pStyle w:val="nTable"/>
              <w:spacing w:after="40"/>
            </w:pPr>
            <w:r>
              <w:t>SL 2023/199 13 Dec 2023</w:t>
            </w:r>
          </w:p>
        </w:tc>
        <w:tc>
          <w:tcPr>
            <w:tcW w:w="2693" w:type="dxa"/>
          </w:tcPr>
          <w:p>
            <w:pPr>
              <w:pStyle w:val="nTable"/>
              <w:spacing w:after="40"/>
            </w:pPr>
            <w:r>
              <w:t xml:space="preserve">Operative on commencement of the </w:t>
            </w:r>
            <w:r>
              <w:rPr>
                <w:i/>
              </w:rPr>
              <w:t>Railways (Access) Amendment Code 2023</w:t>
            </w:r>
            <w:r>
              <w:t xml:space="preserve"> Pt. 2 (see r. 2(b)(ii))</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3" w:name="_Toc153268126"/>
      <w:bookmarkStart w:id="24" w:name="_Toc153338894"/>
      <w:r>
        <w:rPr>
          <w:sz w:val="28"/>
        </w:rPr>
        <w:lastRenderedPageBreak/>
        <w:t>Defined terms</w:t>
      </w:r>
      <w:bookmarkEnd w:id="18"/>
      <w:bookmarkEnd w:id="19"/>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Code</w:t>
      </w:r>
      <w:r>
        <w:tab/>
        <w:t>3(1)</w:t>
      </w:r>
    </w:p>
    <w:p>
      <w:pPr>
        <w:pStyle w:val="DefinedTerms"/>
      </w:pPr>
      <w:r>
        <w:t>core function costs</w:t>
      </w:r>
      <w:r>
        <w:tab/>
        <w:t>3(1)</w:t>
      </w:r>
    </w:p>
    <w:p>
      <w:pPr>
        <w:pStyle w:val="DefinedTerms"/>
      </w:pPr>
      <w:r>
        <w:t>covered route</w:t>
      </w:r>
      <w:r>
        <w:tab/>
        <w:t>3(1)</w:t>
      </w:r>
    </w:p>
    <w:p>
      <w:pPr>
        <w:pStyle w:val="DefinedTerms"/>
      </w:pPr>
      <w:r>
        <w:t>evidentiary certificate</w:t>
      </w:r>
      <w:r>
        <w:tab/>
        <w:t>8(3)</w:t>
      </w:r>
    </w:p>
    <w:p>
      <w:pPr>
        <w:pStyle w:val="DefinedTerms"/>
      </w:pPr>
      <w:r>
        <w:t>prescribed rate</w:t>
      </w:r>
      <w:r>
        <w:tab/>
        <w:t>3(1)</w:t>
      </w:r>
    </w:p>
    <w:p>
      <w:pPr>
        <w:pStyle w:val="DefinedTerms"/>
      </w:pPr>
      <w:r>
        <w:t>quarter</w:t>
      </w:r>
      <w:r>
        <w:tab/>
        <w:t>3(1)</w:t>
      </w:r>
    </w:p>
    <w:p>
      <w:pPr>
        <w:pStyle w:val="DefinedTerms"/>
      </w:pPr>
      <w:r>
        <w:t>railway owner</w:t>
      </w:r>
      <w:r>
        <w:tab/>
        <w:t>6(1)</w:t>
      </w:r>
    </w:p>
    <w:p>
      <w:pPr>
        <w:pStyle w:val="DefinedTerms"/>
      </w:pPr>
      <w:r>
        <w:t>specific charge</w:t>
      </w:r>
      <w:r>
        <w:tab/>
        <w:t>3(1)</w:t>
      </w:r>
    </w:p>
    <w:p>
      <w:pPr>
        <w:pStyle w:val="DefinedTerms"/>
      </w:pPr>
      <w:r>
        <w:t>standing charge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148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 w:name="WAFER_20231211114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114837_GUID" w:val="c486a3ac-dc85-4535-a7f5-244eaae630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49DA-3A82-444B-998B-5A3FC02C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2060</Words>
  <Characters>10116</Characters>
  <Application>Microsoft Office Word</Application>
  <DocSecurity>0</DocSecurity>
  <Lines>306</Lines>
  <Paragraphs>190</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2019 - 00-c0-01</dc:title>
  <dc:subject/>
  <dc:creator/>
  <cp:keywords/>
  <dc:description/>
  <cp:lastModifiedBy>Master Repository Process</cp:lastModifiedBy>
  <cp:revision>4</cp:revision>
  <cp:lastPrinted>2019-03-25T02:02:00Z</cp:lastPrinted>
  <dcterms:created xsi:type="dcterms:W3CDTF">2023-12-12T22:00:00Z</dcterms:created>
  <dcterms:modified xsi:type="dcterms:W3CDTF">2023-12-12T22:00:00Z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DocumentType">
    <vt:lpwstr>Reg</vt:lpwstr>
  </property>
  <property fmtid="{D5CDD505-2E9C-101B-9397-08002B2CF9AE}" pid="6" name="CommencementDate">
    <vt:lpwstr>20231213</vt:lpwstr>
  </property>
  <property fmtid="{D5CDD505-2E9C-101B-9397-08002B2CF9AE}" pid="7" name="CommencementYear">
    <vt:lpwstr>2023</vt:lpwstr>
  </property>
  <property fmtid="{D5CDD505-2E9C-101B-9397-08002B2CF9AE}" pid="8" name="AsAtDate">
    <vt:lpwstr>13 Dec 2023</vt:lpwstr>
  </property>
  <property fmtid="{D5CDD505-2E9C-101B-9397-08002B2CF9AE}" pid="9" name="Suffix">
    <vt:lpwstr>00-c0-01</vt:lpwstr>
  </property>
  <property fmtid="{D5CDD505-2E9C-101B-9397-08002B2CF9AE}" pid="10" name="Official">
    <vt:lpwstr/>
  </property>
</Properties>
</file>