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_Toc152594820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_Toc152594821 \h </w:instrText>
      </w:r>
      <w:r>
        <w:fldChar w:fldCharType="separate"/>
      </w:r>
      <w:r>
        <w:t>2</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_Toc152594822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_Toc152594823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_Toc152594824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Applied provisions</w:t>
      </w:r>
    </w:p>
    <w:p>
      <w:pPr>
        <w:pStyle w:val="TOC8"/>
        <w:rPr>
          <w:rFonts w:asciiTheme="minorHAnsi" w:eastAsiaTheme="minorEastAsia" w:hAnsiTheme="minorHAnsi" w:cstheme="minorBidi"/>
          <w:szCs w:val="22"/>
        </w:rPr>
      </w:pPr>
      <w:r>
        <w:t>6.</w:t>
      </w:r>
      <w:r>
        <w:tab/>
        <w:t>Application of Domestic Commercial Vessel National Law as State law</w:t>
      </w:r>
      <w:r>
        <w:tab/>
      </w:r>
      <w:r>
        <w:fldChar w:fldCharType="begin"/>
      </w:r>
      <w:r>
        <w:instrText xml:space="preserve"> PAGEREF _Toc152594826 \h </w:instrText>
      </w:r>
      <w:r>
        <w:fldChar w:fldCharType="separate"/>
      </w:r>
      <w:r>
        <w:t>5</w:t>
      </w:r>
      <w:r>
        <w:fldChar w:fldCharType="end"/>
      </w:r>
    </w:p>
    <w:p>
      <w:pPr>
        <w:pStyle w:val="TOC8"/>
        <w:rPr>
          <w:rFonts w:asciiTheme="minorHAnsi" w:eastAsiaTheme="minorEastAsia" w:hAnsiTheme="minorHAnsi" w:cstheme="minorBidi"/>
          <w:szCs w:val="22"/>
        </w:rPr>
      </w:pPr>
      <w:r>
        <w:t>7.</w:t>
      </w:r>
      <w:r>
        <w:tab/>
        <w:t>Tabling amending Acts</w:t>
      </w:r>
      <w:r>
        <w:tab/>
      </w:r>
      <w:r>
        <w:fldChar w:fldCharType="begin"/>
      </w:r>
      <w:r>
        <w:instrText xml:space="preserve"> PAGEREF _Toc152594827 \h </w:instrText>
      </w:r>
      <w:r>
        <w:fldChar w:fldCharType="separate"/>
      </w:r>
      <w:r>
        <w:t>6</w:t>
      </w:r>
      <w:r>
        <w:fldChar w:fldCharType="end"/>
      </w:r>
    </w:p>
    <w:p>
      <w:pPr>
        <w:pStyle w:val="TOC8"/>
        <w:rPr>
          <w:rFonts w:asciiTheme="minorHAnsi" w:eastAsiaTheme="minorEastAsia" w:hAnsiTheme="minorHAnsi" w:cstheme="minorBidi"/>
          <w:szCs w:val="22"/>
        </w:rPr>
      </w:pPr>
      <w:r>
        <w:t>8.</w:t>
      </w:r>
      <w:r>
        <w:tab/>
        <w:t>Disallowance of amending Acts</w:t>
      </w:r>
      <w:r>
        <w:tab/>
      </w:r>
      <w:r>
        <w:fldChar w:fldCharType="begin"/>
      </w:r>
      <w:r>
        <w:instrText xml:space="preserve"> PAGEREF _Toc152594828 \h </w:instrText>
      </w:r>
      <w:r>
        <w:fldChar w:fldCharType="separate"/>
      </w:r>
      <w:r>
        <w:t>6</w:t>
      </w:r>
      <w:r>
        <w:fldChar w:fldCharType="end"/>
      </w:r>
    </w:p>
    <w:p>
      <w:pPr>
        <w:pStyle w:val="TOC8"/>
        <w:rPr>
          <w:rFonts w:asciiTheme="minorHAnsi" w:eastAsiaTheme="minorEastAsia" w:hAnsiTheme="minorHAnsi" w:cstheme="minorBidi"/>
          <w:szCs w:val="22"/>
        </w:rPr>
      </w:pPr>
      <w:r>
        <w:t>9.</w:t>
      </w:r>
      <w:r>
        <w:tab/>
        <w:t>Commencement of provisions of amending Acts</w:t>
      </w:r>
      <w:r>
        <w:tab/>
      </w:r>
      <w:r>
        <w:fldChar w:fldCharType="begin"/>
      </w:r>
      <w:r>
        <w:instrText xml:space="preserve"> PAGEREF _Toc152594829 \h </w:instrText>
      </w:r>
      <w:r>
        <w:fldChar w:fldCharType="separate"/>
      </w:r>
      <w:r>
        <w:t>7</w:t>
      </w:r>
      <w:r>
        <w:fldChar w:fldCharType="end"/>
      </w:r>
    </w:p>
    <w:p>
      <w:pPr>
        <w:pStyle w:val="TOC8"/>
        <w:rPr>
          <w:rFonts w:asciiTheme="minorHAnsi" w:eastAsiaTheme="minorEastAsia" w:hAnsiTheme="minorHAnsi" w:cstheme="minorBidi"/>
          <w:szCs w:val="22"/>
        </w:rPr>
      </w:pPr>
      <w:r>
        <w:t>10.</w:t>
      </w:r>
      <w:r>
        <w:tab/>
        <w:t>Amending Acts enacted on or after 15 May 2023 but before commencement day</w:t>
      </w:r>
      <w:r>
        <w:tab/>
      </w:r>
      <w:r>
        <w:fldChar w:fldCharType="begin"/>
      </w:r>
      <w:r>
        <w:instrText xml:space="preserve"> PAGEREF _Toc152594830 \h </w:instrText>
      </w:r>
      <w:r>
        <w:fldChar w:fldCharType="separate"/>
      </w:r>
      <w:r>
        <w:t>8</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_Toc152594831 \h </w:instrText>
      </w:r>
      <w:r>
        <w:fldChar w:fldCharType="separate"/>
      </w:r>
      <w:r>
        <w:t>8</w:t>
      </w:r>
      <w:r>
        <w:fldChar w:fldCharType="end"/>
      </w:r>
    </w:p>
    <w:p>
      <w:pPr>
        <w:pStyle w:val="TOC8"/>
        <w:rPr>
          <w:rFonts w:asciiTheme="minorHAnsi" w:eastAsiaTheme="minorEastAsia" w:hAnsiTheme="minorHAnsi" w:cstheme="minorBidi"/>
          <w:szCs w:val="22"/>
        </w:rPr>
      </w:pPr>
      <w:r>
        <w:t>12.</w:t>
      </w:r>
      <w:r>
        <w:tab/>
        <w:t>Legislative instruments under Scheduled Law</w:t>
      </w:r>
      <w:r>
        <w:tab/>
      </w:r>
      <w:r>
        <w:fldChar w:fldCharType="begin"/>
      </w:r>
      <w:r>
        <w:instrText xml:space="preserve"> PAGEREF _Toc152594832 \h </w:instrText>
      </w:r>
      <w:r>
        <w:fldChar w:fldCharType="separate"/>
      </w:r>
      <w:r>
        <w:t>9</w:t>
      </w:r>
      <w:r>
        <w:fldChar w:fldCharType="end"/>
      </w:r>
    </w:p>
    <w:p>
      <w:pPr>
        <w:pStyle w:val="TOC8"/>
        <w:rPr>
          <w:rFonts w:asciiTheme="minorHAnsi" w:eastAsiaTheme="minorEastAsia" w:hAnsiTheme="minorHAnsi" w:cstheme="minorBidi"/>
          <w:szCs w:val="22"/>
        </w:rPr>
      </w:pPr>
      <w:r>
        <w:t>13.</w:t>
      </w:r>
      <w:r>
        <w:tab/>
        <w:t>Legislative instruments made under or for purposes of amending Act</w:t>
      </w:r>
      <w:r>
        <w:tab/>
      </w:r>
      <w:r>
        <w:fldChar w:fldCharType="begin"/>
      </w:r>
      <w:r>
        <w:instrText xml:space="preserve"> PAGEREF _Toc152594833 \h </w:instrText>
      </w:r>
      <w:r>
        <w:fldChar w:fldCharType="separate"/>
      </w:r>
      <w:r>
        <w:t>9</w:t>
      </w:r>
      <w:r>
        <w:fldChar w:fldCharType="end"/>
      </w:r>
    </w:p>
    <w:p>
      <w:pPr>
        <w:pStyle w:val="TOC8"/>
        <w:rPr>
          <w:rFonts w:asciiTheme="minorHAnsi" w:eastAsiaTheme="minorEastAsia" w:hAnsiTheme="minorHAnsi" w:cstheme="minorBidi"/>
          <w:szCs w:val="22"/>
        </w:rPr>
      </w:pPr>
      <w:r>
        <w:t>14.</w:t>
      </w:r>
      <w:r>
        <w:tab/>
        <w:t>Publication of legislative instruments made under Scheduled Law</w:t>
      </w:r>
      <w:r>
        <w:tab/>
      </w:r>
      <w:r>
        <w:fldChar w:fldCharType="begin"/>
      </w:r>
      <w:r>
        <w:instrText xml:space="preserve"> PAGEREF _Toc152594834 \h </w:instrText>
      </w:r>
      <w:r>
        <w:fldChar w:fldCharType="separate"/>
      </w:r>
      <w:r>
        <w:t>10</w:t>
      </w:r>
      <w:r>
        <w:fldChar w:fldCharType="end"/>
      </w:r>
    </w:p>
    <w:p>
      <w:pPr>
        <w:pStyle w:val="TOC8"/>
        <w:rPr>
          <w:rFonts w:asciiTheme="minorHAnsi" w:eastAsiaTheme="minorEastAsia" w:hAnsiTheme="minorHAnsi" w:cstheme="minorBidi"/>
          <w:szCs w:val="22"/>
        </w:rPr>
      </w:pPr>
      <w:r>
        <w:t>15.</w:t>
      </w:r>
      <w:r>
        <w:tab/>
        <w:t>Tabling and disallowance of legislative instruments under Scheduled Law</w:t>
      </w:r>
      <w:r>
        <w:tab/>
      </w:r>
      <w:r>
        <w:fldChar w:fldCharType="begin"/>
      </w:r>
      <w:r>
        <w:instrText xml:space="preserve"> PAGEREF _Toc152594835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of savings and transitional provisions consequent on Scheduled Law</w:t>
      </w:r>
      <w:r>
        <w:tab/>
      </w:r>
      <w:r>
        <w:fldChar w:fldCharType="begin"/>
      </w:r>
      <w:r>
        <w:instrText xml:space="preserve"> PAGEREF _Toc152594836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Interpretation of applied provisions</w:t>
      </w:r>
      <w:r>
        <w:tab/>
      </w:r>
      <w:r>
        <w:fldChar w:fldCharType="begin"/>
      </w:r>
      <w:r>
        <w:instrText xml:space="preserve"> PAGEREF _Toc152594837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under applied provisions</w:t>
      </w:r>
    </w:p>
    <w:p>
      <w:pPr>
        <w:pStyle w:val="TOC8"/>
        <w:rPr>
          <w:rFonts w:asciiTheme="minorHAnsi" w:eastAsiaTheme="minorEastAsia" w:hAnsiTheme="minorHAnsi" w:cstheme="minorBidi"/>
          <w:szCs w:val="22"/>
        </w:rPr>
      </w:pPr>
      <w:r>
        <w:t>18.</w:t>
      </w:r>
      <w:r>
        <w:tab/>
        <w:t>Functions and powers of National Regulator and other authorities and officers</w:t>
      </w:r>
      <w:r>
        <w:tab/>
      </w:r>
      <w:r>
        <w:fldChar w:fldCharType="begin"/>
      </w:r>
      <w:r>
        <w:instrText xml:space="preserve"> PAGEREF _Toc152594839 \h </w:instrText>
      </w:r>
      <w:r>
        <w:fldChar w:fldCharType="separate"/>
      </w:r>
      <w:r>
        <w:t>13</w:t>
      </w:r>
      <w:r>
        <w:fldChar w:fldCharType="end"/>
      </w:r>
    </w:p>
    <w:p>
      <w:pPr>
        <w:pStyle w:val="TOC8"/>
        <w:rPr>
          <w:rFonts w:asciiTheme="minorHAnsi" w:eastAsiaTheme="minorEastAsia" w:hAnsiTheme="minorHAnsi" w:cstheme="minorBidi"/>
          <w:szCs w:val="22"/>
        </w:rPr>
      </w:pPr>
      <w:r>
        <w:t>19.</w:t>
      </w:r>
      <w:r>
        <w:tab/>
        <w:t>Delegations by National Regulator</w:t>
      </w:r>
      <w:r>
        <w:tab/>
      </w:r>
      <w:r>
        <w:fldChar w:fldCharType="begin"/>
      </w:r>
      <w:r>
        <w:instrText xml:space="preserve"> PAGEREF _Toc152594840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20.</w:t>
      </w:r>
      <w:r>
        <w:tab/>
        <w:t>Object of Part</w:t>
      </w:r>
      <w:r>
        <w:tab/>
      </w:r>
      <w:r>
        <w:fldChar w:fldCharType="begin"/>
      </w:r>
      <w:r>
        <w:instrText xml:space="preserve"> PAGEREF _Toc152594842 \h </w:instrText>
      </w:r>
      <w:r>
        <w:fldChar w:fldCharType="separate"/>
      </w:r>
      <w:r>
        <w:t>14</w:t>
      </w:r>
      <w:r>
        <w:fldChar w:fldCharType="end"/>
      </w:r>
    </w:p>
    <w:p>
      <w:pPr>
        <w:pStyle w:val="TOC8"/>
        <w:rPr>
          <w:rFonts w:asciiTheme="minorHAnsi" w:eastAsiaTheme="minorEastAsia" w:hAnsiTheme="minorHAnsi" w:cstheme="minorBidi"/>
          <w:szCs w:val="22"/>
        </w:rPr>
      </w:pPr>
      <w:r>
        <w:t>21.</w:t>
      </w:r>
      <w:r>
        <w:tab/>
        <w:t>Application of Commonwealth criminal laws to offences against applied provisions</w:t>
      </w:r>
      <w:r>
        <w:tab/>
      </w:r>
      <w:r>
        <w:fldChar w:fldCharType="begin"/>
      </w:r>
      <w:r>
        <w:instrText xml:space="preserve"> PAGEREF _Toc152594843 \h </w:instrText>
      </w:r>
      <w:r>
        <w:fldChar w:fldCharType="separate"/>
      </w:r>
      <w:r>
        <w:t>15</w:t>
      </w:r>
      <w:r>
        <w:fldChar w:fldCharType="end"/>
      </w:r>
    </w:p>
    <w:p>
      <w:pPr>
        <w:pStyle w:val="TOC8"/>
        <w:rPr>
          <w:rFonts w:asciiTheme="minorHAnsi" w:eastAsiaTheme="minorEastAsia" w:hAnsiTheme="minorHAnsi" w:cstheme="minorBidi"/>
          <w:szCs w:val="22"/>
        </w:rPr>
      </w:pPr>
      <w:r>
        <w:t>22.</w:t>
      </w:r>
      <w:r>
        <w:tab/>
        <w:t>Functions and powers conferred on Commonwealth officers and authorities relating to offences</w:t>
      </w:r>
      <w:r>
        <w:tab/>
      </w:r>
      <w:r>
        <w:fldChar w:fldCharType="begin"/>
      </w:r>
      <w:r>
        <w:instrText xml:space="preserve"> PAGEREF _Toc152594844 \h </w:instrText>
      </w:r>
      <w:r>
        <w:fldChar w:fldCharType="separate"/>
      </w:r>
      <w:r>
        <w:t>15</w:t>
      </w:r>
      <w:r>
        <w:fldChar w:fldCharType="end"/>
      </w:r>
    </w:p>
    <w:p>
      <w:pPr>
        <w:pStyle w:val="TOC8"/>
        <w:rPr>
          <w:rFonts w:asciiTheme="minorHAnsi" w:eastAsiaTheme="minorEastAsia" w:hAnsiTheme="minorHAnsi" w:cstheme="minorBidi"/>
          <w:szCs w:val="22"/>
        </w:rPr>
      </w:pPr>
      <w:r>
        <w:t>23.</w:t>
      </w:r>
      <w:r>
        <w:tab/>
        <w:t>No double jeopardy for offences against applied provisions</w:t>
      </w:r>
      <w:r>
        <w:tab/>
      </w:r>
      <w:r>
        <w:fldChar w:fldCharType="begin"/>
      </w:r>
      <w:r>
        <w:instrText xml:space="preserve"> PAGEREF _Toc152594845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Administrative laws</w:t>
      </w:r>
    </w:p>
    <w:p>
      <w:pPr>
        <w:pStyle w:val="TOC8"/>
        <w:rPr>
          <w:rFonts w:asciiTheme="minorHAnsi" w:eastAsiaTheme="minorEastAsia" w:hAnsiTheme="minorHAnsi" w:cstheme="minorBidi"/>
          <w:szCs w:val="22"/>
        </w:rPr>
      </w:pPr>
      <w:r>
        <w:t>24.</w:t>
      </w:r>
      <w:r>
        <w:tab/>
        <w:t>Application of Commonwealth administrative laws to applied provisions</w:t>
      </w:r>
      <w:r>
        <w:tab/>
      </w:r>
      <w:r>
        <w:fldChar w:fldCharType="begin"/>
      </w:r>
      <w:r>
        <w:instrText xml:space="preserve"> PAGEREF _Toc152594847 \h </w:instrText>
      </w:r>
      <w:r>
        <w:fldChar w:fldCharType="separate"/>
      </w:r>
      <w:r>
        <w:t>17</w:t>
      </w:r>
      <w:r>
        <w:fldChar w:fldCharType="end"/>
      </w:r>
    </w:p>
    <w:p>
      <w:pPr>
        <w:pStyle w:val="TOC8"/>
        <w:rPr>
          <w:rFonts w:asciiTheme="minorHAnsi" w:eastAsiaTheme="minorEastAsia" w:hAnsiTheme="minorHAnsi" w:cstheme="minorBidi"/>
          <w:szCs w:val="22"/>
        </w:rPr>
      </w:pPr>
      <w:r>
        <w:t>25.</w:t>
      </w:r>
      <w:r>
        <w:tab/>
        <w:t>Functions and powers conferred on Commonwealth officers and authorities</w:t>
      </w:r>
      <w:r>
        <w:tab/>
      </w:r>
      <w:r>
        <w:fldChar w:fldCharType="begin"/>
      </w:r>
      <w:r>
        <w:instrText xml:space="preserve"> PAGEREF _Toc152594848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fines</w:t>
      </w:r>
    </w:p>
    <w:p>
      <w:pPr>
        <w:pStyle w:val="TOC8"/>
        <w:rPr>
          <w:rFonts w:asciiTheme="minorHAnsi" w:eastAsiaTheme="minorEastAsia" w:hAnsiTheme="minorHAnsi" w:cstheme="minorBidi"/>
          <w:szCs w:val="22"/>
        </w:rPr>
      </w:pPr>
      <w:r>
        <w:t>26.</w:t>
      </w:r>
      <w:r>
        <w:tab/>
        <w:t>Fees payable to officers or employees of State acting as delegates</w:t>
      </w:r>
      <w:r>
        <w:tab/>
      </w:r>
      <w:r>
        <w:fldChar w:fldCharType="begin"/>
      </w:r>
      <w:r>
        <w:instrText xml:space="preserve"> PAGEREF _Toc152594850 \h </w:instrText>
      </w:r>
      <w:r>
        <w:fldChar w:fldCharType="separate"/>
      </w:r>
      <w:r>
        <w:t>19</w:t>
      </w:r>
      <w:r>
        <w:fldChar w:fldCharType="end"/>
      </w:r>
    </w:p>
    <w:p>
      <w:pPr>
        <w:pStyle w:val="TOC8"/>
        <w:rPr>
          <w:rFonts w:asciiTheme="minorHAnsi" w:eastAsiaTheme="minorEastAsia" w:hAnsiTheme="minorHAnsi" w:cstheme="minorBidi"/>
          <w:szCs w:val="22"/>
        </w:rPr>
      </w:pPr>
      <w:r>
        <w:t>27.</w:t>
      </w:r>
      <w:r>
        <w:tab/>
        <w:t>Infringement notice fines</w:t>
      </w:r>
      <w:r>
        <w:tab/>
      </w:r>
      <w:r>
        <w:fldChar w:fldCharType="begin"/>
      </w:r>
      <w:r>
        <w:instrText xml:space="preserve"> PAGEREF _Toc152594851 \h </w:instrText>
      </w:r>
      <w:r>
        <w:fldChar w:fldCharType="separate"/>
      </w:r>
      <w:r>
        <w:t>19</w:t>
      </w:r>
      <w:r>
        <w:fldChar w:fldCharType="end"/>
      </w:r>
    </w:p>
    <w:p>
      <w:pPr>
        <w:pStyle w:val="TOC8"/>
        <w:rPr>
          <w:rFonts w:asciiTheme="minorHAnsi" w:eastAsiaTheme="minorEastAsia" w:hAnsiTheme="minorHAnsi" w:cstheme="minorBidi"/>
          <w:szCs w:val="22"/>
        </w:rPr>
      </w:pPr>
      <w:r>
        <w:t>28.</w:t>
      </w:r>
      <w:r>
        <w:tab/>
        <w:t>Fines, fees, other money not otherwise payable to State</w:t>
      </w:r>
      <w:r>
        <w:tab/>
      </w:r>
      <w:r>
        <w:fldChar w:fldCharType="begin"/>
      </w:r>
      <w:r>
        <w:instrText xml:space="preserve"> PAGEREF _Toc152594852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29.</w:t>
      </w:r>
      <w:r>
        <w:tab/>
        <w:t>Things done for multiple purposes</w:t>
      </w:r>
      <w:r>
        <w:tab/>
      </w:r>
      <w:r>
        <w:fldChar w:fldCharType="begin"/>
      </w:r>
      <w:r>
        <w:instrText xml:space="preserve"> PAGEREF _Toc152594854 \h </w:instrText>
      </w:r>
      <w:r>
        <w:fldChar w:fldCharType="separate"/>
      </w:r>
      <w:r>
        <w:t>20</w:t>
      </w:r>
      <w:r>
        <w:fldChar w:fldCharType="end"/>
      </w:r>
    </w:p>
    <w:p>
      <w:pPr>
        <w:pStyle w:val="TOC8"/>
        <w:rPr>
          <w:rFonts w:asciiTheme="minorHAnsi" w:eastAsiaTheme="minorEastAsia" w:hAnsiTheme="minorHAnsi" w:cstheme="minorBidi"/>
          <w:szCs w:val="22"/>
        </w:rPr>
      </w:pPr>
      <w:r>
        <w:t>30.</w:t>
      </w:r>
      <w:r>
        <w:tab/>
        <w:t>Reference in Commonwealth law to provision of another law</w:t>
      </w:r>
      <w:r>
        <w:tab/>
      </w:r>
      <w:r>
        <w:fldChar w:fldCharType="begin"/>
      </w:r>
      <w:r>
        <w:instrText xml:space="preserve"> PAGEREF _Toc152594855 \h </w:instrText>
      </w:r>
      <w:r>
        <w:fldChar w:fldCharType="separate"/>
      </w:r>
      <w:r>
        <w:t>20</w:t>
      </w:r>
      <w:r>
        <w:fldChar w:fldCharType="end"/>
      </w:r>
    </w:p>
    <w:p>
      <w:pPr>
        <w:pStyle w:val="TOC8"/>
        <w:rPr>
          <w:rFonts w:asciiTheme="minorHAnsi" w:eastAsiaTheme="minorEastAsia" w:hAnsiTheme="minorHAnsi" w:cstheme="minorBidi"/>
          <w:szCs w:val="22"/>
        </w:rPr>
      </w:pPr>
      <w:r>
        <w:t>31.</w:t>
      </w:r>
      <w:r>
        <w:tab/>
        <w:t>References to Domestic Commercial Vessel National Law</w:t>
      </w:r>
      <w:r>
        <w:tab/>
      </w:r>
      <w:r>
        <w:fldChar w:fldCharType="begin"/>
      </w:r>
      <w:r>
        <w:instrText xml:space="preserve"> PAGEREF _Toc152594856 \h </w:instrText>
      </w:r>
      <w:r>
        <w:fldChar w:fldCharType="separate"/>
      </w:r>
      <w:r>
        <w:t>20</w:t>
      </w:r>
      <w:r>
        <w:fldChar w:fldCharType="end"/>
      </w:r>
    </w:p>
    <w:p>
      <w:pPr>
        <w:pStyle w:val="TOC8"/>
        <w:rPr>
          <w:rFonts w:asciiTheme="minorHAnsi" w:eastAsiaTheme="minorEastAsia" w:hAnsiTheme="minorHAnsi" w:cstheme="minorBidi"/>
          <w:szCs w:val="22"/>
        </w:rPr>
      </w:pPr>
      <w:r>
        <w:t>32.</w:t>
      </w:r>
      <w:r>
        <w:tab/>
        <w:t>Disclosure of information to National Regulator</w:t>
      </w:r>
      <w:r>
        <w:tab/>
      </w:r>
      <w:r>
        <w:fldChar w:fldCharType="begin"/>
      </w:r>
      <w:r>
        <w:instrText xml:space="preserve"> PAGEREF _Toc152594857 \h </w:instrText>
      </w:r>
      <w:r>
        <w:fldChar w:fldCharType="separate"/>
      </w:r>
      <w:r>
        <w:t>21</w:t>
      </w:r>
      <w:r>
        <w:fldChar w:fldCharType="end"/>
      </w:r>
    </w:p>
    <w:p>
      <w:pPr>
        <w:pStyle w:val="TOC8"/>
        <w:rPr>
          <w:rFonts w:asciiTheme="minorHAnsi" w:eastAsiaTheme="minorEastAsia" w:hAnsiTheme="minorHAnsi" w:cstheme="minorBidi"/>
          <w:szCs w:val="22"/>
        </w:rPr>
      </w:pPr>
      <w:r>
        <w:t>33.</w:t>
      </w:r>
      <w:r>
        <w:tab/>
        <w:t>State regulations</w:t>
      </w:r>
      <w:r>
        <w:tab/>
      </w:r>
      <w:r>
        <w:fldChar w:fldCharType="begin"/>
      </w:r>
      <w:r>
        <w:instrText xml:space="preserve"> PAGEREF _Toc152594858 \h </w:instrText>
      </w:r>
      <w:r>
        <w:fldChar w:fldCharType="separate"/>
      </w:r>
      <w:r>
        <w:t>21</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_Toc152594859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Transitional and savings provisions</w:t>
      </w:r>
    </w:p>
    <w:p>
      <w:pPr>
        <w:pStyle w:val="TOC8"/>
        <w:rPr>
          <w:rFonts w:asciiTheme="minorHAnsi" w:eastAsiaTheme="minorEastAsia" w:hAnsiTheme="minorHAnsi" w:cstheme="minorBidi"/>
          <w:szCs w:val="22"/>
        </w:rPr>
      </w:pPr>
      <w:r>
        <w:t>35.</w:t>
      </w:r>
      <w:r>
        <w:tab/>
        <w:t>Transitional regulations</w:t>
      </w:r>
      <w:r>
        <w:tab/>
      </w:r>
      <w:r>
        <w:fldChar w:fldCharType="begin"/>
      </w:r>
      <w:r>
        <w:instrText xml:space="preserve"> PAGEREF _Toc152594861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10 — Other Acts amended or repealed</w:t>
      </w:r>
    </w:p>
    <w:p>
      <w:pPr>
        <w:pStyle w:val="TOC4"/>
        <w:tabs>
          <w:tab w:val="right" w:leader="dot" w:pos="7077"/>
        </w:tabs>
        <w:rPr>
          <w:rFonts w:asciiTheme="minorHAnsi" w:eastAsiaTheme="minorEastAsia" w:hAnsiTheme="minorHAnsi" w:cstheme="minorBidi"/>
          <w:b w:val="0"/>
          <w:szCs w:val="22"/>
        </w:rPr>
      </w:pPr>
      <w:r>
        <w:t>Division 6 — </w:t>
      </w:r>
      <w:r>
        <w:rPr>
          <w:i/>
        </w:rPr>
        <w:t>Sentencing Act 1995</w:t>
      </w:r>
      <w:r>
        <w:t xml:space="preserve"> amended</w:t>
      </w:r>
    </w:p>
    <w:p>
      <w:pPr>
        <w:pStyle w:val="TOC8"/>
        <w:rPr>
          <w:rFonts w:asciiTheme="minorHAnsi" w:eastAsiaTheme="minorEastAsia" w:hAnsiTheme="minorHAnsi" w:cstheme="minorBidi"/>
          <w:szCs w:val="22"/>
        </w:rPr>
      </w:pPr>
      <w:r>
        <w:t>114.</w:t>
      </w:r>
      <w:r>
        <w:tab/>
        <w:t>Act amended</w:t>
      </w:r>
      <w:r>
        <w:tab/>
      </w:r>
      <w:r>
        <w:fldChar w:fldCharType="begin"/>
      </w:r>
      <w:r>
        <w:instrText xml:space="preserve"> PAGEREF _Toc152594864 \h </w:instrText>
      </w:r>
      <w:r>
        <w:fldChar w:fldCharType="separate"/>
      </w:r>
      <w:r>
        <w:t>23</w:t>
      </w:r>
      <w:r>
        <w:fldChar w:fldCharType="end"/>
      </w:r>
    </w:p>
    <w:p>
      <w:pPr>
        <w:pStyle w:val="TOC8"/>
        <w:rPr>
          <w:rFonts w:asciiTheme="minorHAnsi" w:eastAsiaTheme="minorEastAsia" w:hAnsiTheme="minorHAnsi" w:cstheme="minorBidi"/>
          <w:szCs w:val="22"/>
        </w:rPr>
      </w:pPr>
      <w:r>
        <w:t>115.</w:t>
      </w:r>
      <w:r>
        <w:tab/>
        <w:t>Section 107 amended</w:t>
      </w:r>
      <w:r>
        <w:tab/>
      </w:r>
      <w:r>
        <w:fldChar w:fldCharType="begin"/>
      </w:r>
      <w:r>
        <w:instrText xml:space="preserve"> PAGEREF _Toc152594865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_Toc152594867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_Toc152594868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Marine Safety (Domestic Commercial Vessel National Law Application) Act 2023</w:t>
      </w:r>
    </w:p>
    <w:p>
      <w:pPr>
        <w:pStyle w:val="LongTitle"/>
      </w:pPr>
      <w:bookmarkStart w:id="2" w:name="BillCited"/>
      <w:bookmarkEnd w:id="2"/>
      <w:r>
        <w:t xml:space="preserve">An Act — </w:t>
      </w:r>
    </w:p>
    <w:p>
      <w:pPr>
        <w:pStyle w:val="LongTitle"/>
        <w:numPr>
          <w:ilvl w:val="0"/>
          <w:numId w:val="2"/>
        </w:numPr>
        <w:ind w:left="426" w:hanging="426"/>
        <w:rPr>
          <w:snapToGrid w:val="0"/>
        </w:rPr>
      </w:pPr>
      <w:r>
        <w:rPr>
          <w:snapToGrid w:val="0"/>
        </w:rPr>
        <w:t>to apply a national law relating to marine safety for domestic commercial vessels as a law of the State; and</w:t>
      </w:r>
    </w:p>
    <w:p>
      <w:pPr>
        <w:pStyle w:val="LongTitle"/>
        <w:numPr>
          <w:ilvl w:val="0"/>
          <w:numId w:val="2"/>
        </w:numPr>
        <w:ind w:left="426" w:hanging="426"/>
        <w:rPr>
          <w:snapToGrid w:val="0"/>
        </w:rPr>
      </w:pPr>
      <w:r>
        <w:rPr>
          <w:snapToGrid w:val="0"/>
        </w:rPr>
        <w:t xml:space="preserve">to make consequential and other amendments to the </w:t>
      </w:r>
      <w:r>
        <w:rPr>
          <w:i/>
          <w:snapToGrid w:val="0"/>
        </w:rPr>
        <w:t>Western Australian Marine Act 1982</w:t>
      </w:r>
      <w:r>
        <w:rPr>
          <w:snapToGrid w:val="0"/>
        </w:rPr>
        <w:t>; and</w:t>
      </w:r>
    </w:p>
    <w:p>
      <w:pPr>
        <w:pStyle w:val="LongTitle"/>
        <w:numPr>
          <w:ilvl w:val="0"/>
          <w:numId w:val="2"/>
        </w:numPr>
        <w:ind w:left="426" w:hanging="426"/>
        <w:rPr>
          <w:snapToGrid w:val="0"/>
        </w:rPr>
      </w:pPr>
      <w:r>
        <w:rPr>
          <w:snapToGrid w:val="0"/>
        </w:rPr>
        <w:t>to make consequential amendments to various other Acts; and</w:t>
      </w:r>
    </w:p>
    <w:p>
      <w:pPr>
        <w:pStyle w:val="LongTitle"/>
        <w:numPr>
          <w:ilvl w:val="0"/>
          <w:numId w:val="2"/>
        </w:numPr>
        <w:ind w:left="426" w:hanging="426"/>
        <w:rPr>
          <w:snapToGrid w:val="0"/>
        </w:rPr>
      </w:pPr>
      <w:r>
        <w:rPr>
          <w:snapToGrid w:val="0"/>
        </w:rP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49055605"/>
      <w:bookmarkStart w:id="4" w:name="_Toc149057025"/>
      <w:bookmarkStart w:id="5" w:name="_Toc149057064"/>
      <w:bookmarkStart w:id="6" w:name="_Toc149057330"/>
      <w:bookmarkStart w:id="7" w:name="_Toc149058025"/>
      <w:bookmarkStart w:id="8" w:name="_Toc152594623"/>
      <w:bookmarkStart w:id="9" w:name="_Toc15259481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52594820"/>
      <w:r>
        <w:rPr>
          <w:rStyle w:val="CharSectno"/>
        </w:rPr>
        <w:t>1</w:t>
      </w:r>
      <w:r>
        <w:t>.</w:t>
      </w:r>
      <w:r>
        <w:tab/>
        <w:t>Short title</w:t>
      </w:r>
      <w:bookmarkEnd w:id="10"/>
    </w:p>
    <w:p>
      <w:pPr>
        <w:pStyle w:val="Subsection"/>
      </w:pPr>
      <w:r>
        <w:tab/>
      </w:r>
      <w:r>
        <w:tab/>
        <w:t>This is the</w:t>
      </w:r>
      <w:r>
        <w:rPr>
          <w:i/>
        </w:rPr>
        <w:t xml:space="preserve"> Marine Safety (Domestic Commercial Vessel National Law Application) Act 2023</w:t>
      </w:r>
      <w:r>
        <w:t>.</w:t>
      </w:r>
    </w:p>
    <w:p>
      <w:pPr>
        <w:pStyle w:val="Heading5"/>
      </w:pPr>
      <w:bookmarkStart w:id="11" w:name="_Toc152594821"/>
      <w:r>
        <w:rPr>
          <w:rStyle w:val="CharSectno"/>
        </w:rPr>
        <w:t>2</w:t>
      </w:r>
      <w:r>
        <w:t>.</w:t>
      </w:r>
      <w:r>
        <w:tab/>
        <w:t>Commencement</w:t>
      </w:r>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52594822"/>
      <w:r>
        <w:rPr>
          <w:rStyle w:val="CharSectno"/>
        </w:rPr>
        <w:t>3</w:t>
      </w:r>
      <w:r>
        <w:t>.</w:t>
      </w:r>
      <w:r>
        <w:tab/>
        <w:t>Purpose of Act</w:t>
      </w:r>
      <w:bookmarkEnd w:id="12"/>
    </w:p>
    <w:p>
      <w:pPr>
        <w:pStyle w:val="Subsection"/>
      </w:pPr>
      <w:r>
        <w:tab/>
        <w:t>(1)</w:t>
      </w:r>
      <w:r>
        <w:tab/>
        <w:t>The purpose of this Act is to adopt in the State a national approach to the regulation of marine safety in relation to domestic commercial vessels.</w:t>
      </w:r>
    </w:p>
    <w:p>
      <w:pPr>
        <w:pStyle w:val="Subsection"/>
      </w:pPr>
      <w:r>
        <w:tab/>
        <w:t>(2)</w:t>
      </w:r>
      <w:r>
        <w:tab/>
        <w:t xml:space="preserve">Accordingly, this Act — </w:t>
      </w:r>
    </w:p>
    <w:p>
      <w:pPr>
        <w:pStyle w:val="Indenta"/>
      </w:pPr>
      <w:r>
        <w:tab/>
        <w:t>(a)</w:t>
      </w:r>
      <w:r>
        <w:tab/>
        <w:t>applies the Commonwealth domestic commercial vessel national law as a law of the State, subject to the disallowance processes under Part 2; and</w:t>
      </w:r>
    </w:p>
    <w:p>
      <w:pPr>
        <w:pStyle w:val="Indenta"/>
      </w:pPr>
      <w:r>
        <w:tab/>
        <w:t>(b)</w:t>
      </w:r>
      <w:r>
        <w:tab/>
        <w:t>provides for the Commonwealth domestic commercial vessel national law and the applied provisions of the State to be administered on a uniform basis by the Commonwealth, and by State officials as delegates of the Commonwealth, as if they constituted a single law of the Commonwealth.</w:t>
      </w:r>
    </w:p>
    <w:p>
      <w:pPr>
        <w:pStyle w:val="Heading5"/>
      </w:pPr>
      <w:bookmarkStart w:id="13" w:name="_Toc152594823"/>
      <w:r>
        <w:rPr>
          <w:rStyle w:val="CharSectno"/>
        </w:rPr>
        <w:t>4</w:t>
      </w:r>
      <w:r>
        <w:t>.</w:t>
      </w:r>
      <w:r>
        <w:tab/>
        <w:t>Terms used</w:t>
      </w:r>
      <w:bookmarkEnd w:id="13"/>
    </w:p>
    <w:p>
      <w:pPr>
        <w:pStyle w:val="Subsection"/>
      </w:pPr>
      <w:r>
        <w:tab/>
        <w:t>(1)</w:t>
      </w:r>
      <w:r>
        <w:tab/>
        <w:t xml:space="preserve">In this Act — </w:t>
      </w:r>
    </w:p>
    <w:p>
      <w:pPr>
        <w:pStyle w:val="Defstart"/>
      </w:pPr>
      <w:r>
        <w:tab/>
      </w:r>
      <w:r>
        <w:rPr>
          <w:rStyle w:val="CharDefText"/>
        </w:rPr>
        <w:t>amend</w:t>
      </w:r>
      <w:r>
        <w:t xml:space="preserve"> includes replace;</w:t>
      </w:r>
    </w:p>
    <w:p>
      <w:pPr>
        <w:pStyle w:val="Defstart"/>
      </w:pPr>
      <w:r>
        <w:tab/>
      </w:r>
      <w:r>
        <w:rPr>
          <w:rStyle w:val="CharDefText"/>
        </w:rPr>
        <w:t>amending Act</w:t>
      </w:r>
      <w:r>
        <w:t xml:space="preserve"> means a Commonwealth Act to the extent that it amends the Marine Safety (Domestic Commercial Vessel) </w:t>
      </w:r>
      <w:r>
        <w:lastRenderedPageBreak/>
        <w:t>National Law of the Commonwealth and that receives the Royal Assent on or after 15 May 2023;</w:t>
      </w:r>
    </w:p>
    <w:p>
      <w:pPr>
        <w:pStyle w:val="Defstart"/>
      </w:pPr>
      <w:r>
        <w:tab/>
      </w:r>
      <w:r>
        <w:rPr>
          <w:rStyle w:val="CharDefText"/>
        </w:rPr>
        <w:t>applied provisions</w:t>
      </w:r>
      <w:r>
        <w:t xml:space="preserve"> means the Domestic Commercial Vessel National Law that applies as a law of the State because of section 6;</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Commonwealth administrative laws</w:t>
      </w:r>
      <w:r>
        <w:t xml:space="preserve"> means the following — </w:t>
      </w:r>
    </w:p>
    <w:p>
      <w:pPr>
        <w:pStyle w:val="Defpara"/>
      </w:pPr>
      <w:r>
        <w:tab/>
        <w:t>(a)</w:t>
      </w:r>
      <w:r>
        <w:tab/>
        <w:t xml:space="preserve">the </w:t>
      </w:r>
      <w:r>
        <w:rPr>
          <w:i/>
        </w:rPr>
        <w:t>Administrative Appeals Tribunal Act 1975</w:t>
      </w:r>
      <w:r>
        <w:t xml:space="preserve"> (Commonwealth) (excluding Part IVA);</w:t>
      </w:r>
    </w:p>
    <w:p>
      <w:pPr>
        <w:pStyle w:val="Defpara"/>
      </w:pPr>
      <w:r>
        <w:tab/>
        <w:t>(b)</w:t>
      </w:r>
      <w:r>
        <w:tab/>
        <w:t xml:space="preserve">the </w:t>
      </w:r>
      <w:r>
        <w:rPr>
          <w:i/>
        </w:rPr>
        <w:t>Freedom of Information Act 1982</w:t>
      </w:r>
      <w:r>
        <w:t xml:space="preserve"> (Commonwealth);</w:t>
      </w:r>
    </w:p>
    <w:p>
      <w:pPr>
        <w:pStyle w:val="Defpara"/>
      </w:pPr>
      <w:r>
        <w:tab/>
        <w:t>(c)</w:t>
      </w:r>
      <w:r>
        <w:tab/>
        <w:t xml:space="preserve">the </w:t>
      </w:r>
      <w:r>
        <w:rPr>
          <w:i/>
        </w:rPr>
        <w:t>Ombudsman Act 1976</w:t>
      </w:r>
      <w:r>
        <w:t xml:space="preserve"> (Commonwealth);</w:t>
      </w:r>
    </w:p>
    <w:p>
      <w:pPr>
        <w:pStyle w:val="Defpara"/>
      </w:pPr>
      <w:r>
        <w:tab/>
        <w:t>(d)</w:t>
      </w:r>
      <w:r>
        <w:tab/>
        <w:t xml:space="preserve">the </w:t>
      </w:r>
      <w:r>
        <w:rPr>
          <w:i/>
        </w:rPr>
        <w:t>Privacy Act 1988</w:t>
      </w:r>
      <w:r>
        <w:t xml:space="preserve"> (Commonwealth);</w:t>
      </w:r>
    </w:p>
    <w:p>
      <w:pPr>
        <w:pStyle w:val="Defpara"/>
      </w:pPr>
      <w:r>
        <w:tab/>
        <w:t>(e)</w:t>
      </w:r>
      <w:r>
        <w:tab/>
        <w:t>the legislative instruments in force under those Acts;</w:t>
      </w:r>
    </w:p>
    <w:p>
      <w:pPr>
        <w:pStyle w:val="Defstart"/>
      </w:pPr>
      <w:r>
        <w:tab/>
      </w:r>
      <w:r>
        <w:rPr>
          <w:rStyle w:val="CharDefText"/>
        </w:rPr>
        <w:t>Commonwealth domestic commercial vessel national law</w:t>
      </w:r>
      <w:r>
        <w:t xml:space="preserve"> means the provisions of the following Acts or legislative instruments — </w:t>
      </w:r>
    </w:p>
    <w:p>
      <w:pPr>
        <w:pStyle w:val="Defpara"/>
      </w:pPr>
      <w:r>
        <w:tab/>
        <w:t>(a)</w:t>
      </w:r>
      <w:r>
        <w:tab/>
        <w:t>the Marine Safety (Domestic Commercial Vessel) National Law of the Commonwealth;</w:t>
      </w:r>
    </w:p>
    <w:p>
      <w:pPr>
        <w:pStyle w:val="Defpara"/>
      </w:pPr>
      <w:r>
        <w:tab/>
        <w:t>(b)</w:t>
      </w:r>
      <w:r>
        <w:tab/>
        <w:t>the legislative instruments in force under that Law;</w:t>
      </w:r>
    </w:p>
    <w:p>
      <w:pPr>
        <w:pStyle w:val="Defpara"/>
      </w:pPr>
      <w:r>
        <w:tab/>
        <w:t>(c)</w:t>
      </w:r>
      <w:r>
        <w:tab/>
        <w:t>any other provision of a Commonwealth Act (or of a legislative instrument in force under a Commonwealth Act) that is of a savings or transitional nature consequent on the enactment or amendment of that Law;</w:t>
      </w:r>
    </w:p>
    <w:p>
      <w:pPr>
        <w:pStyle w:val="Defstart"/>
      </w:pPr>
      <w:r>
        <w:tab/>
      </w:r>
      <w:r>
        <w:rPr>
          <w:rStyle w:val="CharDefText"/>
        </w:rPr>
        <w:t>legislative instrument</w:t>
      </w:r>
      <w:r>
        <w:t xml:space="preserve"> means a regulation or other legislative instrument;</w:t>
      </w:r>
    </w:p>
    <w:p>
      <w:pPr>
        <w:pStyle w:val="Defstart"/>
        <w:shd w:val="clear" w:color="auto" w:fill="FFFFFF" w:themeFill="background1"/>
      </w:pPr>
      <w:r>
        <w:tab/>
      </w:r>
      <w:r>
        <w:rPr>
          <w:rStyle w:val="CharDefText"/>
        </w:rPr>
        <w:t>Marine Safety (Domestic Commercial Vessel) National Law of the Commonwealth</w:t>
      </w:r>
      <w:r>
        <w:t xml:space="preserve"> means the provisions applying as a law of the Commonwealth because of the </w:t>
      </w:r>
      <w:r>
        <w:rPr>
          <w:i/>
        </w:rPr>
        <w:t>Marine Safety (Domestic Commercial Vessel) National Law Act 2012</w:t>
      </w:r>
      <w:r>
        <w:t xml:space="preserve"> (Commonwealth) section 4;</w:t>
      </w:r>
    </w:p>
    <w:p>
      <w:pPr>
        <w:pStyle w:val="Defstart"/>
      </w:pPr>
      <w:r>
        <w:lastRenderedPageBreak/>
        <w:tab/>
      </w:r>
      <w:r>
        <w:rPr>
          <w:rStyle w:val="CharDefText"/>
        </w:rPr>
        <w:t>Scheduled Law</w:t>
      </w:r>
      <w:r>
        <w:t xml:space="preserve"> means the Marine Safety (Domestic Commercial Vessel) National Law set out in the </w:t>
      </w:r>
      <w:r>
        <w:rPr>
          <w:i/>
        </w:rPr>
        <w:t>Marine Safety (Domestic Commercial Vessel) National Law Act 2012</w:t>
      </w:r>
      <w:r>
        <w:t xml:space="preserve"> (Commonwealth) Schedule 1.</w:t>
      </w:r>
    </w:p>
    <w:p>
      <w:pPr>
        <w:pStyle w:val="Subsection"/>
      </w:pPr>
      <w:r>
        <w:tab/>
        <w:t>(2)</w:t>
      </w:r>
      <w:r>
        <w:tab/>
        <w:t xml:space="preserve">A reference in this Act to a legislative instrument under the Scheduled Law is a reference to a legislative instrument to the extent made or amended — </w:t>
      </w:r>
    </w:p>
    <w:p>
      <w:pPr>
        <w:pStyle w:val="Indenta"/>
      </w:pPr>
      <w:r>
        <w:tab/>
        <w:t>(a)</w:t>
      </w:r>
      <w:r>
        <w:tab/>
        <w:t>under the Scheduled Law; or</w:t>
      </w:r>
    </w:p>
    <w:p>
      <w:pPr>
        <w:pStyle w:val="Indenta"/>
      </w:pPr>
      <w:r>
        <w:tab/>
        <w:t>(b)</w:t>
      </w:r>
      <w:r>
        <w:tab/>
        <w:t>by a provision of a Commonwealth Act for the purposes of the Scheduled Law.</w:t>
      </w:r>
    </w:p>
    <w:p>
      <w:pPr>
        <w:pStyle w:val="Subsection"/>
      </w:pPr>
      <w:r>
        <w:tab/>
        <w:t>(3)</w:t>
      </w:r>
      <w:r>
        <w:tab/>
        <w:t>Terms used in this Act and also in the Commonwealth domestic commercial vessel national law have the same meanings in this Act as they have in that law.</w:t>
      </w:r>
    </w:p>
    <w:p>
      <w:pPr>
        <w:pStyle w:val="Heading5"/>
      </w:pPr>
      <w:bookmarkStart w:id="14" w:name="_Toc152594824"/>
      <w:r>
        <w:rPr>
          <w:rStyle w:val="CharSectno"/>
        </w:rPr>
        <w:t>5</w:t>
      </w:r>
      <w:r>
        <w:t>.</w:t>
      </w:r>
      <w:r>
        <w:tab/>
        <w:t>Act binds Crown</w:t>
      </w:r>
      <w:bookmarkEnd w:id="14"/>
    </w:p>
    <w:p>
      <w:pPr>
        <w:pStyle w:val="Subsection"/>
      </w:pPr>
      <w:r>
        <w:tab/>
      </w:r>
      <w:r>
        <w:tab/>
        <w:t>This Act binds the Crown in right of Western Australia and, so far as the legislative power of the Parliament permits, the Crown in all its other capacities.</w:t>
      </w:r>
    </w:p>
    <w:p>
      <w:pPr>
        <w:pStyle w:val="Heading2"/>
      </w:pPr>
      <w:bookmarkStart w:id="15" w:name="_Toc149055611"/>
      <w:bookmarkStart w:id="16" w:name="_Toc152594629"/>
      <w:bookmarkStart w:id="17" w:name="_Toc152594825"/>
      <w:r>
        <w:rPr>
          <w:rStyle w:val="CharPartNo"/>
        </w:rPr>
        <w:lastRenderedPageBreak/>
        <w:t>Part 2</w:t>
      </w:r>
      <w:r>
        <w:rPr>
          <w:rStyle w:val="CharDivNo"/>
        </w:rPr>
        <w:t> </w:t>
      </w:r>
      <w:r>
        <w:t>—</w:t>
      </w:r>
      <w:r>
        <w:rPr>
          <w:rStyle w:val="CharDivText"/>
        </w:rPr>
        <w:t> </w:t>
      </w:r>
      <w:r>
        <w:rPr>
          <w:rStyle w:val="CharPartText"/>
        </w:rPr>
        <w:t>Applied provisions</w:t>
      </w:r>
      <w:bookmarkEnd w:id="15"/>
      <w:bookmarkEnd w:id="16"/>
      <w:bookmarkEnd w:id="17"/>
    </w:p>
    <w:p>
      <w:pPr>
        <w:pStyle w:val="Heading5"/>
      </w:pPr>
      <w:bookmarkStart w:id="18" w:name="_Toc149055612"/>
      <w:bookmarkStart w:id="19" w:name="_Toc152594826"/>
      <w:r>
        <w:rPr>
          <w:rStyle w:val="CharSectno"/>
        </w:rPr>
        <w:t>6</w:t>
      </w:r>
      <w:r>
        <w:t>.</w:t>
      </w:r>
      <w:r>
        <w:tab/>
        <w:t>Application of Domestic Commercial Vessel National Law as State law</w:t>
      </w:r>
      <w:bookmarkEnd w:id="18"/>
      <w:bookmarkEnd w:id="19"/>
    </w:p>
    <w:p>
      <w:pPr>
        <w:pStyle w:val="Subsection"/>
      </w:pPr>
      <w:r>
        <w:tab/>
        <w:t>(1)</w:t>
      </w:r>
      <w:r>
        <w:tab/>
        <w:t xml:space="preserve">For the purposes of this section, the </w:t>
      </w:r>
      <w:r>
        <w:rPr>
          <w:rStyle w:val="CharDefText"/>
        </w:rPr>
        <w:t>Domestic Commercial Vessel National Law</w:t>
      </w:r>
      <w:r>
        <w:t xml:space="preserve"> consists of —</w:t>
      </w:r>
    </w:p>
    <w:p>
      <w:pPr>
        <w:pStyle w:val="Indenta"/>
      </w:pPr>
      <w:r>
        <w:tab/>
        <w:t>(a)</w:t>
      </w:r>
      <w:r>
        <w:tab/>
        <w:t xml:space="preserve">the Scheduled Law as in force on 15 May 2023 and as amended by each provision that — </w:t>
      </w:r>
    </w:p>
    <w:p>
      <w:pPr>
        <w:pStyle w:val="Indenti"/>
      </w:pPr>
      <w:r>
        <w:tab/>
        <w:t>(i)</w:t>
      </w:r>
      <w:r>
        <w:tab/>
        <w:t>is in an amending Act that has effect for the purposes of this Part under section 8; and</w:t>
      </w:r>
    </w:p>
    <w:p>
      <w:pPr>
        <w:pStyle w:val="Indenti"/>
      </w:pPr>
      <w:r>
        <w:tab/>
        <w:t>(ii)</w:t>
      </w:r>
      <w:r>
        <w:tab/>
        <w:t>has come into operation for the purposes of this Part under section 9;</w:t>
      </w:r>
    </w:p>
    <w:p>
      <w:pPr>
        <w:pStyle w:val="Indenta"/>
      </w:pPr>
      <w:r>
        <w:tab/>
      </w:r>
      <w:r>
        <w:tab/>
        <w:t>and</w:t>
      </w:r>
    </w:p>
    <w:p>
      <w:pPr>
        <w:pStyle w:val="Indenta"/>
      </w:pPr>
      <w:r>
        <w:tab/>
        <w:t>(b)</w:t>
      </w:r>
      <w:r>
        <w:tab/>
        <w:t>subject to section 12, the legislative instruments for the time being in force under the Scheduled Law; and</w:t>
      </w:r>
    </w:p>
    <w:p>
      <w:pPr>
        <w:pStyle w:val="Indenta"/>
      </w:pPr>
      <w:r>
        <w:tab/>
        <w:t>(c)</w:t>
      </w:r>
      <w:r>
        <w:tab/>
        <w:t>subject to section 16, any provision of a Commonwealth Act for the time being in force, or of a legislative instrument for the time being in force under a Commonwealth Act, that is of a savings or transitional nature consequent on the enactment or amendment of the Scheduled Law.</w:t>
      </w:r>
    </w:p>
    <w:p>
      <w:pPr>
        <w:pStyle w:val="Subsection"/>
      </w:pPr>
      <w:r>
        <w:tab/>
        <w:t>(2)</w:t>
      </w:r>
      <w:r>
        <w:tab/>
        <w:t>The Domestic Commercial Vessel National Law applies as a law of the State.</w:t>
      </w:r>
    </w:p>
    <w:p>
      <w:pPr>
        <w:pStyle w:val="Subsection"/>
      </w:pPr>
      <w:r>
        <w:tab/>
        <w:t>(3)</w:t>
      </w:r>
      <w:r>
        <w:tab/>
        <w:t xml:space="preserve">The Domestic Commercial Vessel National Law so applies as if it extended to matters in relation to which the State may make laws — </w:t>
      </w:r>
    </w:p>
    <w:p>
      <w:pPr>
        <w:pStyle w:val="Indenta"/>
      </w:pPr>
      <w:r>
        <w:tab/>
        <w:t>(a)</w:t>
      </w:r>
      <w:r>
        <w:tab/>
        <w:t>whether or not the Commonwealth may make laws in relation to those matters; and</w:t>
      </w:r>
    </w:p>
    <w:p>
      <w:pPr>
        <w:pStyle w:val="Indenta"/>
      </w:pPr>
      <w:r>
        <w:tab/>
        <w:t>(b)</w:t>
      </w:r>
      <w:r>
        <w:tab/>
        <w:t>even though the terms of the Domestic Commercial Vessel National Law provide that it applies only to specified matters with respect to which the Commonwealth may make laws.</w:t>
      </w:r>
    </w:p>
    <w:p>
      <w:pPr>
        <w:pStyle w:val="Subsection"/>
      </w:pPr>
      <w:r>
        <w:lastRenderedPageBreak/>
        <w:tab/>
        <w:t>(4)</w:t>
      </w:r>
      <w:r>
        <w:tab/>
        <w:t>Subsection (3) does not operate to exclude a law of the State relating to marine safety that would not otherwise be excluded by the Commonwealth domestic commercial vessel national law.</w:t>
      </w:r>
    </w:p>
    <w:p>
      <w:pPr>
        <w:pStyle w:val="Subsection"/>
      </w:pPr>
      <w:r>
        <w:tab/>
        <w:t>(5)</w:t>
      </w:r>
      <w:r>
        <w:tab/>
        <w:t>Regulations made under section 33 may provide that the Domestic Commercial Vessel National Law applies under this section as if a specified amendment to the Commonwealth domestic commercial vessel national law made by a law of the Commonwealth had not taken effect.</w:t>
      </w:r>
    </w:p>
    <w:p>
      <w:pPr>
        <w:pStyle w:val="Subsection"/>
      </w:pPr>
      <w:r>
        <w:tab/>
        <w:t>(6)</w:t>
      </w:r>
      <w:r>
        <w:tab/>
        <w:t xml:space="preserve">The provisions of the Domestic Commercial Vessel National Law that apply as a law of the State because of this section apply — </w:t>
      </w:r>
    </w:p>
    <w:p>
      <w:pPr>
        <w:pStyle w:val="Indenta"/>
      </w:pPr>
      <w:r>
        <w:tab/>
        <w:t>(a)</w:t>
      </w:r>
      <w:r>
        <w:tab/>
        <w:t>to the extent to which they are provisions of a Commonwealth Act — as a part of this Act; and</w:t>
      </w:r>
    </w:p>
    <w:p>
      <w:pPr>
        <w:pStyle w:val="Indenta"/>
      </w:pPr>
      <w:r>
        <w:tab/>
        <w:t>(b)</w:t>
      </w:r>
      <w:r>
        <w:tab/>
        <w:t>to the extent to which they are provisions of a legislative instrument — as subsidiary legislation for the purposes of this Act.</w:t>
      </w:r>
    </w:p>
    <w:p>
      <w:pPr>
        <w:pStyle w:val="Heading5"/>
      </w:pPr>
      <w:bookmarkStart w:id="20" w:name="_Toc149055613"/>
      <w:bookmarkStart w:id="21" w:name="_Toc152594827"/>
      <w:r>
        <w:rPr>
          <w:rStyle w:val="CharSectno"/>
        </w:rPr>
        <w:t>7</w:t>
      </w:r>
      <w:r>
        <w:t>.</w:t>
      </w:r>
      <w:r>
        <w:tab/>
        <w:t>Tabling amending Acts</w:t>
      </w:r>
      <w:bookmarkEnd w:id="20"/>
      <w:bookmarkEnd w:id="21"/>
    </w:p>
    <w:p>
      <w:pPr>
        <w:pStyle w:val="Subsection"/>
      </w:pPr>
      <w:r>
        <w:tab/>
      </w:r>
      <w:r>
        <w:tab/>
        <w:t>An amending Act must be laid before each House of Parliament within 18 sitting days of the House after the day on which the Act receives the Royal Assent.</w:t>
      </w:r>
    </w:p>
    <w:p>
      <w:pPr>
        <w:pStyle w:val="Heading5"/>
      </w:pPr>
      <w:bookmarkStart w:id="22" w:name="_Toc149055614"/>
      <w:bookmarkStart w:id="23" w:name="_Toc152594828"/>
      <w:r>
        <w:rPr>
          <w:rStyle w:val="CharSectno"/>
        </w:rPr>
        <w:t>8</w:t>
      </w:r>
      <w:r>
        <w:t>.</w:t>
      </w:r>
      <w:r>
        <w:tab/>
        <w:t>Disallowance of amending Acts</w:t>
      </w:r>
      <w:bookmarkEnd w:id="22"/>
      <w:bookmarkEnd w:id="23"/>
    </w:p>
    <w:p>
      <w:pPr>
        <w:pStyle w:val="Subsection"/>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xml:space="preserve">, in relation to an amending Act laid before a House of Parliament under section 7, means the period of </w:t>
      </w:r>
      <w:r>
        <w:lastRenderedPageBreak/>
        <w:t>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24" w:name="_Toc149055615"/>
      <w:bookmarkStart w:id="25" w:name="_Toc152594829"/>
      <w:r>
        <w:rPr>
          <w:rStyle w:val="CharSectno"/>
        </w:rPr>
        <w:t>9</w:t>
      </w:r>
      <w:r>
        <w:t>.</w:t>
      </w:r>
      <w:r>
        <w:tab/>
        <w:t>Commencement of provisions of amending Acts</w:t>
      </w:r>
      <w:bookmarkEnd w:id="24"/>
      <w:bookmarkEnd w:id="25"/>
    </w:p>
    <w:p>
      <w:pPr>
        <w:pStyle w:val="Subsection"/>
      </w:pPr>
      <w:r>
        <w:tab/>
        <w:t>(1)</w:t>
      </w:r>
      <w:r>
        <w:tab/>
        <w:t>If an amending Act has effect for the purposes of this Part under section 8(2), the Governor must declare that fact by proclamation as soon as practicable.</w:t>
      </w:r>
    </w:p>
    <w:p>
      <w:pPr>
        <w:pStyle w:val="Subsection"/>
        <w:keepNext/>
      </w:pPr>
      <w:r>
        <w:tab/>
        <w:t>(2)</w:t>
      </w:r>
      <w:r>
        <w:tab/>
        <w:t xml:space="preserve">If a provision of the amending Act has come into operation in the Commonwealth before the proclamation is published — </w:t>
      </w:r>
    </w:p>
    <w:p>
      <w:pPr>
        <w:pStyle w:val="Indenta"/>
      </w:pPr>
      <w:r>
        <w:tab/>
        <w:t>(a)</w:t>
      </w:r>
      <w:r>
        <w:tab/>
        <w:t xml:space="preserve">the proclamation must fix a day on which the provision comes into operation for the purposes of this Part, which </w:t>
      </w:r>
      <w:r>
        <w:lastRenderedPageBreak/>
        <w:t>must be on or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the Commonwealth before the proclamation is published, the provision comes into operation for the purposes of this Part when the provision comes into operation in the Commonwealth.</w:t>
      </w:r>
    </w:p>
    <w:p>
      <w:pPr>
        <w:pStyle w:val="Heading5"/>
      </w:pPr>
      <w:bookmarkStart w:id="26" w:name="_Toc149055616"/>
      <w:bookmarkStart w:id="27" w:name="_Toc152594830"/>
      <w:r>
        <w:rPr>
          <w:rStyle w:val="CharSectno"/>
        </w:rPr>
        <w:t>10</w:t>
      </w:r>
      <w:r>
        <w:t>.</w:t>
      </w:r>
      <w:r>
        <w:tab/>
        <w:t>Amending Acts enacted on or after 15 May 2023 but before commencement day</w:t>
      </w:r>
      <w:bookmarkEnd w:id="26"/>
      <w:bookmarkEnd w:id="27"/>
    </w:p>
    <w:p>
      <w:pPr>
        <w:pStyle w:val="Subsection"/>
      </w:pPr>
      <w:r>
        <w:tab/>
      </w:r>
      <w:r>
        <w:tab/>
        <w:t>If an amending Act receives the Royal Assent on or after 15 May 2023 but before commencement day, sections 7 to 9 apply to the amending Act as if it received the Royal Assent on commencement day.</w:t>
      </w:r>
    </w:p>
    <w:p>
      <w:pPr>
        <w:pStyle w:val="Heading5"/>
      </w:pPr>
      <w:bookmarkStart w:id="28" w:name="_Toc149055617"/>
      <w:bookmarkStart w:id="29" w:name="_Toc152594831"/>
      <w:r>
        <w:rPr>
          <w:rStyle w:val="CharSectno"/>
        </w:rPr>
        <w:t>11</w:t>
      </w:r>
      <w:r>
        <w:t>.</w:t>
      </w:r>
      <w:r>
        <w:tab/>
        <w:t>Tabling of amending Act taken to be publication for Standing Orders</w:t>
      </w:r>
      <w:bookmarkEnd w:id="28"/>
      <w:bookmarkEnd w:id="29"/>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30" w:name="_Toc149055618"/>
      <w:bookmarkStart w:id="31" w:name="_Toc152594832"/>
      <w:r>
        <w:rPr>
          <w:rStyle w:val="CharSectno"/>
        </w:rPr>
        <w:lastRenderedPageBreak/>
        <w:t>12</w:t>
      </w:r>
      <w:r>
        <w:t>.</w:t>
      </w:r>
      <w:r>
        <w:tab/>
        <w:t>Legislative instruments under Scheduled Law</w:t>
      </w:r>
      <w:bookmarkEnd w:id="30"/>
      <w:bookmarkEnd w:id="31"/>
    </w:p>
    <w:p>
      <w:pPr>
        <w:pStyle w:val="Subsection"/>
      </w:pPr>
      <w:r>
        <w:tab/>
        <w:t>(1)</w:t>
      </w:r>
      <w:r>
        <w:tab/>
        <w:t>A legislative instrument made under the Scheduled Law on or after 15 May 2023 has effect for the purposes of its application under section 6(2) subject to sections 13 and 15.</w:t>
      </w:r>
    </w:p>
    <w:p>
      <w:pPr>
        <w:pStyle w:val="Subsection"/>
      </w:pPr>
      <w:r>
        <w:tab/>
        <w:t>(2)</w:t>
      </w:r>
      <w:r>
        <w:tab/>
        <w:t xml:space="preserve">A legislative instrument under the Scheduled Law, to the extent made by a provision of an amending Act, has effect for the purposes of its application under section 6(2)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PermNoteHeading"/>
      </w:pPr>
      <w:r>
        <w:tab/>
        <w:t>Note for this subsection:</w:t>
      </w:r>
    </w:p>
    <w:p>
      <w:pPr>
        <w:pStyle w:val="PermNoteText"/>
      </w:pPr>
      <w:r>
        <w:tab/>
      </w:r>
      <w:r>
        <w:tab/>
        <w:t xml:space="preserve">The definition of </w:t>
      </w:r>
      <w:r>
        <w:rPr>
          <w:b/>
          <w:i/>
        </w:rPr>
        <w:t>amending Act</w:t>
      </w:r>
      <w:r>
        <w:t>, in section 4(1), includes that the Act receives the Royal Assent on or after 15 May 2023.</w:t>
      </w:r>
    </w:p>
    <w:p>
      <w:pPr>
        <w:pStyle w:val="Heading5"/>
      </w:pPr>
      <w:bookmarkStart w:id="32" w:name="_Toc149055619"/>
      <w:bookmarkStart w:id="33" w:name="_Toc152594833"/>
      <w:r>
        <w:rPr>
          <w:rStyle w:val="CharSectno"/>
        </w:rPr>
        <w:t>13</w:t>
      </w:r>
      <w:r>
        <w:t>.</w:t>
      </w:r>
      <w:r>
        <w:tab/>
        <w:t>Legislative instruments made under or for purposes of amending Act</w:t>
      </w:r>
      <w:bookmarkEnd w:id="32"/>
      <w:bookmarkEnd w:id="33"/>
    </w:p>
    <w:p>
      <w:pPr>
        <w:pStyle w:val="Subsection"/>
        <w:keepNext/>
      </w:pPr>
      <w:r>
        <w:tab/>
        <w:t>(1)</w:t>
      </w:r>
      <w:r>
        <w:tab/>
        <w:t xml:space="preserve">This section applies to a provision of a legislative instrument made under the Scheduled Law if the provision is made under or for the purposes of — </w:t>
      </w:r>
    </w:p>
    <w:p>
      <w:pPr>
        <w:pStyle w:val="Indenta"/>
      </w:pPr>
      <w:r>
        <w:tab/>
        <w:t>(a)</w:t>
      </w:r>
      <w:r>
        <w:tab/>
        <w:t>a provision inserted into the Scheduled Law by a provision of an amending Act; or</w:t>
      </w:r>
    </w:p>
    <w:p>
      <w:pPr>
        <w:pStyle w:val="Indenta"/>
      </w:pPr>
      <w:r>
        <w:tab/>
        <w:t>(b)</w:t>
      </w:r>
      <w:r>
        <w:tab/>
        <w:t>a provision of the Scheduled Law as amended by a provision of an amending Act.</w:t>
      </w:r>
    </w:p>
    <w:p>
      <w:pPr>
        <w:pStyle w:val="Subsection"/>
      </w:pPr>
      <w:r>
        <w:tab/>
        <w:t>(2)</w:t>
      </w:r>
      <w:r>
        <w:tab/>
        <w:t xml:space="preserve">The provision of the legislative instrument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and</w:t>
      </w:r>
    </w:p>
    <w:p>
      <w:pPr>
        <w:pStyle w:val="Indenta"/>
      </w:pPr>
      <w:r>
        <w:tab/>
        <w:t>(b)</w:t>
      </w:r>
      <w:r>
        <w:tab/>
        <w:t>the day on which the provision of the legislative instrument comes into operation in the Commonwealth.</w:t>
      </w:r>
    </w:p>
    <w:p>
      <w:pPr>
        <w:pStyle w:val="Subsection"/>
      </w:pPr>
      <w:r>
        <w:lastRenderedPageBreak/>
        <w:tab/>
        <w:t>(3)</w:t>
      </w:r>
      <w:r>
        <w:tab/>
        <w:t>However, if the amending Act does not have effect for the purposes of this Part under section 8, the provision of the legislative instrument does not have effect for the purposes of its application under section 6(2).</w:t>
      </w:r>
    </w:p>
    <w:p>
      <w:pPr>
        <w:pStyle w:val="Heading5"/>
      </w:pPr>
      <w:bookmarkStart w:id="34" w:name="_Toc149055620"/>
      <w:bookmarkStart w:id="35" w:name="_Toc152594834"/>
      <w:r>
        <w:rPr>
          <w:rStyle w:val="CharSectno"/>
        </w:rPr>
        <w:t>14</w:t>
      </w:r>
      <w:r>
        <w:t>.</w:t>
      </w:r>
      <w:r>
        <w:tab/>
        <w:t>Publication of legislative instruments made under Scheduled Law</w:t>
      </w:r>
      <w:bookmarkEnd w:id="34"/>
      <w:bookmarkEnd w:id="35"/>
    </w:p>
    <w:p>
      <w:pPr>
        <w:pStyle w:val="Subsection"/>
      </w:pPr>
      <w:r>
        <w:tab/>
        <w:t>(1)</w:t>
      </w:r>
      <w:r>
        <w:tab/>
        <w:t>This section applies to a legislative instrument made under the Scheduled Law on or after 15 May 2023.</w:t>
      </w:r>
    </w:p>
    <w:p>
      <w:pPr>
        <w:pStyle w:val="Subsection"/>
      </w:pPr>
      <w:r>
        <w:tab/>
        <w:t>(2)</w:t>
      </w:r>
      <w:r>
        <w:tab/>
        <w:t xml:space="preserve">The legislative instrument must be published in the </w:t>
      </w:r>
      <w:r>
        <w:rPr>
          <w:i/>
        </w:rPr>
        <w:t>Gazette</w:t>
      </w:r>
      <w:r>
        <w:t xml:space="preserve"> or on the WA legislation website</w:t>
      </w:r>
      <w:r>
        <w:rPr>
          <w:i/>
        </w:rPr>
        <w:t xml:space="preserve"> </w:t>
      </w:r>
      <w:r>
        <w:t>no later than 18 days after the day on which it is made.</w:t>
      </w:r>
    </w:p>
    <w:p>
      <w:pPr>
        <w:pStyle w:val="Subsection"/>
      </w:pPr>
      <w:r>
        <w:tab/>
        <w:t>(3)</w:t>
      </w:r>
      <w:r>
        <w:tab/>
        <w:t>If the legislative instrument is made on or after 15 May 2023 but before commencement day, subsection (2) applies as if the legislative instrument were made on commencement day.</w:t>
      </w:r>
    </w:p>
    <w:p>
      <w:pPr>
        <w:pStyle w:val="Heading5"/>
      </w:pPr>
      <w:bookmarkStart w:id="36" w:name="_Toc149055621"/>
      <w:bookmarkStart w:id="37" w:name="_Toc152594835"/>
      <w:r>
        <w:rPr>
          <w:rStyle w:val="CharSectno"/>
        </w:rPr>
        <w:t>15</w:t>
      </w:r>
      <w:r>
        <w:t>.</w:t>
      </w:r>
      <w:r>
        <w:tab/>
        <w:t>Tabling and disallowance of legislative instruments under Scheduled Law</w:t>
      </w:r>
      <w:bookmarkEnd w:id="36"/>
      <w:bookmarkEnd w:id="37"/>
    </w:p>
    <w:p>
      <w:pPr>
        <w:pStyle w:val="Subsection"/>
      </w:pPr>
      <w:r>
        <w:tab/>
        <w:t>(1)</w:t>
      </w:r>
      <w:r>
        <w:tab/>
        <w:t>This section applies to a legislative instrument made under the Scheduled Law on or after 15 May 2023.</w:t>
      </w:r>
    </w:p>
    <w:p>
      <w:pPr>
        <w:pStyle w:val="Subsection"/>
      </w:pPr>
      <w:r>
        <w:tab/>
        <w:t>(2)</w:t>
      </w:r>
      <w:r>
        <w:tab/>
        <w:t>A legislative instrument published under section 14 must be laid before each House of Parliament within 6 sitting days of the House after the day on which the instrument is published.</w:t>
      </w:r>
    </w:p>
    <w:p>
      <w:pPr>
        <w:pStyle w:val="Subsection"/>
      </w:pPr>
      <w:r>
        <w:tab/>
        <w:t>(3)</w:t>
      </w:r>
      <w:r>
        <w:tab/>
        <w:t xml:space="preserve">A legislative instrument ceases to have effect for the purposes of its application under section 6(2) if — </w:t>
      </w:r>
    </w:p>
    <w:p>
      <w:pPr>
        <w:pStyle w:val="Indenta"/>
      </w:pPr>
      <w:r>
        <w:tab/>
        <w:t>(a)</w:t>
      </w:r>
      <w:r>
        <w:tab/>
        <w:t>the instrument is not published under section 14; or</w:t>
      </w:r>
    </w:p>
    <w:p>
      <w:pPr>
        <w:pStyle w:val="Indenta"/>
      </w:pPr>
      <w:r>
        <w:tab/>
        <w:t>(b)</w:t>
      </w:r>
      <w:r>
        <w:tab/>
        <w:t>the instrument is not laid before each House of Parliament in accordance with subsection (2); or</w:t>
      </w:r>
    </w:p>
    <w:p>
      <w:pPr>
        <w:pStyle w:val="Indenta"/>
        <w:keepNext/>
      </w:pPr>
      <w:r>
        <w:tab/>
        <w:t>(c)</w:t>
      </w:r>
      <w:r>
        <w:tab/>
        <w:t xml:space="preserve">the instrument is laid before each House of Parliament in accordance with subsection (2) and — </w:t>
      </w:r>
    </w:p>
    <w:p>
      <w:pPr>
        <w:pStyle w:val="Indenti"/>
      </w:pPr>
      <w:r>
        <w:tab/>
        <w:t>(i)</w:t>
      </w:r>
      <w:r>
        <w:tab/>
        <w:t xml:space="preserve">notice of a resolution to disallow the instrument is given in 1 of those Houses within 14 sitting </w:t>
      </w:r>
      <w:r>
        <w:lastRenderedPageBreak/>
        <w:t>days of the House after the instrument is laid before the House under subsection (2); and</w:t>
      </w:r>
    </w:p>
    <w:p>
      <w:pPr>
        <w:pStyle w:val="Indenti"/>
      </w:pPr>
      <w:r>
        <w:tab/>
        <w:t>(ii)</w:t>
      </w:r>
      <w:r>
        <w:tab/>
        <w:t>the resolution to disallow the instrument is agreed to by the House.</w:t>
      </w:r>
    </w:p>
    <w:p>
      <w:pPr>
        <w:pStyle w:val="Subsection"/>
      </w:pPr>
      <w:r>
        <w:tab/>
        <w:t>(4)</w:t>
      </w:r>
      <w:r>
        <w:tab/>
        <w:t>A legislative instrument that ceases to have effect under subsection (3) ceases to have effect at the end of the day on which the circumstance in subsection (3)(a), (b) or (c) occurs.</w:t>
      </w:r>
    </w:p>
    <w:p>
      <w:pPr>
        <w:pStyle w:val="Subsection"/>
      </w:pPr>
      <w:r>
        <w:tab/>
        <w:t>(5)</w:t>
      </w:r>
      <w:r>
        <w:tab/>
        <w:t xml:space="preserve">If a resolution is agreed to under subsection (3)(c), notice of the resolution must be published in the </w:t>
      </w:r>
      <w:r>
        <w:rPr>
          <w:i/>
        </w:rPr>
        <w:t>Gazette</w:t>
      </w:r>
      <w:r>
        <w:t xml:space="preserve"> or on the WA legislation website within 21 days after the day on which the motion is passed.</w:t>
      </w:r>
    </w:p>
    <w:p>
      <w:pPr>
        <w:pStyle w:val="Subsection"/>
      </w:pPr>
      <w:r>
        <w:tab/>
        <w:t>(6)</w:t>
      </w:r>
      <w:r>
        <w:tab/>
        <w:t>If a legislative instrument (</w:t>
      </w:r>
      <w:r>
        <w:rPr>
          <w:rStyle w:val="CharDefText"/>
        </w:rPr>
        <w:t>the instrument</w:t>
      </w:r>
      <w:r>
        <w:t>) ceases to have effect under subsection (3), a legislative instrument that was amended or repealed by the instrument revives, for the purposes of its application under section 6(2), on the day after the day on which the instrument ceases to have effect.</w:t>
      </w:r>
    </w:p>
    <w:p>
      <w:pPr>
        <w:pStyle w:val="Subsection"/>
      </w:pPr>
      <w:r>
        <w:tab/>
        <w:t>(7)</w:t>
      </w:r>
      <w:r>
        <w:tab/>
        <w:t xml:space="preserve">For the purposes of this section — </w:t>
      </w:r>
    </w:p>
    <w:p>
      <w:pPr>
        <w:pStyle w:val="Indenta"/>
      </w:pPr>
      <w:r>
        <w:tab/>
        <w:t>(a)</w:t>
      </w:r>
      <w:r>
        <w:tab/>
        <w:t>the period specified in subsection (2) or (3)(c)(i) continues to run even though a House of Parliament is prorogued or dissolved or expires; and</w:t>
      </w:r>
    </w:p>
    <w:p>
      <w:pPr>
        <w:pStyle w:val="Indenta"/>
      </w:pPr>
      <w:r>
        <w:tab/>
        <w:t>(b)</w:t>
      </w:r>
      <w:r>
        <w:tab/>
        <w:t>notice of a resolution to disallow a legislative instrument given in a House of Parliament, or a motion that a legislative instrument be disallowed in the House, does not lapse even though the House is prorogued or dissolved or expires.</w:t>
      </w:r>
    </w:p>
    <w:p>
      <w:pPr>
        <w:pStyle w:val="Heading5"/>
      </w:pPr>
      <w:bookmarkStart w:id="38" w:name="_Toc149055622"/>
      <w:bookmarkStart w:id="39" w:name="_Toc152594836"/>
      <w:r>
        <w:rPr>
          <w:rStyle w:val="CharSectno"/>
        </w:rPr>
        <w:t>16</w:t>
      </w:r>
      <w:r>
        <w:t>.</w:t>
      </w:r>
      <w:r>
        <w:tab/>
        <w:t>Application of savings and transitional provisions consequent on Scheduled Law</w:t>
      </w:r>
      <w:bookmarkEnd w:id="38"/>
      <w:bookmarkEnd w:id="39"/>
    </w:p>
    <w:p>
      <w:pPr>
        <w:pStyle w:val="Subsection"/>
      </w:pPr>
      <w:r>
        <w:tab/>
        <w:t>(1)</w:t>
      </w:r>
      <w:r>
        <w:tab/>
        <w:t xml:space="preserve">This section applies if a provision referred to in section 6(1)(c) (a </w:t>
      </w:r>
      <w:r>
        <w:rPr>
          <w:rStyle w:val="CharDefText"/>
        </w:rPr>
        <w:t>savings or transitional provision</w:t>
      </w:r>
      <w:r>
        <w:t>) is consequent on the amendment of the Scheduled Law by a provision of an amending Act.</w:t>
      </w:r>
    </w:p>
    <w:p>
      <w:pPr>
        <w:pStyle w:val="Subsection"/>
        <w:keepNext/>
      </w:pPr>
      <w:r>
        <w:lastRenderedPageBreak/>
        <w:tab/>
        <w:t>(2)</w:t>
      </w:r>
      <w:r>
        <w:tab/>
        <w:t xml:space="preserve">The savings or transitional provision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or</w:t>
      </w:r>
    </w:p>
    <w:p>
      <w:pPr>
        <w:pStyle w:val="Indenta"/>
      </w:pPr>
      <w:r>
        <w:tab/>
        <w:t>(b)</w:t>
      </w:r>
      <w:r>
        <w:tab/>
        <w:t>the day on which the savings or transitional provision comes into operation in the Commonwealth.</w:t>
      </w:r>
    </w:p>
    <w:p>
      <w:pPr>
        <w:pStyle w:val="Subsection"/>
      </w:pPr>
      <w:r>
        <w:tab/>
        <w:t>(3)</w:t>
      </w:r>
      <w:r>
        <w:tab/>
        <w:t>However, if the amending Act does not have effect for the purposes of this Part under section 8, the savings or transitional provision does not have effect for the purposes of its application under section 6(2).</w:t>
      </w:r>
    </w:p>
    <w:p>
      <w:pPr>
        <w:pStyle w:val="Heading5"/>
      </w:pPr>
      <w:bookmarkStart w:id="40" w:name="_Toc149055623"/>
      <w:bookmarkStart w:id="41" w:name="_Toc152594837"/>
      <w:r>
        <w:rPr>
          <w:rStyle w:val="CharSectno"/>
        </w:rPr>
        <w:t>17</w:t>
      </w:r>
      <w:r>
        <w:t>.</w:t>
      </w:r>
      <w:r>
        <w:tab/>
        <w:t>Interpretation of applied provisions</w:t>
      </w:r>
      <w:bookmarkEnd w:id="40"/>
      <w:bookmarkEnd w:id="41"/>
    </w:p>
    <w:p>
      <w:pPr>
        <w:pStyle w:val="Subsection"/>
      </w:pPr>
      <w:r>
        <w:tab/>
        <w:t>(1)</w:t>
      </w:r>
      <w:r>
        <w:tab/>
        <w:t xml:space="preserve">The </w:t>
      </w:r>
      <w:r>
        <w:rPr>
          <w:i/>
        </w:rPr>
        <w:t>Acts Interpretation Act 1901</w:t>
      </w:r>
      <w:r>
        <w:t xml:space="preserve"> (Commonwealth) applies as a law of the State in relation to the interpretation of the applied provisions and so applies as if the applied provisions were a Commonwealth Act or were legislative instruments under a Commonwealth Act, as the case requires.</w:t>
      </w:r>
    </w:p>
    <w:p>
      <w:pPr>
        <w:pStyle w:val="Subsection"/>
      </w:pPr>
      <w:r>
        <w:tab/>
        <w:t>(2)</w:t>
      </w:r>
      <w:r>
        <w:tab/>
        <w:t xml:space="preserve">The </w:t>
      </w:r>
      <w:r>
        <w:rPr>
          <w:i/>
        </w:rPr>
        <w:t>Interpretation Act 1984</w:t>
      </w:r>
      <w:r>
        <w:t xml:space="preserve"> does not apply to the applied provisions.</w:t>
      </w:r>
    </w:p>
    <w:p>
      <w:pPr>
        <w:pStyle w:val="Heading2"/>
      </w:pPr>
      <w:bookmarkStart w:id="42" w:name="_Toc149055624"/>
      <w:bookmarkStart w:id="43" w:name="_Toc152594642"/>
      <w:bookmarkStart w:id="44" w:name="_Toc152594838"/>
      <w:r>
        <w:rPr>
          <w:rStyle w:val="CharPartNo"/>
        </w:rPr>
        <w:lastRenderedPageBreak/>
        <w:t>Part 3</w:t>
      </w:r>
      <w:r>
        <w:rPr>
          <w:rStyle w:val="CharDivNo"/>
        </w:rPr>
        <w:t> </w:t>
      </w:r>
      <w:r>
        <w:t>—</w:t>
      </w:r>
      <w:r>
        <w:rPr>
          <w:rStyle w:val="CharDivText"/>
        </w:rPr>
        <w:t> </w:t>
      </w:r>
      <w:r>
        <w:rPr>
          <w:rStyle w:val="CharPartText"/>
        </w:rPr>
        <w:t>Functions and powers under applied provisions</w:t>
      </w:r>
      <w:bookmarkEnd w:id="42"/>
      <w:bookmarkEnd w:id="43"/>
      <w:bookmarkEnd w:id="44"/>
    </w:p>
    <w:p>
      <w:pPr>
        <w:pStyle w:val="Heading5"/>
      </w:pPr>
      <w:bookmarkStart w:id="45" w:name="_Toc149055625"/>
      <w:bookmarkStart w:id="46" w:name="_Toc152594839"/>
      <w:r>
        <w:rPr>
          <w:rStyle w:val="CharSectno"/>
        </w:rPr>
        <w:t>18</w:t>
      </w:r>
      <w:r>
        <w:t>.</w:t>
      </w:r>
      <w:r>
        <w:tab/>
        <w:t>Functions and powers of National Regulator and other authorities and officers</w:t>
      </w:r>
      <w:bookmarkEnd w:id="45"/>
      <w:bookmarkEnd w:id="46"/>
    </w:p>
    <w:p>
      <w:pPr>
        <w:pStyle w:val="Subsection"/>
      </w:pPr>
      <w:r>
        <w:tab/>
      </w:r>
      <w:r>
        <w:tab/>
        <w:t>The National Regulator and other authorities and officers referred to in the applied provisions have the same functions and powers under the applied provisions as they have under the Commonwealth domestic commercial vessel national law, as that law applies to the Commonwealth.</w:t>
      </w:r>
    </w:p>
    <w:p>
      <w:pPr>
        <w:pStyle w:val="Heading5"/>
      </w:pPr>
      <w:bookmarkStart w:id="47" w:name="_Toc149055626"/>
      <w:bookmarkStart w:id="48" w:name="_Toc152594840"/>
      <w:r>
        <w:rPr>
          <w:rStyle w:val="CharSectno"/>
        </w:rPr>
        <w:t>19</w:t>
      </w:r>
      <w:r>
        <w:t>.</w:t>
      </w:r>
      <w:r>
        <w:tab/>
        <w:t>Delegations by National Regulator</w:t>
      </w:r>
      <w:bookmarkEnd w:id="47"/>
      <w:bookmarkEnd w:id="48"/>
    </w:p>
    <w:p>
      <w:pPr>
        <w:pStyle w:val="Subsection"/>
      </w:pPr>
      <w:r>
        <w:tab/>
      </w:r>
      <w:r>
        <w:tab/>
        <w:t>Any delegation by the National Regulator under the Commonwealth domestic commercial vessel national law, as that law applies to the Commonwealth, is taken to extend to, and have effect for the purposes of, the corresponding provision of the applied provisions.</w:t>
      </w:r>
    </w:p>
    <w:p>
      <w:pPr>
        <w:pStyle w:val="Heading2"/>
      </w:pPr>
      <w:bookmarkStart w:id="49" w:name="_Toc149055627"/>
      <w:bookmarkStart w:id="50" w:name="_Toc152594645"/>
      <w:bookmarkStart w:id="51" w:name="_Toc152594841"/>
      <w:r>
        <w:rPr>
          <w:rStyle w:val="CharPartNo"/>
        </w:rPr>
        <w:lastRenderedPageBreak/>
        <w:t>Part 4</w:t>
      </w:r>
      <w:r>
        <w:rPr>
          <w:rStyle w:val="CharDivNo"/>
        </w:rPr>
        <w:t> </w:t>
      </w:r>
      <w:r>
        <w:t>—</w:t>
      </w:r>
      <w:r>
        <w:rPr>
          <w:rStyle w:val="CharDivText"/>
        </w:rPr>
        <w:t> </w:t>
      </w:r>
      <w:r>
        <w:rPr>
          <w:rStyle w:val="CharPartText"/>
        </w:rPr>
        <w:t>Offences</w:t>
      </w:r>
      <w:bookmarkEnd w:id="49"/>
      <w:bookmarkEnd w:id="50"/>
      <w:bookmarkEnd w:id="51"/>
    </w:p>
    <w:p>
      <w:pPr>
        <w:pStyle w:val="Heading5"/>
      </w:pPr>
      <w:bookmarkStart w:id="52" w:name="_Toc149055628"/>
      <w:bookmarkStart w:id="53" w:name="_Toc152594842"/>
      <w:r>
        <w:rPr>
          <w:rStyle w:val="CharSectno"/>
        </w:rPr>
        <w:t>20</w:t>
      </w:r>
      <w:r>
        <w:t>.</w:t>
      </w:r>
      <w:r>
        <w:tab/>
        <w:t>Object of Part</w:t>
      </w:r>
      <w:bookmarkEnd w:id="52"/>
      <w:bookmarkEnd w:id="53"/>
    </w:p>
    <w:p>
      <w:pPr>
        <w:pStyle w:val="Subsection"/>
      </w:pPr>
      <w:r>
        <w:tab/>
        <w:t>(1)</w:t>
      </w:r>
      <w:r>
        <w:tab/>
        <w:t>The object of this Part is to further the purpose of this Act by providing for an offence against the applied provisions to be treated as if it were an offence against a law of the Commonwealth.</w:t>
      </w:r>
    </w:p>
    <w:p>
      <w:pPr>
        <w:pStyle w:val="Subsection"/>
      </w:pPr>
      <w:r>
        <w:tab/>
        <w:t>(2)</w:t>
      </w:r>
      <w:r>
        <w:tab/>
        <w:t xml:space="preserve">The purposes for which an offence is to be treated as mentioned in subsection (1) include, but are not limited to — </w:t>
      </w:r>
    </w:p>
    <w:p>
      <w:pPr>
        <w:pStyle w:val="Indenta"/>
      </w:pPr>
      <w:r>
        <w:tab/>
        <w:t>(a)</w:t>
      </w:r>
      <w:r>
        <w:tab/>
        <w:t>the investigation and prosecution of offences; and</w:t>
      </w:r>
    </w:p>
    <w:p>
      <w:pPr>
        <w:pStyle w:val="Indenta"/>
      </w:pPr>
      <w:r>
        <w:tab/>
        <w:t>(b)</w:t>
      </w:r>
      <w:r>
        <w:tab/>
        <w:t>the arrest, custody, bail, trial and conviction of offenders or persons charged with offences; and</w:t>
      </w:r>
    </w:p>
    <w:p>
      <w:pPr>
        <w:pStyle w:val="Indenta"/>
      </w:pPr>
      <w:r>
        <w:tab/>
        <w:t>(c)</w:t>
      </w:r>
      <w:r>
        <w:tab/>
        <w:t>proceedings relating to a matter referred to in paragraph (a) or (b); and</w:t>
      </w:r>
    </w:p>
    <w:p>
      <w:pPr>
        <w:pStyle w:val="Indenta"/>
      </w:pPr>
      <w:r>
        <w:tab/>
        <w:t>(d)</w:t>
      </w:r>
      <w:r>
        <w:tab/>
        <w:t>appeals and reviews relating to criminal proceedings and to proceedings of the kind referred to in paragraph (c); and</w:t>
      </w:r>
    </w:p>
    <w:p>
      <w:pPr>
        <w:pStyle w:val="Indenta"/>
      </w:pPr>
      <w:r>
        <w:tab/>
        <w:t>(e)</w:t>
      </w:r>
      <w:r>
        <w:tab/>
        <w:t>the sentencing, punishment and release of persons convicted of offences; and</w:t>
      </w:r>
    </w:p>
    <w:p>
      <w:pPr>
        <w:pStyle w:val="Indenta"/>
      </w:pPr>
      <w:r>
        <w:tab/>
        <w:t>(f)</w:t>
      </w:r>
      <w:r>
        <w:tab/>
        <w:t>fines, penalties and forfeitures; and</w:t>
      </w:r>
    </w:p>
    <w:p>
      <w:pPr>
        <w:pStyle w:val="Indenta"/>
      </w:pPr>
      <w:r>
        <w:tab/>
        <w:t>(g)</w:t>
      </w:r>
      <w:r>
        <w:tab/>
        <w:t>infringement notices in connection with offences; and</w:t>
      </w:r>
    </w:p>
    <w:p>
      <w:pPr>
        <w:pStyle w:val="Indenta"/>
      </w:pPr>
      <w:r>
        <w:tab/>
        <w:t>(h)</w:t>
      </w:r>
      <w:r>
        <w:tab/>
        <w:t>liability to make reparation in connection with offences; and</w:t>
      </w:r>
    </w:p>
    <w:p>
      <w:pPr>
        <w:pStyle w:val="Indenta"/>
      </w:pPr>
      <w:r>
        <w:tab/>
        <w:t>(i)</w:t>
      </w:r>
      <w:r>
        <w:tab/>
        <w:t>proceeds of crime; and</w:t>
      </w:r>
    </w:p>
    <w:p>
      <w:pPr>
        <w:pStyle w:val="Indenta"/>
      </w:pPr>
      <w:r>
        <w:tab/>
        <w:t>(j)</w:t>
      </w:r>
      <w:r>
        <w:tab/>
        <w:t>spent convictions.</w:t>
      </w:r>
    </w:p>
    <w:p>
      <w:pPr>
        <w:pStyle w:val="Subsection"/>
      </w:pPr>
      <w:r>
        <w:tab/>
        <w:t>(3)</w:t>
      </w:r>
      <w:r>
        <w:tab/>
        <w:t>For the purposes of this Part, offences include contraventions for which a civil penalty may be imposed.</w:t>
      </w:r>
    </w:p>
    <w:p>
      <w:pPr>
        <w:pStyle w:val="Heading5"/>
      </w:pPr>
      <w:bookmarkStart w:id="54" w:name="_Toc149055629"/>
      <w:bookmarkStart w:id="55" w:name="_Toc152594843"/>
      <w:r>
        <w:rPr>
          <w:rStyle w:val="CharSectno"/>
        </w:rPr>
        <w:lastRenderedPageBreak/>
        <w:t>21</w:t>
      </w:r>
      <w:r>
        <w:t>.</w:t>
      </w:r>
      <w:r>
        <w:tab/>
        <w:t>Application of Commonwealth criminal laws to offences against applied provisions</w:t>
      </w:r>
      <w:bookmarkEnd w:id="54"/>
      <w:bookmarkEnd w:id="55"/>
    </w:p>
    <w:p>
      <w:pPr>
        <w:pStyle w:val="Subsection"/>
        <w:keepNext/>
      </w:pPr>
      <w:r>
        <w:tab/>
        <w:t>(1)</w:t>
      </w:r>
      <w:r>
        <w:tab/>
        <w:t xml:space="preserve">In this section — </w:t>
      </w:r>
    </w:p>
    <w:p>
      <w:pPr>
        <w:pStyle w:val="Defstart"/>
      </w:pPr>
      <w:r>
        <w:tab/>
      </w:r>
      <w:r>
        <w:rPr>
          <w:rStyle w:val="CharDefText"/>
        </w:rPr>
        <w:t>relevant Commonwealth criminal law</w:t>
      </w:r>
      <w:r>
        <w:t xml:space="preserve"> means a law of the Commonwealth relating to a purpose referred to in section 20(2).</w:t>
      </w:r>
    </w:p>
    <w:p>
      <w:pPr>
        <w:pStyle w:val="Subsection"/>
      </w:pPr>
      <w:r>
        <w:tab/>
        <w:t>(2)</w:t>
      </w:r>
      <w:r>
        <w:tab/>
        <w:t>The relevant Commonwealth criminal laws apply as laws of the State in relation to an offence against the applied provisions as if the applied provisions were a law of the Commonwealth and not a law of the State.</w:t>
      </w:r>
    </w:p>
    <w:p>
      <w:pPr>
        <w:pStyle w:val="Subsection"/>
      </w:pPr>
      <w:r>
        <w:tab/>
        <w:t>(3)</w:t>
      </w:r>
      <w:r>
        <w:tab/>
        <w:t xml:space="preserve">For the purposes of a law of the State, an offence against the applied provisions — </w:t>
      </w:r>
    </w:p>
    <w:p>
      <w:pPr>
        <w:pStyle w:val="Indenta"/>
      </w:pPr>
      <w:r>
        <w:tab/>
        <w:t>(a)</w:t>
      </w:r>
      <w:r>
        <w:tab/>
        <w:t>is taken to be an offence against the laws of the Commonwealth, in the same way as if the applied provisions were a law of the Commonwealth; and</w:t>
      </w:r>
    </w:p>
    <w:p>
      <w:pPr>
        <w:pStyle w:val="Indenta"/>
      </w:pPr>
      <w:r>
        <w:tab/>
        <w:t>(b)</w:t>
      </w:r>
      <w:r>
        <w:tab/>
        <w:t>is taken not to be an offence against the laws of the State.</w:t>
      </w:r>
    </w:p>
    <w:p>
      <w:pPr>
        <w:pStyle w:val="Subsection"/>
      </w:pPr>
      <w:r>
        <w:tab/>
        <w:t>(4)</w:t>
      </w:r>
      <w:r>
        <w:tab/>
        <w:t>Subsection (3) has effect for the purposes of a law of the State except as provided by the regulations made under section 33.</w:t>
      </w:r>
    </w:p>
    <w:p>
      <w:pPr>
        <w:pStyle w:val="Heading5"/>
      </w:pPr>
      <w:bookmarkStart w:id="56" w:name="_Toc149055630"/>
      <w:bookmarkStart w:id="57" w:name="_Toc152594844"/>
      <w:r>
        <w:rPr>
          <w:rStyle w:val="CharSectno"/>
        </w:rPr>
        <w:t>22</w:t>
      </w:r>
      <w:r>
        <w:t>.</w:t>
      </w:r>
      <w:r>
        <w:tab/>
        <w:t>Functions and powers conferred on Commonwealth officers and authorities relating to offences</w:t>
      </w:r>
      <w:bookmarkEnd w:id="56"/>
      <w:bookmarkEnd w:id="57"/>
    </w:p>
    <w:p>
      <w:pPr>
        <w:pStyle w:val="Subsection"/>
      </w:pPr>
      <w:r>
        <w:tab/>
        <w:t>(1)</w:t>
      </w:r>
      <w:r>
        <w:tab/>
        <w:t>A Commonwealth law applying because of section 21 that confers on a Commonwealth officer or authority a function or power in relation to an offence against the Commonwealth domestic commercial vessel national law also confers on the officer or authority the same function or power in relation to an offence against the corresponding provision of the applied provisions.</w:t>
      </w:r>
    </w:p>
    <w:p>
      <w:pPr>
        <w:pStyle w:val="Subsection"/>
      </w:pPr>
      <w:r>
        <w:tab/>
        <w:t>(2)</w:t>
      </w:r>
      <w:r>
        <w:tab/>
        <w:t xml:space="preserve">In performing a function or exercising a power conferred by this section, the Commonwealth officer or authority must act as nearly as practicable as the officer or authority would act in </w:t>
      </w:r>
      <w:r>
        <w:lastRenderedPageBreak/>
        <w:t>performing or exercising the same function or power in relation to an offence against the corresponding provision of the Commonwealth domestic commercial vessel national law.</w:t>
      </w:r>
    </w:p>
    <w:p>
      <w:pPr>
        <w:pStyle w:val="Heading5"/>
      </w:pPr>
      <w:bookmarkStart w:id="58" w:name="_Toc149055631"/>
      <w:bookmarkStart w:id="59" w:name="_Toc152594845"/>
      <w:r>
        <w:rPr>
          <w:rStyle w:val="CharSectno"/>
        </w:rPr>
        <w:t>23</w:t>
      </w:r>
      <w:r>
        <w:t>.</w:t>
      </w:r>
      <w:r>
        <w:tab/>
        <w:t>No double jeopardy for offences against applied provisions</w:t>
      </w:r>
      <w:bookmarkEnd w:id="58"/>
      <w:bookmarkEnd w:id="59"/>
    </w:p>
    <w:p>
      <w:pPr>
        <w:pStyle w:val="Subsection"/>
      </w:pPr>
      <w:r>
        <w:tab/>
        <w:t>(1)</w:t>
      </w:r>
      <w:r>
        <w:tab/>
        <w:t xml:space="preserve">Subsection (2) applies if — </w:t>
      </w:r>
    </w:p>
    <w:p>
      <w:pPr>
        <w:pStyle w:val="Indenta"/>
      </w:pPr>
      <w:r>
        <w:tab/>
        <w:t>(a)</w:t>
      </w:r>
      <w:r>
        <w:tab/>
        <w:t>an act or omission is both an offence against the applied provisions and an offence against the Commonwealth domestic commercial vessel national law; and</w:t>
      </w:r>
    </w:p>
    <w:p>
      <w:pPr>
        <w:pStyle w:val="Indenta"/>
      </w:pPr>
      <w:r>
        <w:tab/>
        <w:t>(b)</w:t>
      </w:r>
      <w:r>
        <w:tab/>
        <w:t>the offender has been punished for that offence under the Commonwealth domestic commercial vessel national law.</w:t>
      </w:r>
    </w:p>
    <w:p>
      <w:pPr>
        <w:pStyle w:val="Subsection"/>
      </w:pPr>
      <w:r>
        <w:tab/>
        <w:t>(2)</w:t>
      </w:r>
      <w:r>
        <w:tab/>
        <w:t>The offender is not liable to be punished for the offence under the applied provisions.</w:t>
      </w:r>
    </w:p>
    <w:p>
      <w:pPr>
        <w:pStyle w:val="Heading2"/>
      </w:pPr>
      <w:bookmarkStart w:id="60" w:name="_Toc149055632"/>
      <w:bookmarkStart w:id="61" w:name="_Toc152594650"/>
      <w:bookmarkStart w:id="62" w:name="_Toc152594846"/>
      <w:r>
        <w:rPr>
          <w:rStyle w:val="CharPartNo"/>
        </w:rPr>
        <w:lastRenderedPageBreak/>
        <w:t>Part 5</w:t>
      </w:r>
      <w:r>
        <w:rPr>
          <w:rStyle w:val="CharDivNo"/>
        </w:rPr>
        <w:t> </w:t>
      </w:r>
      <w:r>
        <w:t>—</w:t>
      </w:r>
      <w:r>
        <w:rPr>
          <w:rStyle w:val="CharDivText"/>
        </w:rPr>
        <w:t> </w:t>
      </w:r>
      <w:r>
        <w:rPr>
          <w:rStyle w:val="CharPartText"/>
        </w:rPr>
        <w:t>Administrative laws</w:t>
      </w:r>
      <w:bookmarkEnd w:id="60"/>
      <w:bookmarkEnd w:id="61"/>
      <w:bookmarkEnd w:id="62"/>
    </w:p>
    <w:p>
      <w:pPr>
        <w:pStyle w:val="Heading5"/>
      </w:pPr>
      <w:bookmarkStart w:id="63" w:name="_Toc149055633"/>
      <w:bookmarkStart w:id="64" w:name="_Toc152594847"/>
      <w:r>
        <w:rPr>
          <w:rStyle w:val="CharSectno"/>
        </w:rPr>
        <w:t>24</w:t>
      </w:r>
      <w:r>
        <w:t>.</w:t>
      </w:r>
      <w:r>
        <w:tab/>
        <w:t>Application of Commonwealth administrative laws to applied provisions</w:t>
      </w:r>
      <w:bookmarkEnd w:id="63"/>
      <w:bookmarkEnd w:id="64"/>
    </w:p>
    <w:p>
      <w:pPr>
        <w:pStyle w:val="Subsection"/>
      </w:pPr>
      <w:r>
        <w:tab/>
        <w:t>(1)</w:t>
      </w:r>
      <w:r>
        <w:tab/>
        <w:t>The Commonwealth administrative laws apply as laws of the State to any matter arising in relation to the applied provisions as if the applied provisions were a law of the Commonwealth and not a law of the State.</w:t>
      </w:r>
    </w:p>
    <w:p>
      <w:pPr>
        <w:pStyle w:val="Subsection"/>
      </w:pPr>
      <w:r>
        <w:tab/>
        <w:t>(2)</w:t>
      </w:r>
      <w:r>
        <w:tab/>
        <w:t xml:space="preserve">For the purposes of a law of the State, a matter arising in relation to the applied provisions — </w:t>
      </w:r>
    </w:p>
    <w:p>
      <w:pPr>
        <w:pStyle w:val="Indenta"/>
      </w:pPr>
      <w:r>
        <w:tab/>
        <w:t>(a)</w:t>
      </w:r>
      <w:r>
        <w:tab/>
        <w:t>is taken to be a matter arising in relation to laws of the Commonwealth in the same way as if the applied provisions were a law of the Commonwealth; and</w:t>
      </w:r>
    </w:p>
    <w:p>
      <w:pPr>
        <w:pStyle w:val="Indenta"/>
      </w:pPr>
      <w:r>
        <w:tab/>
        <w:t>(b)</w:t>
      </w:r>
      <w:r>
        <w:tab/>
        <w:t>is taken not to be a matter arising in relation to laws of the State.</w:t>
      </w:r>
    </w:p>
    <w:p>
      <w:pPr>
        <w:pStyle w:val="Subsection"/>
      </w:pPr>
      <w:r>
        <w:tab/>
        <w:t>(3)</w:t>
      </w:r>
      <w:r>
        <w:tab/>
        <w:t>Subsection (2) has effect for the purposes of a law of the State except as provided by the regulations made under section 33.</w:t>
      </w:r>
    </w:p>
    <w:p>
      <w:pPr>
        <w:pStyle w:val="Subsection"/>
      </w:pPr>
      <w:r>
        <w:tab/>
        <w:t>(4)</w:t>
      </w:r>
      <w:r>
        <w:tab/>
        <w:t>A provision of a Commonwealth administrative law applying because of this section that purports to confer jurisdiction on a federal court is taken not to have that effect.</w:t>
      </w:r>
    </w:p>
    <w:p>
      <w:pPr>
        <w:pStyle w:val="Subsection"/>
      </w:pPr>
      <w:r>
        <w:tab/>
        <w:t>(5)</w:t>
      </w:r>
      <w:r>
        <w:tab/>
        <w:t xml:space="preserve">For the purposes of this section, a reference in a provision of the </w:t>
      </w:r>
      <w:r>
        <w:rPr>
          <w:i/>
        </w:rPr>
        <w:t>Administrative Appeals Tribunal Act 1975</w:t>
      </w:r>
      <w:r>
        <w:t xml:space="preserve"> (Commonwealth) (as that provision applies as a law of the State) to the whole or any part of Part IVA of that Act is taken to be a reference to the whole or any part of that Part as it has effect as a law of the Commonwealth.</w:t>
      </w:r>
    </w:p>
    <w:p>
      <w:pPr>
        <w:pStyle w:val="Heading5"/>
      </w:pPr>
      <w:bookmarkStart w:id="65" w:name="_Toc149055634"/>
      <w:bookmarkStart w:id="66" w:name="_Toc152594848"/>
      <w:r>
        <w:rPr>
          <w:rStyle w:val="CharSectno"/>
        </w:rPr>
        <w:t>25</w:t>
      </w:r>
      <w:r>
        <w:t>.</w:t>
      </w:r>
      <w:r>
        <w:tab/>
        <w:t>Functions and powers conferred on Commonwealth officers and authorities</w:t>
      </w:r>
      <w:bookmarkEnd w:id="65"/>
      <w:bookmarkEnd w:id="66"/>
    </w:p>
    <w:p>
      <w:pPr>
        <w:pStyle w:val="Subsection"/>
      </w:pPr>
      <w:r>
        <w:tab/>
        <w:t>(1)</w:t>
      </w:r>
      <w:r>
        <w:tab/>
        <w:t xml:space="preserve">A Commonwealth administrative law applying because of section 24 that confers on a Commonwealth officer or authority a function or power also confers on the officer or authority the </w:t>
      </w:r>
      <w:r>
        <w:lastRenderedPageBreak/>
        <w:t>same function or power in relation to a matter arising in relation to the applied provisions.</w:t>
      </w:r>
    </w:p>
    <w:p>
      <w:pPr>
        <w:pStyle w:val="Subsection"/>
      </w:pPr>
      <w:r>
        <w:tab/>
        <w:t>(2)</w:t>
      </w:r>
      <w:r>
        <w:tab/>
        <w:t>In performing a function or exercising a power conferred by this section, the Commonwealth officer or authority must act as nearly as practicable as the officer or authority would act in performing or exercising the same function or power under the Commonwealth administrative law.</w:t>
      </w:r>
    </w:p>
    <w:p>
      <w:pPr>
        <w:pStyle w:val="Heading2"/>
      </w:pPr>
      <w:bookmarkStart w:id="67" w:name="_Toc149055635"/>
      <w:bookmarkStart w:id="68" w:name="_Toc152594653"/>
      <w:bookmarkStart w:id="69" w:name="_Toc152594849"/>
      <w:r>
        <w:rPr>
          <w:rStyle w:val="CharPartNo"/>
        </w:rPr>
        <w:lastRenderedPageBreak/>
        <w:t>Part 6</w:t>
      </w:r>
      <w:r>
        <w:rPr>
          <w:rStyle w:val="CharDivNo"/>
        </w:rPr>
        <w:t> </w:t>
      </w:r>
      <w:r>
        <w:t>—</w:t>
      </w:r>
      <w:r>
        <w:rPr>
          <w:rStyle w:val="CharDivText"/>
        </w:rPr>
        <w:t> </w:t>
      </w:r>
      <w:r>
        <w:rPr>
          <w:rStyle w:val="CharPartText"/>
        </w:rPr>
        <w:t>Fees and fines</w:t>
      </w:r>
      <w:bookmarkEnd w:id="67"/>
      <w:bookmarkEnd w:id="68"/>
      <w:bookmarkEnd w:id="69"/>
    </w:p>
    <w:p>
      <w:pPr>
        <w:pStyle w:val="Heading5"/>
      </w:pPr>
      <w:bookmarkStart w:id="70" w:name="_Toc149055636"/>
      <w:bookmarkStart w:id="71" w:name="_Toc152594850"/>
      <w:r>
        <w:rPr>
          <w:rStyle w:val="CharSectno"/>
        </w:rPr>
        <w:t>26</w:t>
      </w:r>
      <w:r>
        <w:t>.</w:t>
      </w:r>
      <w:r>
        <w:tab/>
        <w:t>Fees payable to officers or employees of State acting as delegates</w:t>
      </w:r>
      <w:bookmarkEnd w:id="70"/>
      <w:bookmarkEnd w:id="71"/>
    </w:p>
    <w:p>
      <w:pPr>
        <w:pStyle w:val="Subsection"/>
      </w:pPr>
      <w:r>
        <w:tab/>
        <w:t>(1)</w:t>
      </w:r>
      <w:r>
        <w:tab/>
        <w:t xml:space="preserve">In this section — </w:t>
      </w:r>
    </w:p>
    <w:p>
      <w:pPr>
        <w:pStyle w:val="Defstart"/>
      </w:pPr>
      <w:r>
        <w:tab/>
      </w:r>
      <w:r>
        <w:rPr>
          <w:rStyle w:val="CharDefText"/>
        </w:rPr>
        <w:t>accredited person</w:t>
      </w:r>
      <w:r>
        <w:t xml:space="preserve"> includes a person approved by the National Regulator to conduct a final assessment that is a criterion for the issue of a certificate of competency.</w:t>
      </w:r>
    </w:p>
    <w:p>
      <w:pPr>
        <w:pStyle w:val="Subsection"/>
      </w:pPr>
      <w:r>
        <w:tab/>
        <w:t>(2)</w:t>
      </w:r>
      <w:r>
        <w:tab/>
        <w:t>Regulations under section 33 may provide for or with respect to fees payable to the State in relation to anything done under the Commonwealth domestic commercial vessel national law (as that law applies as a law of the Commonwealth), or under the applied provisions, by a delegate of the National Regulator, or an accredited person, who is an officer or employee of, or otherwise engaged by, the State or an agency of the State.</w:t>
      </w:r>
    </w:p>
    <w:p>
      <w:pPr>
        <w:pStyle w:val="Heading5"/>
      </w:pPr>
      <w:bookmarkStart w:id="72" w:name="_Toc149055637"/>
      <w:bookmarkStart w:id="73" w:name="_Toc152594851"/>
      <w:r>
        <w:rPr>
          <w:rStyle w:val="CharSectno"/>
        </w:rPr>
        <w:t>27</w:t>
      </w:r>
      <w:r>
        <w:t>.</w:t>
      </w:r>
      <w:r>
        <w:tab/>
        <w:t>Infringement notice fines</w:t>
      </w:r>
      <w:bookmarkEnd w:id="72"/>
      <w:bookmarkEnd w:id="73"/>
    </w:p>
    <w:p>
      <w:pPr>
        <w:pStyle w:val="Subsection"/>
      </w:pPr>
      <w:r>
        <w:tab/>
      </w:r>
      <w:r>
        <w:tab/>
        <w:t xml:space="preserve">Any amount paid to the State by the National Regulator under the </w:t>
      </w:r>
      <w:r>
        <w:rPr>
          <w:i/>
        </w:rPr>
        <w:t>Marine Safety (Domestic Commercial Vessel) National Law Act 2012</w:t>
      </w:r>
      <w:r>
        <w:t xml:space="preserve"> (Commonwealth) section 10 in relation to an infringement notice must (subject to any refund payment under section 10(2) of that Act) be credited to the Consolidated Account.</w:t>
      </w:r>
    </w:p>
    <w:p>
      <w:pPr>
        <w:pStyle w:val="Heading5"/>
      </w:pPr>
      <w:bookmarkStart w:id="74" w:name="_Toc149055638"/>
      <w:bookmarkStart w:id="75" w:name="_Toc152594852"/>
      <w:r>
        <w:rPr>
          <w:rStyle w:val="CharSectno"/>
        </w:rPr>
        <w:t>28</w:t>
      </w:r>
      <w:r>
        <w:t>.</w:t>
      </w:r>
      <w:r>
        <w:tab/>
        <w:t>Fines, fees, other money not otherwise payable to State</w:t>
      </w:r>
      <w:bookmarkEnd w:id="74"/>
      <w:bookmarkEnd w:id="75"/>
    </w:p>
    <w:p>
      <w:pPr>
        <w:pStyle w:val="Subsection"/>
      </w:pPr>
      <w:r>
        <w:tab/>
        <w:t>(1)</w:t>
      </w:r>
      <w:r>
        <w:tab/>
        <w:t>All fees, penalties, fines and other money that, under the applied provisions, are authorised or directed to be payable by or imposed on any person (but not including an amount ordered to be refunded to another person) must be paid to the National Regulator.</w:t>
      </w:r>
    </w:p>
    <w:p>
      <w:pPr>
        <w:pStyle w:val="Subsection"/>
      </w:pPr>
      <w:r>
        <w:tab/>
        <w:t>(2)</w:t>
      </w:r>
      <w:r>
        <w:tab/>
        <w:t>Subsection (1) does not apply to any fees referred to in section 26.</w:t>
      </w:r>
    </w:p>
    <w:p>
      <w:pPr>
        <w:pStyle w:val="Heading2"/>
      </w:pPr>
      <w:bookmarkStart w:id="76" w:name="_Toc149055639"/>
      <w:bookmarkStart w:id="77" w:name="_Toc152594657"/>
      <w:bookmarkStart w:id="78" w:name="_Toc152594853"/>
      <w:r>
        <w:rPr>
          <w:rStyle w:val="CharPartNo"/>
        </w:rPr>
        <w:lastRenderedPageBreak/>
        <w:t>Part 7</w:t>
      </w:r>
      <w:r>
        <w:rPr>
          <w:rStyle w:val="CharDivNo"/>
        </w:rPr>
        <w:t> </w:t>
      </w:r>
      <w:r>
        <w:t>—</w:t>
      </w:r>
      <w:r>
        <w:rPr>
          <w:rStyle w:val="CharDivText"/>
        </w:rPr>
        <w:t> </w:t>
      </w:r>
      <w:r>
        <w:rPr>
          <w:rStyle w:val="CharPartText"/>
        </w:rPr>
        <w:t>Miscellaneous</w:t>
      </w:r>
      <w:bookmarkEnd w:id="76"/>
      <w:bookmarkEnd w:id="77"/>
      <w:bookmarkEnd w:id="78"/>
    </w:p>
    <w:p>
      <w:pPr>
        <w:pStyle w:val="Heading5"/>
      </w:pPr>
      <w:bookmarkStart w:id="79" w:name="_Toc149055640"/>
      <w:bookmarkStart w:id="80" w:name="_Toc152594854"/>
      <w:r>
        <w:rPr>
          <w:rStyle w:val="CharSectno"/>
        </w:rPr>
        <w:t>29</w:t>
      </w:r>
      <w:r>
        <w:t>.</w:t>
      </w:r>
      <w:r>
        <w:tab/>
        <w:t>Things done for multiple purposes</w:t>
      </w:r>
      <w:bookmarkEnd w:id="79"/>
      <w:bookmarkEnd w:id="80"/>
    </w:p>
    <w:p>
      <w:pPr>
        <w:pStyle w:val="Subsection"/>
      </w:pPr>
      <w:r>
        <w:tab/>
      </w:r>
      <w:r>
        <w:tab/>
        <w:t>The validity of a licence, certificate or other thing issued, given or done for the purposes of the applied provisions is not affected only because it was issued, given or done also for the purposes of the Commonwealth domestic commercial vessel national law.</w:t>
      </w:r>
    </w:p>
    <w:p>
      <w:pPr>
        <w:pStyle w:val="Heading5"/>
      </w:pPr>
      <w:bookmarkStart w:id="81" w:name="_Toc149055641"/>
      <w:bookmarkStart w:id="82" w:name="_Toc152594855"/>
      <w:r>
        <w:rPr>
          <w:rStyle w:val="CharSectno"/>
        </w:rPr>
        <w:t>30</w:t>
      </w:r>
      <w:r>
        <w:t>.</w:t>
      </w:r>
      <w:r>
        <w:tab/>
        <w:t>Reference in Commonwealth law to provision of another law</w:t>
      </w:r>
      <w:bookmarkEnd w:id="81"/>
      <w:bookmarkEnd w:id="82"/>
    </w:p>
    <w:p>
      <w:pPr>
        <w:pStyle w:val="Subsection"/>
      </w:pPr>
      <w:r>
        <w:tab/>
      </w:r>
      <w:r>
        <w:tab/>
        <w:t>For the purposes of sections 21 and 24, a reference in a Commonwealth law to a provision of that or another Commonwealth law is taken to be a reference to that provision as applying because of those sections.</w:t>
      </w:r>
    </w:p>
    <w:p>
      <w:pPr>
        <w:pStyle w:val="Heading5"/>
      </w:pPr>
      <w:bookmarkStart w:id="83" w:name="_Toc149055642"/>
      <w:bookmarkStart w:id="84" w:name="_Toc152594856"/>
      <w:r>
        <w:rPr>
          <w:rStyle w:val="CharSectno"/>
        </w:rPr>
        <w:t>31</w:t>
      </w:r>
      <w:r>
        <w:t>.</w:t>
      </w:r>
      <w:r>
        <w:tab/>
        <w:t>References to Domestic Commercial Vessel National Law</w:t>
      </w:r>
      <w:bookmarkEnd w:id="83"/>
      <w:bookmarkEnd w:id="84"/>
    </w:p>
    <w:p>
      <w:pPr>
        <w:pStyle w:val="Subsection"/>
      </w:pPr>
      <w:r>
        <w:tab/>
        <w:t>(1)</w:t>
      </w:r>
      <w:r>
        <w:tab/>
        <w:t xml:space="preserve">In this section — </w:t>
      </w:r>
    </w:p>
    <w:p>
      <w:pPr>
        <w:pStyle w:val="Defstart"/>
      </w:pPr>
      <w:r>
        <w:tab/>
      </w:r>
      <w:r>
        <w:rPr>
          <w:rStyle w:val="CharDefText"/>
        </w:rPr>
        <w:t>participating jurisdiction</w:t>
      </w:r>
      <w:r>
        <w:t xml:space="preserve"> means a State or Territory that applies the Commonwealth domestic commercial vessel national law (whether or not as modified) as a law of that jurisdiction.</w:t>
      </w:r>
    </w:p>
    <w:p>
      <w:pPr>
        <w:pStyle w:val="Subsection"/>
      </w:pPr>
      <w:r>
        <w:tab/>
        <w:t>(2)</w:t>
      </w:r>
      <w:r>
        <w:tab/>
        <w:t xml:space="preserve">A reference in a written law or other instrument to the Domestic Commercial Vessel National Law is a reference to — </w:t>
      </w:r>
    </w:p>
    <w:p>
      <w:pPr>
        <w:pStyle w:val="Indenta"/>
      </w:pPr>
      <w:r>
        <w:tab/>
        <w:t>(a)</w:t>
      </w:r>
      <w:r>
        <w:tab/>
        <w:t>the Commonwealth domestic commercial vessel national law; and</w:t>
      </w:r>
    </w:p>
    <w:p>
      <w:pPr>
        <w:pStyle w:val="Indenta"/>
      </w:pPr>
      <w:r>
        <w:tab/>
        <w:t>(b)</w:t>
      </w:r>
      <w:r>
        <w:tab/>
        <w:t>the applied provisions; and</w:t>
      </w:r>
    </w:p>
    <w:p>
      <w:pPr>
        <w:pStyle w:val="Indenta"/>
      </w:pPr>
      <w:r>
        <w:tab/>
        <w:t>(c)</w:t>
      </w:r>
      <w:r>
        <w:tab/>
        <w:t>the Domestic Commercial Vessel National Law of the other participating jurisdictions, that is, the Commonwealth domestic commercial vessel national law that applies (whether or not as modified) as a law of each of those other jurisdictions.</w:t>
      </w:r>
    </w:p>
    <w:p>
      <w:pPr>
        <w:pStyle w:val="Subsection"/>
      </w:pPr>
      <w:r>
        <w:tab/>
        <w:t>(3)</w:t>
      </w:r>
      <w:r>
        <w:tab/>
        <w:t>Subsection (2) applies except so far as the contrary intention appears or the context otherwise requires.</w:t>
      </w:r>
    </w:p>
    <w:p>
      <w:pPr>
        <w:pStyle w:val="Heading5"/>
      </w:pPr>
      <w:bookmarkStart w:id="85" w:name="_Toc149055643"/>
      <w:bookmarkStart w:id="86" w:name="_Toc152594857"/>
      <w:r>
        <w:rPr>
          <w:rStyle w:val="CharSectno"/>
        </w:rPr>
        <w:lastRenderedPageBreak/>
        <w:t>32</w:t>
      </w:r>
      <w:r>
        <w:t>.</w:t>
      </w:r>
      <w:r>
        <w:tab/>
        <w:t>Disclosure of information to National Regulator</w:t>
      </w:r>
      <w:bookmarkEnd w:id="85"/>
      <w:bookmarkEnd w:id="86"/>
    </w:p>
    <w:p>
      <w:pPr>
        <w:pStyle w:val="Subsection"/>
      </w:pPr>
      <w:r>
        <w:tab/>
      </w:r>
      <w:r>
        <w:tab/>
        <w:t>Without limiting section 152 of the Scheduled Law as applied by section 6(2), information obtained under a written law may be disclosed under that section whether it was obtained before, on or after commencement day.</w:t>
      </w:r>
    </w:p>
    <w:p>
      <w:pPr>
        <w:pStyle w:val="Heading5"/>
      </w:pPr>
      <w:bookmarkStart w:id="87" w:name="_Toc149055644"/>
      <w:bookmarkStart w:id="88" w:name="_Toc152594858"/>
      <w:r>
        <w:rPr>
          <w:rStyle w:val="CharSectno"/>
        </w:rPr>
        <w:t>33</w:t>
      </w:r>
      <w:r>
        <w:t>.</w:t>
      </w:r>
      <w:r>
        <w:tab/>
        <w:t>State regulations</w:t>
      </w:r>
      <w:bookmarkEnd w:id="87"/>
      <w:bookmarkEnd w:id="88"/>
    </w:p>
    <w:p>
      <w:pPr>
        <w:pStyle w:val="Subsection"/>
      </w:pPr>
      <w:r>
        <w:tab/>
      </w:r>
      <w:r>
        <w:tab/>
        <w:t>The Governor may make regulations, not inconsistent with this Act or the applied provisions, for or with respect to any matter that by this Act is required or permitted to be prescribed or that is necessary or convenient to be prescribed for carrying out or giving effect to this Act or the applied provisions.</w:t>
      </w:r>
    </w:p>
    <w:p>
      <w:pPr>
        <w:pStyle w:val="Heading5"/>
      </w:pPr>
      <w:bookmarkStart w:id="89" w:name="_Toc149055645"/>
      <w:bookmarkStart w:id="90" w:name="_Toc152594859"/>
      <w:r>
        <w:rPr>
          <w:rStyle w:val="CharSectno"/>
        </w:rPr>
        <w:t>34</w:t>
      </w:r>
      <w:r>
        <w:t>.</w:t>
      </w:r>
      <w:r>
        <w:tab/>
        <w:t>Review of Act</w:t>
      </w:r>
      <w:bookmarkEnd w:id="89"/>
      <w:bookmarkEnd w:id="90"/>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Heading2"/>
      </w:pPr>
      <w:bookmarkStart w:id="91" w:name="_Toc149055646"/>
      <w:bookmarkStart w:id="92" w:name="_Toc152594664"/>
      <w:bookmarkStart w:id="93" w:name="_Toc152594860"/>
      <w:r>
        <w:rPr>
          <w:rStyle w:val="CharPartNo"/>
        </w:rPr>
        <w:lastRenderedPageBreak/>
        <w:t>Part 8</w:t>
      </w:r>
      <w:r>
        <w:rPr>
          <w:rStyle w:val="CharDivNo"/>
        </w:rPr>
        <w:t> </w:t>
      </w:r>
      <w:r>
        <w:t>—</w:t>
      </w:r>
      <w:r>
        <w:rPr>
          <w:rStyle w:val="CharDivText"/>
        </w:rPr>
        <w:t> </w:t>
      </w:r>
      <w:r>
        <w:rPr>
          <w:rStyle w:val="CharPartText"/>
        </w:rPr>
        <w:t>Transitional and savings provisions</w:t>
      </w:r>
      <w:bookmarkEnd w:id="91"/>
      <w:bookmarkEnd w:id="92"/>
      <w:bookmarkEnd w:id="93"/>
    </w:p>
    <w:p>
      <w:pPr>
        <w:pStyle w:val="Heading5"/>
      </w:pPr>
      <w:bookmarkStart w:id="94" w:name="_Toc149055647"/>
      <w:bookmarkStart w:id="95" w:name="_Toc152594861"/>
      <w:r>
        <w:rPr>
          <w:rStyle w:val="CharSectno"/>
        </w:rPr>
        <w:t>35</w:t>
      </w:r>
      <w:r>
        <w:t>.</w:t>
      </w:r>
      <w:r>
        <w:tab/>
        <w:t>Transitional regulations</w:t>
      </w:r>
      <w:bookmarkEnd w:id="94"/>
      <w:bookmarkEnd w:id="95"/>
    </w:p>
    <w:p>
      <w:pPr>
        <w:pStyle w:val="Subsection"/>
      </w:pPr>
      <w:r>
        <w:tab/>
        <w:t>(1)</w:t>
      </w:r>
      <w:r>
        <w:tab/>
        <w:t xml:space="preserve">In this section — </w:t>
      </w:r>
    </w:p>
    <w:p>
      <w:pPr>
        <w:pStyle w:val="Defstart"/>
      </w:pPr>
      <w:r>
        <w:tab/>
      </w:r>
      <w:r>
        <w:rPr>
          <w:rStyle w:val="CharDefText"/>
        </w:rPr>
        <w:t>publication day</w:t>
      </w:r>
      <w:r>
        <w:t>, in relation to transitional regulations, means the day on which the transitional regulations are published on the WA legislation website;</w:t>
      </w:r>
    </w:p>
    <w:p>
      <w:pPr>
        <w:pStyle w:val="Defstart"/>
      </w:pPr>
      <w:r>
        <w:tab/>
      </w:r>
      <w:r>
        <w:rPr>
          <w:rStyle w:val="CharDefText"/>
        </w:rPr>
        <w:t>transitional regulations</w:t>
      </w:r>
      <w:r>
        <w:t xml:space="preserve"> means regulations made for the purposes of subsection (2).</w:t>
      </w:r>
    </w:p>
    <w:p>
      <w:pPr>
        <w:pStyle w:val="Subsection"/>
      </w:pPr>
      <w:r>
        <w:tab/>
        <w:t>(2)</w:t>
      </w:r>
      <w:r>
        <w:tab/>
        <w:t>Regulations under section 33 may deal with matters of a transitional, savings or application nature arising in connection with the enactment of this Act.</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to be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Ednotepart"/>
      </w:pPr>
      <w:r>
        <w:t>[Part 9 has not come into operation.]</w:t>
      </w:r>
    </w:p>
    <w:p>
      <w:pPr>
        <w:pStyle w:val="Heading2"/>
      </w:pPr>
      <w:bookmarkStart w:id="96" w:name="_Toc149055819"/>
      <w:bookmarkStart w:id="97" w:name="_Toc152594666"/>
      <w:bookmarkStart w:id="98" w:name="_Toc152594862"/>
      <w:r>
        <w:rPr>
          <w:rStyle w:val="CharPartNo"/>
        </w:rPr>
        <w:lastRenderedPageBreak/>
        <w:t>Part 10</w:t>
      </w:r>
      <w:r>
        <w:t> — </w:t>
      </w:r>
      <w:r>
        <w:rPr>
          <w:rStyle w:val="CharPartText"/>
        </w:rPr>
        <w:t>Other Acts amended or repealed</w:t>
      </w:r>
      <w:bookmarkEnd w:id="96"/>
      <w:bookmarkEnd w:id="97"/>
      <w:bookmarkEnd w:id="98"/>
    </w:p>
    <w:p>
      <w:pPr>
        <w:pStyle w:val="Ednotedivision"/>
      </w:pPr>
      <w:r>
        <w:t>[Divisions 1</w:t>
      </w:r>
      <w:r>
        <w:noBreakHyphen/>
        <w:t>5 have not come into operation.]</w:t>
      </w:r>
    </w:p>
    <w:p>
      <w:pPr>
        <w:pStyle w:val="Heading3"/>
      </w:pPr>
      <w:bookmarkStart w:id="99" w:name="_Toc149055838"/>
      <w:bookmarkStart w:id="100" w:name="_Toc152594667"/>
      <w:bookmarkStart w:id="101" w:name="_Toc152594863"/>
      <w:r>
        <w:rPr>
          <w:rStyle w:val="CharDivNo"/>
        </w:rPr>
        <w:t>Division 6</w:t>
      </w:r>
      <w:r>
        <w:t> — </w:t>
      </w:r>
      <w:r>
        <w:rPr>
          <w:rStyle w:val="CharDivText"/>
          <w:i/>
        </w:rPr>
        <w:t>Sentencing Act 1995</w:t>
      </w:r>
      <w:r>
        <w:rPr>
          <w:rStyle w:val="CharDivText"/>
        </w:rPr>
        <w:t xml:space="preserve"> amended</w:t>
      </w:r>
      <w:bookmarkEnd w:id="99"/>
      <w:bookmarkEnd w:id="100"/>
      <w:bookmarkEnd w:id="101"/>
    </w:p>
    <w:p>
      <w:pPr>
        <w:pStyle w:val="Heading5"/>
      </w:pPr>
      <w:bookmarkStart w:id="102" w:name="_Toc149055839"/>
      <w:bookmarkStart w:id="103" w:name="_Toc152594864"/>
      <w:r>
        <w:rPr>
          <w:rStyle w:val="CharSectno"/>
        </w:rPr>
        <w:t>114</w:t>
      </w:r>
      <w:r>
        <w:t>.</w:t>
      </w:r>
      <w:r>
        <w:tab/>
        <w:t>Act amended</w:t>
      </w:r>
      <w:bookmarkEnd w:id="102"/>
      <w:bookmarkEnd w:id="103"/>
    </w:p>
    <w:p>
      <w:pPr>
        <w:pStyle w:val="Subsection"/>
      </w:pPr>
      <w:r>
        <w:tab/>
      </w:r>
      <w:r>
        <w:tab/>
        <w:t xml:space="preserve">This Division amends the </w:t>
      </w:r>
      <w:r>
        <w:rPr>
          <w:i/>
        </w:rPr>
        <w:t>Sentencing Act 1995</w:t>
      </w:r>
      <w:r>
        <w:t>.</w:t>
      </w:r>
    </w:p>
    <w:p>
      <w:pPr>
        <w:pStyle w:val="Heading5"/>
      </w:pPr>
      <w:bookmarkStart w:id="104" w:name="_Toc149055840"/>
      <w:bookmarkStart w:id="105" w:name="_Toc152594865"/>
      <w:r>
        <w:rPr>
          <w:rStyle w:val="CharSectno"/>
        </w:rPr>
        <w:t>115</w:t>
      </w:r>
      <w:r>
        <w:t>.</w:t>
      </w:r>
      <w:r>
        <w:tab/>
        <w:t>Section 107 amended</w:t>
      </w:r>
      <w:bookmarkEnd w:id="104"/>
      <w:bookmarkEnd w:id="105"/>
    </w:p>
    <w:p>
      <w:pPr>
        <w:pStyle w:val="Subsection"/>
      </w:pPr>
      <w:r>
        <w:tab/>
        <w:t>(1)</w:t>
      </w:r>
      <w:r>
        <w:tab/>
        <w:t xml:space="preserve">In section 107(5) delete the definition of </w:t>
      </w:r>
      <w:r>
        <w:rPr>
          <w:b/>
          <w:i/>
        </w:rPr>
        <w:t>vessel</w:t>
      </w:r>
      <w:r>
        <w:t xml:space="preserve"> and insert:</w:t>
      </w:r>
    </w:p>
    <w:p>
      <w:pPr>
        <w:pStyle w:val="BlankOpen"/>
      </w:pPr>
    </w:p>
    <w:p>
      <w:pPr>
        <w:pStyle w:val="zDefstart"/>
      </w:pPr>
      <w:r>
        <w:tab/>
      </w:r>
      <w:r>
        <w:rPr>
          <w:rStyle w:val="CharDefText"/>
        </w:rPr>
        <w:t>vessel</w:t>
      </w:r>
      <w:r>
        <w:t xml:space="preserve"> has the meaning given in the </w:t>
      </w:r>
      <w:r>
        <w:rPr>
          <w:i/>
        </w:rPr>
        <w:t>Western Australian Marine Act 1982</w:t>
      </w:r>
      <w:r>
        <w:t xml:space="preserve"> section 3(1).</w:t>
      </w:r>
    </w:p>
    <w:p>
      <w:pPr>
        <w:pStyle w:val="BlankClose"/>
      </w:pPr>
    </w:p>
    <w:p>
      <w:pPr>
        <w:pStyle w:val="Subsection"/>
      </w:pPr>
      <w:r>
        <w:tab/>
        <w:t>(2)</w:t>
      </w:r>
      <w:r>
        <w:tab/>
        <w:t xml:space="preserve">In section 107(5) in the definition of </w:t>
      </w:r>
      <w:r>
        <w:rPr>
          <w:b/>
          <w:i/>
        </w:rPr>
        <w:t>marine qualification</w:t>
      </w:r>
      <w:r>
        <w:t xml:space="preserve"> delete “certificate of competency or any other”.</w:t>
      </w:r>
    </w:p>
    <w:p>
      <w:pPr>
        <w:pStyle w:val="Ednotedivision"/>
      </w:pPr>
      <w:r>
        <w:t>[Divisions 7</w:t>
      </w:r>
      <w:r>
        <w:noBreakHyphen/>
        <w:t>10 have not come into operation.]</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06" w:name="_Toc152333029"/>
      <w:bookmarkStart w:id="107" w:name="_Toc152334531"/>
      <w:bookmarkStart w:id="108" w:name="_Toc152335135"/>
      <w:bookmarkStart w:id="109" w:name="_Toc152336326"/>
      <w:bookmarkStart w:id="110" w:name="_Toc152594670"/>
      <w:bookmarkStart w:id="111" w:name="_Toc152594866"/>
      <w:bookmarkStart w:id="112" w:name="_Toc149055853"/>
      <w:r>
        <w:lastRenderedPageBreak/>
        <w:t>Notes</w:t>
      </w:r>
      <w:bookmarkEnd w:id="106"/>
      <w:bookmarkEnd w:id="107"/>
      <w:bookmarkEnd w:id="108"/>
      <w:bookmarkEnd w:id="109"/>
      <w:bookmarkEnd w:id="110"/>
      <w:bookmarkEnd w:id="111"/>
    </w:p>
    <w:p>
      <w:pPr>
        <w:pStyle w:val="nStatement"/>
      </w:pPr>
      <w:r>
        <w:t xml:space="preserve">This is a compilation of the </w:t>
      </w:r>
      <w:r>
        <w:rPr>
          <w:i/>
          <w:noProof/>
        </w:rPr>
        <w:t>Marine Safety (Domestic Commercial Vessel National Law Application) Act 2023</w:t>
      </w:r>
      <w:r>
        <w:t>. For provisions that have come into operation see the compilation table. For provisions that have not yet come into operation see the uncommenced provisions table.</w:t>
      </w:r>
    </w:p>
    <w:p>
      <w:pPr>
        <w:pStyle w:val="nHeading3"/>
      </w:pPr>
      <w:bookmarkStart w:id="113" w:name="_Toc152336327"/>
      <w:bookmarkStart w:id="114" w:name="_Toc152594867"/>
      <w:r>
        <w:t>Compilation table</w:t>
      </w:r>
      <w:bookmarkEnd w:id="113"/>
      <w:bookmarkEnd w:id="1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rPr>
              <w:t xml:space="preserve"> Pt. 1-8 and Pt. 10 (other than Div. 1</w:t>
            </w:r>
            <w:r>
              <w:rPr>
                <w:iCs/>
              </w:rPr>
              <w:noBreakHyphen/>
              <w:t>5 and 7</w:t>
            </w:r>
            <w:r>
              <w:rPr>
                <w:iCs/>
              </w:rPr>
              <w:noBreakHyphen/>
              <w:t>10)</w:t>
            </w:r>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Pt. 1: 24 Oct 2023 (see s. 2(a));</w:t>
            </w:r>
            <w:r>
              <w:br/>
              <w:t>Pt. 2</w:t>
            </w:r>
            <w:r>
              <w:noBreakHyphen/>
              <w:t>8 and Pt. 10 (other than Div. 1</w:t>
            </w:r>
            <w:r>
              <w:noBreakHyphen/>
              <w:t>5 and 7</w:t>
            </w:r>
            <w:r>
              <w:noBreakHyphen/>
              <w:t>10): 16 Dec 2023 (see s. 2(b) and SL 2023/190 cl. 2)</w:t>
            </w:r>
          </w:p>
        </w:tc>
      </w:tr>
    </w:tbl>
    <w:p/>
    <w:p>
      <w:pPr>
        <w:pStyle w:val="nHeading3"/>
      </w:pPr>
      <w:bookmarkStart w:id="115" w:name="_Toc152336328"/>
      <w:bookmarkStart w:id="116" w:name="_Toc152594868"/>
      <w:r>
        <w:t>Uncommenced provisions table</w:t>
      </w:r>
      <w:bookmarkEnd w:id="115"/>
      <w:bookmarkEnd w:id="11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noProof/>
              </w:rPr>
              <w:t xml:space="preserve"> Pt. 9 and </w:t>
            </w:r>
            <w:r>
              <w:rPr>
                <w:iCs/>
              </w:rPr>
              <w:t>Pt. 10 Div. 1</w:t>
            </w:r>
            <w:r>
              <w:rPr>
                <w:iCs/>
              </w:rPr>
              <w:noBreakHyphen/>
              <w:t>5 and 7</w:t>
            </w:r>
            <w:r>
              <w:rPr>
                <w:iCs/>
              </w:rPr>
              <w:noBreakHyphen/>
              <w:t>10</w:t>
            </w:r>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To be proclaimed (see s. 2(b))</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18" w:name="_Toc152594869"/>
      <w:bookmarkEnd w:id="112"/>
      <w:r>
        <w:rPr>
          <w:sz w:val="28"/>
        </w:rPr>
        <w:lastRenderedPageBreak/>
        <w:t>Defined terms</w:t>
      </w:r>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person</w:t>
      </w:r>
      <w:r>
        <w:tab/>
        <w:t>26(1)</w:t>
      </w:r>
    </w:p>
    <w:p>
      <w:pPr>
        <w:pStyle w:val="DefinedTerms"/>
      </w:pPr>
      <w:r>
        <w:t>amend</w:t>
      </w:r>
      <w:r>
        <w:tab/>
        <w:t>4(1)</w:t>
      </w:r>
    </w:p>
    <w:p>
      <w:pPr>
        <w:pStyle w:val="DefinedTerms"/>
      </w:pPr>
      <w:r>
        <w:t>amending Act</w:t>
      </w:r>
      <w:r>
        <w:tab/>
        <w:t>4(1)</w:t>
      </w:r>
    </w:p>
    <w:p>
      <w:pPr>
        <w:pStyle w:val="DefinedTerms"/>
      </w:pPr>
      <w:r>
        <w:t>applied provisions</w:t>
      </w:r>
      <w:r>
        <w:tab/>
        <w:t>4(1)</w:t>
      </w:r>
    </w:p>
    <w:p>
      <w:pPr>
        <w:pStyle w:val="DefinedTerms"/>
      </w:pPr>
      <w:r>
        <w:t>commencement day</w:t>
      </w:r>
      <w:r>
        <w:tab/>
        <w:t>4(1)</w:t>
      </w:r>
    </w:p>
    <w:p>
      <w:pPr>
        <w:pStyle w:val="DefinedTerms"/>
      </w:pPr>
      <w:r>
        <w:t>Commonwealth administrative laws</w:t>
      </w:r>
      <w:r>
        <w:tab/>
        <w:t>4(1)</w:t>
      </w:r>
    </w:p>
    <w:p>
      <w:pPr>
        <w:pStyle w:val="DefinedTerms"/>
      </w:pPr>
      <w:r>
        <w:t>Commonwealth domestic commercial vessel national law</w:t>
      </w:r>
      <w:r>
        <w:tab/>
        <w:t>4(1)</w:t>
      </w:r>
    </w:p>
    <w:p>
      <w:pPr>
        <w:pStyle w:val="DefinedTerms"/>
      </w:pPr>
      <w:r>
        <w:t>disallowance period</w:t>
      </w:r>
      <w:r>
        <w:tab/>
        <w:t>8(1)</w:t>
      </w:r>
    </w:p>
    <w:p>
      <w:pPr>
        <w:pStyle w:val="DefinedTerms"/>
      </w:pPr>
      <w:r>
        <w:t>disallowance resolution</w:t>
      </w:r>
      <w:r>
        <w:tab/>
        <w:t>8(1)</w:t>
      </w:r>
    </w:p>
    <w:p>
      <w:pPr>
        <w:pStyle w:val="DefinedTerms"/>
      </w:pPr>
      <w:r>
        <w:t>Domestic Commercial Vessel National Law</w:t>
      </w:r>
      <w:r>
        <w:tab/>
        <w:t>6(1)</w:t>
      </w:r>
    </w:p>
    <w:p>
      <w:pPr>
        <w:pStyle w:val="DefinedTerms"/>
      </w:pPr>
      <w:r>
        <w:t>legislative instrument</w:t>
      </w:r>
      <w:r>
        <w:tab/>
        <w:t>4(1)</w:t>
      </w:r>
    </w:p>
    <w:p>
      <w:pPr>
        <w:pStyle w:val="DefinedTerms"/>
      </w:pPr>
      <w:r>
        <w:t>Marine Safety (Domestic Commercial Vessel) National Law of the Commonwealth</w:t>
      </w:r>
      <w:r>
        <w:tab/>
        <w:t>4(1)</w:t>
      </w:r>
    </w:p>
    <w:p>
      <w:pPr>
        <w:pStyle w:val="DefinedTerms"/>
      </w:pPr>
      <w:r>
        <w:t>notice period</w:t>
      </w:r>
      <w:r>
        <w:tab/>
        <w:t>8(1)</w:t>
      </w:r>
    </w:p>
    <w:p>
      <w:pPr>
        <w:pStyle w:val="DefinedTerms"/>
      </w:pPr>
      <w:r>
        <w:t>parliamentary committee</w:t>
      </w:r>
      <w:r>
        <w:tab/>
        <w:t>11(1)</w:t>
      </w:r>
    </w:p>
    <w:p>
      <w:pPr>
        <w:pStyle w:val="DefinedTerms"/>
      </w:pPr>
      <w:r>
        <w:t>participating jurisdiction</w:t>
      </w:r>
      <w:r>
        <w:tab/>
        <w:t>31(1)</w:t>
      </w:r>
    </w:p>
    <w:p>
      <w:pPr>
        <w:pStyle w:val="DefinedTerms"/>
      </w:pPr>
      <w:r>
        <w:t>publication day</w:t>
      </w:r>
      <w:r>
        <w:tab/>
        <w:t>35(1)</w:t>
      </w:r>
    </w:p>
    <w:p>
      <w:pPr>
        <w:pStyle w:val="DefinedTerms"/>
      </w:pPr>
      <w:r>
        <w:t>relevant Commonwealth criminal law</w:t>
      </w:r>
      <w:r>
        <w:tab/>
        <w:t>21(1)</w:t>
      </w:r>
    </w:p>
    <w:p>
      <w:pPr>
        <w:pStyle w:val="DefinedTerms"/>
      </w:pPr>
      <w:r>
        <w:t>savings or transitional provision</w:t>
      </w:r>
      <w:r>
        <w:tab/>
        <w:t>16(1)</w:t>
      </w:r>
    </w:p>
    <w:p>
      <w:pPr>
        <w:pStyle w:val="DefinedTerms"/>
      </w:pPr>
      <w:r>
        <w:t>Scheduled Law</w:t>
      </w:r>
      <w:r>
        <w:tab/>
        <w:t>4(1)</w:t>
      </w:r>
    </w:p>
    <w:p>
      <w:pPr>
        <w:pStyle w:val="DefinedTerms"/>
      </w:pPr>
      <w:r>
        <w:t>the instrument</w:t>
      </w:r>
      <w:r>
        <w:tab/>
        <w:t>15(6)</w:t>
      </w:r>
    </w:p>
    <w:p>
      <w:pPr>
        <w:pStyle w:val="DefinedTerms"/>
      </w:pPr>
      <w:r>
        <w:t>transitional regulations</w:t>
      </w:r>
      <w:r>
        <w:tab/>
        <w:t>35(1)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5BE983"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279F3D57" w14:textId="00A014BE" w:rsidR="006A0C80" w:rsidRDefault="006A0C8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30104F4" w14:textId="77777777" w:rsidR="006A0C80" w:rsidRDefault="006A0C8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27D004" w14:textId="2F752023" w:rsidR="006A0C80" w:rsidRDefault="006A0C8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7641F52" w14:textId="77777777" w:rsidR="006A0C80" w:rsidRDefault="006A0C8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682"/>
      <w:gridCol w:w="82"/>
    </w:tblGrid>
    <w:tr>
      <w:trPr>
        <w:gridAfter w:val="1"/>
        <w:wAfter w:w="82" w:type="dxa"/>
        <w:cantSplit/>
        <w:jc w:val="center"/>
      </w:trPr>
      <w:tc>
        <w:tcPr>
          <w:tcW w:w="7230"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284"/>
      <w:gridCol w:w="5476"/>
      <w:gridCol w:w="1552"/>
    </w:tblGrid>
    <w:tr>
      <w:trPr>
        <w:gridBefore w:val="1"/>
        <w:wBefore w:w="284" w:type="dxa"/>
        <w:cantSplit/>
        <w:jc w:val="center"/>
      </w:trPr>
      <w:tc>
        <w:tcPr>
          <w:tcW w:w="702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117" w:name="Compilation"/>
    <w:bookmarkEnd w:id="1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744"/>
      <w:gridCol w:w="171"/>
    </w:tblGrid>
    <w:tr>
      <w:trPr>
        <w:gridAfter w:val="1"/>
        <w:wAfter w:w="171" w:type="dxa"/>
        <w:cantSplit/>
        <w:jc w:val="center"/>
      </w:trPr>
      <w:tc>
        <w:tcPr>
          <w:tcW w:w="7092"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348" w:type="dxa"/>
        </w:tcPr>
        <w:p>
          <w:pPr>
            <w:pStyle w:val="Header"/>
            <w:spacing w:before="40"/>
          </w:pPr>
        </w:p>
      </w:tc>
      <w:tc>
        <w:tcPr>
          <w:tcW w:w="5915" w:type="dxa"/>
          <w:gridSpan w:val="2"/>
        </w:tcPr>
        <w:p>
          <w:pPr>
            <w:pStyle w:val="Header"/>
            <w:spacing w:before="40"/>
          </w:pPr>
        </w:p>
      </w:tc>
    </w:tr>
    <w:tr>
      <w:trPr>
        <w:jc w:val="center"/>
      </w:trPr>
      <w:tc>
        <w:tcPr>
          <w:tcW w:w="1348" w:type="dxa"/>
        </w:tcPr>
        <w:p>
          <w:pPr>
            <w:pStyle w:val="Header"/>
            <w:spacing w:before="40"/>
          </w:pPr>
        </w:p>
      </w:tc>
      <w:tc>
        <w:tcPr>
          <w:tcW w:w="5915" w:type="dxa"/>
          <w:gridSpan w:val="2"/>
        </w:tcPr>
        <w:p>
          <w:pPr>
            <w:pStyle w:val="Header"/>
            <w:spacing w:before="40"/>
          </w:pPr>
        </w:p>
      </w:tc>
    </w:tr>
    <w:tr>
      <w:trPr>
        <w:cantSplit/>
        <w:jc w:val="center"/>
      </w:trPr>
      <w:tc>
        <w:tcPr>
          <w:tcW w:w="7263" w:type="dxa"/>
          <w:gridSpan w:val="3"/>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8B555D4"/>
    <w:multiLevelType w:val="multilevel"/>
    <w:tmpl w:val="7E6C6F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4"/>
  </w:num>
  <w:num w:numId="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187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02415582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304191630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19163027_GUID" w:val="af1d2eba-0721-43e8-87c4-133cabec2679"/>
    <w:docVar w:name="WAFER_20230426120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6120220_GUID" w:val="0c5d2118-c0d6-4fba-8a81-092c6c11dae9"/>
    <w:docVar w:name="WAFER_20230509161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9161000_GUID" w:val="46682c0a-fcac-4cd3-8ca0-8559a79ad316"/>
    <w:docVar w:name="WAFER_2023051614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0916_GUID" w:val="eec8b652-6340-4534-b237-395d412a8e03"/>
    <w:docVar w:name="WAFER_20231024155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55825_GUID" w:val="a260b408-fadc-44cd-9c48-8624b358a6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E2174316-C596-4489-A67C-4C8C51B6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9D63E-FC25-47B7-B5C5-4F43E4F4D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5479</Words>
  <Characters>27450</Characters>
  <Application>Microsoft Office Word</Application>
  <DocSecurity>0</DocSecurity>
  <Lines>762</Lines>
  <Paragraphs>422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32507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Safety (Domestic Commercial Vessel National Law Application) Act 2023 - 00-b0-00</dc:title>
  <dc:subject/>
  <dc:creator/>
  <cp:keywords/>
  <dc:description/>
  <cp:lastModifiedBy>Master Repository Process</cp:lastModifiedBy>
  <cp:revision>4</cp:revision>
  <cp:lastPrinted>2023-10-24T07:44:00Z</cp:lastPrinted>
  <dcterms:created xsi:type="dcterms:W3CDTF">2025-05-28T06:13:00Z</dcterms:created>
  <dcterms:modified xsi:type="dcterms:W3CDTF">2025-05-28T06:14:00Z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2023</vt:lpwstr>
  </property>
  <property fmtid="{D5CDD505-2E9C-101B-9397-08002B2CF9AE}" pid="3" name="DocumentType">
    <vt:lpwstr>Act</vt:lpwstr>
  </property>
  <property fmtid="{D5CDD505-2E9C-101B-9397-08002B2CF9AE}" pid="4" name="AsAtDate">
    <vt:lpwstr>16 Dec 2023</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20231216</vt:lpwstr>
  </property>
  <property fmtid="{D5CDD505-2E9C-101B-9397-08002B2CF9AE}" pid="8" name="CommencementYear">
    <vt:lpwstr>2023</vt:lpwstr>
  </property>
</Properties>
</file>