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Building Amendment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Amendment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_Toc153879064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_Toc153879065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Regulations amended</w:t>
      </w:r>
      <w:r>
        <w:tab/>
      </w:r>
      <w:r>
        <w:fldChar w:fldCharType="begin"/>
      </w:r>
      <w:r>
        <w:instrText xml:space="preserve"> PAGEREF _Toc153879066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commencing on day after publication</w:t>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_Toc153879068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5A replaced</w:t>
      </w:r>
      <w:r>
        <w:tab/>
      </w:r>
      <w:r>
        <w:fldChar w:fldCharType="begin"/>
      </w:r>
      <w:r>
        <w:instrText xml:space="preserve"> PAGEREF _Toc153879069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4A.</w:t>
      </w:r>
      <w:r>
        <w:rPr>
          <w:noProof/>
        </w:rPr>
        <w:tab/>
        <w:t>Authorised persons (s. 93(2)(d))</w:t>
      </w:r>
      <w:r>
        <w:rPr>
          <w:noProof/>
        </w:rPr>
        <w:tab/>
      </w:r>
      <w:r>
        <w:rPr>
          <w:noProof/>
        </w:rPr>
        <w:fldChar w:fldCharType="begin"/>
      </w:r>
      <w:r>
        <w:rPr>
          <w:noProof/>
        </w:rPr>
        <w:instrText xml:space="preserve"> PAGEREF _Toc153879070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4B.</w:t>
      </w:r>
      <w:r>
        <w:rPr>
          <w:noProof/>
        </w:rPr>
        <w:tab/>
        <w:t>Identity cards</w:t>
      </w:r>
      <w:r>
        <w:rPr>
          <w:noProof/>
        </w:rPr>
        <w:tab/>
      </w:r>
      <w:r>
        <w:rPr>
          <w:noProof/>
        </w:rPr>
        <w:fldChar w:fldCharType="begin"/>
      </w:r>
      <w:r>
        <w:rPr>
          <w:noProof/>
        </w:rPr>
        <w:instrText xml:space="preserve"> PAGEREF _Toc153879071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Regulation 15B replaced</w:t>
      </w:r>
      <w:r>
        <w:tab/>
      </w:r>
      <w:r>
        <w:fldChar w:fldCharType="begin"/>
      </w:r>
      <w:r>
        <w:instrText xml:space="preserve"> PAGEREF _Toc153879072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15B.</w:t>
      </w:r>
      <w:r>
        <w:rPr>
          <w:noProof/>
        </w:rPr>
        <w:tab/>
        <w:t>Modifications to AS 1926.1</w:t>
      </w:r>
      <w:r>
        <w:rPr>
          <w:bCs/>
          <w:noProof/>
        </w:rPr>
        <w:noBreakHyphen/>
      </w:r>
      <w:r>
        <w:rPr>
          <w:noProof/>
        </w:rPr>
        <w:t>2012 (s. 150)</w:t>
      </w:r>
      <w:r>
        <w:rPr>
          <w:noProof/>
        </w:rPr>
        <w:tab/>
      </w:r>
      <w:r>
        <w:rPr>
          <w:noProof/>
        </w:rPr>
        <w:fldChar w:fldCharType="begin"/>
      </w:r>
      <w:r>
        <w:rPr>
          <w:noProof/>
        </w:rPr>
        <w:instrText xml:space="preserve"> PAGEREF _Toc153879073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Regulation 54 replaced</w:t>
      </w:r>
      <w:r>
        <w:tab/>
      </w:r>
      <w:r>
        <w:fldChar w:fldCharType="begin"/>
      </w:r>
      <w:r>
        <w:instrText xml:space="preserve"> PAGEREF _Toc153879074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54.</w:t>
      </w:r>
      <w:r>
        <w:rPr>
          <w:noProof/>
        </w:rPr>
        <w:tab/>
        <w:t>Transitional provision — persons authorised by regulation 5A</w:t>
      </w:r>
      <w:r>
        <w:rPr>
          <w:noProof/>
        </w:rPr>
        <w:tab/>
      </w:r>
      <w:r>
        <w:rPr>
          <w:noProof/>
        </w:rPr>
        <w:fldChar w:fldCharType="begin"/>
      </w:r>
      <w:r>
        <w:rPr>
          <w:noProof/>
        </w:rPr>
        <w:instrText xml:space="preserve"> PAGEREF _Toc153879075 \h </w:instrText>
      </w:r>
      <w:r>
        <w:rPr>
          <w:noProof/>
        </w:rPr>
      </w:r>
      <w:r>
        <w:rPr>
          <w:noProof/>
        </w:rPr>
        <w:fldChar w:fldCharType="separate"/>
      </w:r>
      <w:r>
        <w:rPr>
          <w:noProof/>
        </w:rPr>
        <w:t>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Amendments commencing 6 months after publication</w:t>
      </w:r>
    </w:p>
    <w:p>
      <w:pPr>
        <w:pStyle w:val="TOC8"/>
        <w:rPr>
          <w:rFonts w:asciiTheme="minorHAnsi" w:eastAsiaTheme="minorEastAsia" w:hAnsiTheme="minorHAnsi" w:cstheme="minorBidi"/>
          <w:szCs w:val="22"/>
        </w:rPr>
      </w:pPr>
      <w:r>
        <w:t>8.</w:t>
      </w:r>
      <w:r>
        <w:tab/>
        <w:t>Regulation 3 amended</w:t>
      </w:r>
      <w:r>
        <w:tab/>
      </w:r>
      <w:r>
        <w:fldChar w:fldCharType="begin"/>
      </w:r>
      <w:r>
        <w:instrText xml:space="preserve"> PAGEREF _Toc153879077 \h </w:instrText>
      </w:r>
      <w:r>
        <w:fldChar w:fldCharType="separate"/>
      </w:r>
      <w:r>
        <w:t>7</w:t>
      </w:r>
      <w:r>
        <w:fldChar w:fldCharType="end"/>
      </w:r>
    </w:p>
    <w:p>
      <w:pPr>
        <w:pStyle w:val="TOC8"/>
        <w:rPr>
          <w:rFonts w:asciiTheme="minorHAnsi" w:eastAsiaTheme="minorEastAsia" w:hAnsiTheme="minorHAnsi" w:cstheme="minorBidi"/>
          <w:szCs w:val="22"/>
        </w:rPr>
      </w:pPr>
      <w:r>
        <w:t>9.</w:t>
      </w:r>
      <w:r>
        <w:tab/>
        <w:t>Regulation 28 deleted</w:t>
      </w:r>
      <w:r>
        <w:tab/>
      </w:r>
      <w:r>
        <w:fldChar w:fldCharType="begin"/>
      </w:r>
      <w:r>
        <w:instrText xml:space="preserve"> PAGEREF _Toc153879078 \h </w:instrText>
      </w:r>
      <w:r>
        <w:fldChar w:fldCharType="separate"/>
      </w:r>
      <w:r>
        <w:t>8</w:t>
      </w:r>
      <w:r>
        <w:fldChar w:fldCharType="end"/>
      </w:r>
    </w:p>
    <w:p>
      <w:pPr>
        <w:pStyle w:val="TOC8"/>
        <w:rPr>
          <w:rFonts w:asciiTheme="minorHAnsi" w:eastAsiaTheme="minorEastAsia" w:hAnsiTheme="minorHAnsi" w:cstheme="minorBidi"/>
          <w:szCs w:val="22"/>
        </w:rPr>
      </w:pPr>
      <w:r>
        <w:t>10.</w:t>
      </w:r>
      <w:r>
        <w:tab/>
        <w:t>Regulation 29 amended</w:t>
      </w:r>
      <w:r>
        <w:tab/>
      </w:r>
      <w:r>
        <w:fldChar w:fldCharType="begin"/>
      </w:r>
      <w:r>
        <w:instrText xml:space="preserve"> PAGEREF _Toc153879079 \h </w:instrText>
      </w:r>
      <w:r>
        <w:fldChar w:fldCharType="separate"/>
      </w:r>
      <w:r>
        <w:t>8</w:t>
      </w:r>
      <w:r>
        <w:fldChar w:fldCharType="end"/>
      </w:r>
    </w:p>
    <w:p>
      <w:pPr>
        <w:pStyle w:val="TOC8"/>
        <w:rPr>
          <w:rFonts w:asciiTheme="minorHAnsi" w:eastAsiaTheme="minorEastAsia" w:hAnsiTheme="minorHAnsi" w:cstheme="minorBidi"/>
          <w:szCs w:val="22"/>
        </w:rPr>
      </w:pPr>
      <w:r>
        <w:t>11.</w:t>
      </w:r>
      <w:r>
        <w:tab/>
        <w:t>Regulation 31C replaced</w:t>
      </w:r>
      <w:r>
        <w:tab/>
      </w:r>
      <w:r>
        <w:fldChar w:fldCharType="begin"/>
      </w:r>
      <w:r>
        <w:instrText xml:space="preserve"> PAGEREF _Toc153879080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31C.</w:t>
      </w:r>
      <w:r>
        <w:rPr>
          <w:noProof/>
        </w:rPr>
        <w:tab/>
        <w:t>Applicable building standards for swimming pools and barriers to swimming pools (s. 3, 19(3), 37(1) and (2), 51(3) and 57(3))</w:t>
      </w:r>
      <w:r>
        <w:rPr>
          <w:noProof/>
        </w:rPr>
        <w:tab/>
      </w:r>
      <w:r>
        <w:rPr>
          <w:noProof/>
        </w:rPr>
        <w:fldChar w:fldCharType="begin"/>
      </w:r>
      <w:r>
        <w:rPr>
          <w:noProof/>
        </w:rPr>
        <w:instrText xml:space="preserve"> PAGEREF _Toc153879081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12.</w:t>
      </w:r>
      <w:r>
        <w:tab/>
        <w:t>Regulation 31G amended</w:t>
      </w:r>
      <w:r>
        <w:tab/>
      </w:r>
      <w:r>
        <w:fldChar w:fldCharType="begin"/>
      </w:r>
      <w:r>
        <w:instrText xml:space="preserve"> PAGEREF _Toc153879082 \h </w:instrText>
      </w:r>
      <w:r>
        <w:fldChar w:fldCharType="separate"/>
      </w:r>
      <w:r>
        <w:t>16</w:t>
      </w:r>
      <w:r>
        <w:fldChar w:fldCharType="end"/>
      </w:r>
    </w:p>
    <w:p>
      <w:pPr>
        <w:pStyle w:val="TOC8"/>
        <w:rPr>
          <w:rFonts w:asciiTheme="minorHAnsi" w:eastAsiaTheme="minorEastAsia" w:hAnsiTheme="minorHAnsi" w:cstheme="minorBidi"/>
          <w:szCs w:val="22"/>
        </w:rPr>
      </w:pPr>
      <w:r>
        <w:t>13.</w:t>
      </w:r>
      <w:r>
        <w:tab/>
        <w:t>Regulation 31H amended</w:t>
      </w:r>
      <w:r>
        <w:tab/>
      </w:r>
      <w:r>
        <w:fldChar w:fldCharType="begin"/>
      </w:r>
      <w:r>
        <w:instrText xml:space="preserve"> PAGEREF _Toc153879083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14.</w:t>
      </w:r>
      <w:r>
        <w:tab/>
        <w:t>Regulation 48 amended</w:t>
      </w:r>
      <w:r>
        <w:tab/>
      </w:r>
      <w:r>
        <w:fldChar w:fldCharType="begin"/>
      </w:r>
      <w:r>
        <w:instrText xml:space="preserve"> PAGEREF _Toc153879084 \h </w:instrText>
      </w:r>
      <w:r>
        <w:fldChar w:fldCharType="separate"/>
      </w:r>
      <w:r>
        <w:t>16</w:t>
      </w:r>
      <w:r>
        <w:fldChar w:fldCharType="end"/>
      </w:r>
    </w:p>
    <w:p>
      <w:pPr>
        <w:pStyle w:val="TOC8"/>
        <w:rPr>
          <w:rFonts w:asciiTheme="minorHAnsi" w:eastAsiaTheme="minorEastAsia" w:hAnsiTheme="minorHAnsi" w:cstheme="minorBidi"/>
          <w:szCs w:val="22"/>
        </w:rPr>
      </w:pPr>
      <w:r>
        <w:t>15.</w:t>
      </w:r>
      <w:r>
        <w:tab/>
        <w:t>Regulation 50 replaced</w:t>
      </w:r>
      <w:r>
        <w:tab/>
      </w:r>
      <w:r>
        <w:fldChar w:fldCharType="begin"/>
      </w:r>
      <w:r>
        <w:instrText xml:space="preserve"> PAGEREF _Toc153879085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50.</w:t>
      </w:r>
      <w:r>
        <w:rPr>
          <w:noProof/>
        </w:rPr>
        <w:tab/>
        <w:t>Barrier to private swimming pool</w:t>
      </w:r>
      <w:r>
        <w:rPr>
          <w:noProof/>
        </w:rPr>
        <w:tab/>
      </w:r>
      <w:r>
        <w:rPr>
          <w:noProof/>
        </w:rPr>
        <w:fldChar w:fldCharType="begin"/>
      </w:r>
      <w:r>
        <w:rPr>
          <w:noProof/>
        </w:rPr>
        <w:instrText xml:space="preserve"> PAGEREF _Toc153879086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50A.</w:t>
      </w:r>
      <w:r>
        <w:rPr>
          <w:noProof/>
        </w:rPr>
        <w:tab/>
        <w:t>Pool barrier requirements</w:t>
      </w:r>
      <w:r>
        <w:rPr>
          <w:noProof/>
        </w:rPr>
        <w:tab/>
      </w:r>
      <w:r>
        <w:rPr>
          <w:noProof/>
        </w:rPr>
        <w:fldChar w:fldCharType="begin"/>
      </w:r>
      <w:r>
        <w:rPr>
          <w:noProof/>
        </w:rPr>
        <w:instrText xml:space="preserve"> PAGEREF _Toc153879087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16.</w:t>
      </w:r>
      <w:r>
        <w:tab/>
        <w:t>Regulation 51 amended</w:t>
      </w:r>
      <w:r>
        <w:tab/>
      </w:r>
      <w:r>
        <w:fldChar w:fldCharType="begin"/>
      </w:r>
      <w:r>
        <w:instrText xml:space="preserve"> PAGEREF _Toc153879088 \h </w:instrText>
      </w:r>
      <w:r>
        <w:fldChar w:fldCharType="separate"/>
      </w:r>
      <w:r>
        <w:t>19</w:t>
      </w:r>
      <w:r>
        <w:fldChar w:fldCharType="end"/>
      </w:r>
    </w:p>
    <w:p>
      <w:pPr>
        <w:pStyle w:val="TOC8"/>
        <w:rPr>
          <w:rFonts w:asciiTheme="minorHAnsi" w:eastAsiaTheme="minorEastAsia" w:hAnsiTheme="minorHAnsi" w:cstheme="minorBidi"/>
          <w:szCs w:val="22"/>
        </w:rPr>
      </w:pPr>
      <w:r>
        <w:t>17.</w:t>
      </w:r>
      <w:r>
        <w:tab/>
        <w:t>Regulation 52 amended</w:t>
      </w:r>
      <w:r>
        <w:tab/>
      </w:r>
      <w:r>
        <w:fldChar w:fldCharType="begin"/>
      </w:r>
      <w:r>
        <w:instrText xml:space="preserve"> PAGEREF _Toc153879089 \h </w:instrText>
      </w:r>
      <w:r>
        <w:fldChar w:fldCharType="separate"/>
      </w:r>
      <w:r>
        <w:t>20</w:t>
      </w:r>
      <w:r>
        <w:fldChar w:fldCharType="end"/>
      </w:r>
    </w:p>
    <w:p>
      <w:pPr>
        <w:pStyle w:val="TOC8"/>
        <w:rPr>
          <w:rFonts w:asciiTheme="minorHAnsi" w:eastAsiaTheme="minorEastAsia" w:hAnsiTheme="minorHAnsi" w:cstheme="minorBidi"/>
          <w:szCs w:val="22"/>
        </w:rPr>
      </w:pPr>
      <w:r>
        <w:t>18.</w:t>
      </w:r>
      <w:r>
        <w:tab/>
        <w:t>Regulation 53 replaced</w:t>
      </w:r>
      <w:r>
        <w:tab/>
      </w:r>
      <w:r>
        <w:fldChar w:fldCharType="begin"/>
      </w:r>
      <w:r>
        <w:instrText xml:space="preserve"> PAGEREF _Toc153879090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53.</w:t>
      </w:r>
      <w:r>
        <w:rPr>
          <w:noProof/>
        </w:rPr>
        <w:tab/>
        <w:t>Inspection of barrier to private swimming pool</w:t>
      </w:r>
      <w:r>
        <w:rPr>
          <w:noProof/>
        </w:rPr>
        <w:tab/>
      </w:r>
      <w:r>
        <w:rPr>
          <w:noProof/>
        </w:rPr>
        <w:fldChar w:fldCharType="begin"/>
      </w:r>
      <w:r>
        <w:rPr>
          <w:noProof/>
        </w:rPr>
        <w:instrText xml:space="preserve"> PAGEREF _Toc153879091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53A.</w:t>
      </w:r>
      <w:r>
        <w:rPr>
          <w:noProof/>
        </w:rPr>
        <w:tab/>
        <w:t>Charges may be imposed for inspection of barrier</w:t>
      </w:r>
      <w:r>
        <w:rPr>
          <w:noProof/>
        </w:rPr>
        <w:tab/>
      </w:r>
      <w:r>
        <w:rPr>
          <w:noProof/>
        </w:rPr>
        <w:fldChar w:fldCharType="begin"/>
      </w:r>
      <w:r>
        <w:rPr>
          <w:noProof/>
        </w:rPr>
        <w:instrText xml:space="preserve"> PAGEREF _Toc153879092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53B.</w:t>
      </w:r>
      <w:r>
        <w:rPr>
          <w:noProof/>
        </w:rPr>
        <w:tab/>
        <w:t>Local governments to give Building Commissioner information</w:t>
      </w:r>
      <w:r>
        <w:rPr>
          <w:noProof/>
        </w:rPr>
        <w:tab/>
      </w:r>
      <w:r>
        <w:rPr>
          <w:noProof/>
        </w:rPr>
        <w:fldChar w:fldCharType="begin"/>
      </w:r>
      <w:r>
        <w:rPr>
          <w:noProof/>
        </w:rPr>
        <w:instrText xml:space="preserve"> PAGEREF _Toc153879093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19.</w:t>
      </w:r>
      <w:r>
        <w:tab/>
        <w:t>Schedule 4 amended</w:t>
      </w:r>
      <w:r>
        <w:tab/>
      </w:r>
      <w:r>
        <w:fldChar w:fldCharType="begin"/>
      </w:r>
      <w:r>
        <w:instrText xml:space="preserve"> PAGEREF _Toc153879094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pPr>
      <w:r>
        <w:t>Building Amendment Regulations 2023</w:t>
      </w:r>
    </w:p>
    <w:p>
      <w:pPr>
        <w:pStyle w:val="MadeBy"/>
      </w:pPr>
      <w:r>
        <w:t>Made by the Governor in Executive Council.</w:t>
      </w:r>
    </w:p>
    <w:p>
      <w:pPr>
        <w:pStyle w:val="Heading2"/>
        <w:pageBreakBefore w:val="0"/>
        <w:spacing w:before="360"/>
      </w:pPr>
      <w:bookmarkStart w:id="3" w:name="_Toc153796383"/>
      <w:bookmarkStart w:id="4" w:name="_Toc153796454"/>
      <w:bookmarkStart w:id="5" w:name="_Toc153796507"/>
      <w:bookmarkStart w:id="6" w:name="_Toc153796561"/>
      <w:bookmarkStart w:id="7" w:name="_Toc1538790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53796384"/>
      <w:bookmarkStart w:id="9" w:name="_Toc153879064"/>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Building Amendment Regulations 2023</w:t>
      </w:r>
      <w:r>
        <w:t>.</w:t>
      </w:r>
    </w:p>
    <w:p>
      <w:pPr>
        <w:pStyle w:val="Heading5"/>
        <w:rPr>
          <w:spacing w:val="-2"/>
        </w:rPr>
      </w:pPr>
      <w:bookmarkStart w:id="11" w:name="_Toc153796385"/>
      <w:bookmarkStart w:id="12" w:name="_Toc15387906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2 — on the day after publication day;</w:t>
      </w:r>
    </w:p>
    <w:p>
      <w:pPr>
        <w:pStyle w:val="Indenta"/>
      </w:pPr>
      <w:r>
        <w:tab/>
        <w:t>(c)</w:t>
      </w:r>
      <w:r>
        <w:tab/>
        <w:t xml:space="preserve">the rest of the </w:t>
      </w:r>
      <w:r>
        <w:rPr>
          <w:spacing w:val="-2"/>
        </w:rPr>
        <w:t>regulations</w:t>
      </w:r>
      <w:r>
        <w:t> — on the day that is 6 months after publication day.</w:t>
      </w:r>
    </w:p>
    <w:p>
      <w:pPr>
        <w:pStyle w:val="Heading5"/>
        <w:rPr>
          <w:snapToGrid w:val="0"/>
        </w:rPr>
      </w:pPr>
      <w:bookmarkStart w:id="13" w:name="_Toc153796386"/>
      <w:bookmarkStart w:id="14" w:name="_Toc153879066"/>
      <w:r>
        <w:rPr>
          <w:rStyle w:val="CharSectno"/>
        </w:rPr>
        <w:t>3</w:t>
      </w:r>
      <w:r>
        <w:t>.</w:t>
      </w:r>
      <w:r>
        <w:tab/>
      </w:r>
      <w:r>
        <w:rPr>
          <w:snapToGrid w:val="0"/>
        </w:rPr>
        <w:t>Regulations amended</w:t>
      </w:r>
      <w:bookmarkEnd w:id="13"/>
      <w:bookmarkEnd w:id="14"/>
    </w:p>
    <w:p>
      <w:pPr>
        <w:pStyle w:val="Subsection"/>
      </w:pPr>
      <w:r>
        <w:tab/>
      </w:r>
      <w:r>
        <w:tab/>
        <w:t xml:space="preserve">These </w:t>
      </w:r>
      <w:r>
        <w:rPr>
          <w:spacing w:val="-2"/>
        </w:rPr>
        <w:t>regulations amend</w:t>
      </w:r>
      <w:r>
        <w:t xml:space="preserve"> the </w:t>
      </w:r>
      <w:r>
        <w:rPr>
          <w:i/>
        </w:rPr>
        <w:t>Building Regulations 2012</w:t>
      </w:r>
      <w:r>
        <w:t>.</w:t>
      </w:r>
    </w:p>
    <w:p>
      <w:pPr>
        <w:pStyle w:val="Heading2"/>
      </w:pPr>
      <w:bookmarkStart w:id="15" w:name="_Toc153796387"/>
      <w:bookmarkStart w:id="16" w:name="_Toc153796458"/>
      <w:bookmarkStart w:id="17" w:name="_Toc153796511"/>
      <w:bookmarkStart w:id="18" w:name="_Toc153796565"/>
      <w:bookmarkStart w:id="19" w:name="_Toc153879067"/>
      <w:r>
        <w:rPr>
          <w:rStyle w:val="CharPartNo"/>
        </w:rPr>
        <w:lastRenderedPageBreak/>
        <w:t>Part 2</w:t>
      </w:r>
      <w:r>
        <w:rPr>
          <w:rStyle w:val="CharDivNo"/>
        </w:rPr>
        <w:t> </w:t>
      </w:r>
      <w:r>
        <w:t>—</w:t>
      </w:r>
      <w:r>
        <w:rPr>
          <w:rStyle w:val="CharDivText"/>
        </w:rPr>
        <w:t> </w:t>
      </w:r>
      <w:r>
        <w:rPr>
          <w:rStyle w:val="CharPartText"/>
        </w:rPr>
        <w:t>Amendments commencing on day after publication</w:t>
      </w:r>
      <w:bookmarkEnd w:id="15"/>
      <w:bookmarkEnd w:id="16"/>
      <w:bookmarkEnd w:id="17"/>
      <w:bookmarkEnd w:id="18"/>
      <w:bookmarkEnd w:id="19"/>
    </w:p>
    <w:p>
      <w:pPr>
        <w:pStyle w:val="Heading5"/>
      </w:pPr>
      <w:bookmarkStart w:id="20" w:name="_Toc153796388"/>
      <w:bookmarkStart w:id="21" w:name="_Toc153879068"/>
      <w:r>
        <w:rPr>
          <w:rStyle w:val="CharSectno"/>
        </w:rPr>
        <w:t>4</w:t>
      </w:r>
      <w:r>
        <w:t>.</w:t>
      </w:r>
      <w:r>
        <w:tab/>
        <w:t>Regulation 3 amended</w:t>
      </w:r>
      <w:bookmarkEnd w:id="20"/>
      <w:bookmarkEnd w:id="21"/>
    </w:p>
    <w:p>
      <w:pPr>
        <w:pStyle w:val="Subsection"/>
      </w:pPr>
      <w:r>
        <w:tab/>
      </w:r>
      <w:r>
        <w:tab/>
        <w:t>In regulation 3 insert in alphabetical order:</w:t>
      </w:r>
    </w:p>
    <w:p>
      <w:pPr>
        <w:pStyle w:val="BlankOpen"/>
      </w:pPr>
    </w:p>
    <w:p>
      <w:pPr>
        <w:pStyle w:val="zDefstart"/>
      </w:pPr>
      <w:r>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BlankClose"/>
      </w:pPr>
    </w:p>
    <w:p>
      <w:pPr>
        <w:pStyle w:val="Heading5"/>
      </w:pPr>
      <w:bookmarkStart w:id="22" w:name="_Toc153796389"/>
      <w:bookmarkStart w:id="23" w:name="_Toc153879069"/>
      <w:r>
        <w:rPr>
          <w:rStyle w:val="CharSectno"/>
        </w:rPr>
        <w:t>5</w:t>
      </w:r>
      <w:r>
        <w:t>.</w:t>
      </w:r>
      <w:r>
        <w:tab/>
        <w:t>Regulation 5A replaced</w:t>
      </w:r>
      <w:bookmarkEnd w:id="22"/>
      <w:bookmarkEnd w:id="23"/>
    </w:p>
    <w:p>
      <w:pPr>
        <w:pStyle w:val="Subsection"/>
      </w:pPr>
      <w:r>
        <w:tab/>
      </w:r>
      <w:r>
        <w:tab/>
        <w:t>Delete regulation 5A and insert:</w:t>
      </w:r>
    </w:p>
    <w:p>
      <w:pPr>
        <w:pStyle w:val="BlankOpen"/>
      </w:pPr>
    </w:p>
    <w:p>
      <w:pPr>
        <w:pStyle w:val="zHeading5"/>
      </w:pPr>
      <w:bookmarkStart w:id="24" w:name="_Toc153796390"/>
      <w:bookmarkStart w:id="25" w:name="_Toc153879070"/>
      <w:r>
        <w:t>4A.</w:t>
      </w:r>
      <w:r>
        <w:tab/>
        <w:t>Authorised persons (s. 93(2)(d))</w:t>
      </w:r>
      <w:bookmarkEnd w:id="24"/>
      <w:bookmarkEnd w:id="25"/>
    </w:p>
    <w:p>
      <w:pPr>
        <w:pStyle w:val="zSubsection"/>
      </w:pPr>
      <w:r>
        <w:tab/>
        <w:t>(1)</w:t>
      </w:r>
      <w:r>
        <w:tab/>
        <w:t xml:space="preserve">In this regulation — </w:t>
      </w:r>
    </w:p>
    <w:p>
      <w:pPr>
        <w:pStyle w:val="zDefstart"/>
      </w:pPr>
      <w:r>
        <w:tab/>
      </w:r>
      <w:r>
        <w:rPr>
          <w:rStyle w:val="CharDefText"/>
        </w:rPr>
        <w:t>specified Part 8 provisions</w:t>
      </w:r>
      <w:r>
        <w:t>, in relation to a designation under subregulation (2), means provisions of Part 8 that are specified in the designation.</w:t>
      </w:r>
    </w:p>
    <w:p>
      <w:pPr>
        <w:pStyle w:val="z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zSubsection"/>
      </w:pPr>
      <w:r>
        <w:tab/>
        <w:t>(3)</w:t>
      </w:r>
      <w:r>
        <w:tab/>
        <w:t>A person may be designated under subregulation (2) for a fixed or indefinite period.</w:t>
      </w:r>
    </w:p>
    <w:p>
      <w:pPr>
        <w:pStyle w:val="zSubsection"/>
      </w:pPr>
      <w:r>
        <w:tab/>
        <w:t>(4)</w:t>
      </w:r>
      <w:r>
        <w:tab/>
        <w:t>A local government may, by instrument in writing, revoke a designation under subregulation (2) at any time.</w:t>
      </w:r>
    </w:p>
    <w:p>
      <w:pPr>
        <w:pStyle w:val="zHeading5"/>
      </w:pPr>
      <w:bookmarkStart w:id="26" w:name="_Toc153796391"/>
      <w:bookmarkStart w:id="27" w:name="_Toc153879071"/>
      <w:r>
        <w:lastRenderedPageBreak/>
        <w:t>4B.</w:t>
      </w:r>
      <w:r>
        <w:tab/>
        <w:t>Identity cards</w:t>
      </w:r>
      <w:bookmarkEnd w:id="26"/>
      <w:bookmarkEnd w:id="27"/>
    </w:p>
    <w:p>
      <w:pPr>
        <w:pStyle w:val="zSubsection"/>
      </w:pPr>
      <w:r>
        <w:tab/>
        <w:t>(1)</w:t>
      </w:r>
      <w:r>
        <w:tab/>
        <w:t>A local government must give an identity card to each person designated by it as an authorised person under regulation 4A.</w:t>
      </w:r>
    </w:p>
    <w:p>
      <w:pPr>
        <w:pStyle w:val="zSubsection"/>
      </w:pPr>
      <w:r>
        <w:tab/>
        <w:t>(2)</w:t>
      </w:r>
      <w:r>
        <w:tab/>
        <w:t xml:space="preserve">The identity card must — </w:t>
      </w:r>
    </w:p>
    <w:p>
      <w:pPr>
        <w:pStyle w:val="zIndenta"/>
      </w:pPr>
      <w:r>
        <w:tab/>
        <w:t>(a)</w:t>
      </w:r>
      <w:r>
        <w:tab/>
        <w:t>identify the person as an authorised person under regulation 4A; and</w:t>
      </w:r>
    </w:p>
    <w:p>
      <w:pPr>
        <w:pStyle w:val="zIndenta"/>
      </w:pPr>
      <w:r>
        <w:tab/>
        <w:t>(b)</w:t>
      </w:r>
      <w:r>
        <w:tab/>
        <w:t>contain a recent photograph of the person.</w:t>
      </w:r>
    </w:p>
    <w:p>
      <w:pPr>
        <w:pStyle w:val="zSubsection"/>
      </w:pPr>
      <w:r>
        <w:tab/>
        <w:t>(3)</w:t>
      </w:r>
      <w:r>
        <w:tab/>
        <w:t>The person must carry the identity card at all times when performing functions or exercising powers as an authorised person under regulation 4A.</w:t>
      </w:r>
    </w:p>
    <w:p>
      <w:pPr>
        <w:pStyle w:val="zSubsection"/>
      </w:pPr>
      <w:r>
        <w:tab/>
        <w:t>(4)</w:t>
      </w:r>
      <w:r>
        <w:tab/>
        <w:t>The person must, within 14 days of ceasing to be an authorised person under regulation 4A, return the identity card to the local government.</w:t>
      </w:r>
    </w:p>
    <w:p>
      <w:pPr>
        <w:pStyle w:val="zPenstart"/>
      </w:pPr>
      <w:r>
        <w:tab/>
        <w:t>Penalty for this subregulation: a fine of $5 000.</w:t>
      </w:r>
    </w:p>
    <w:p>
      <w:pPr>
        <w:pStyle w:val="zSubsection"/>
      </w:pPr>
      <w:r>
        <w:tab/>
        <w:t>(5)</w:t>
      </w:r>
      <w:r>
        <w:tab/>
        <w:t>Subregulation (4) does not apply if the person has a reasonable excuse.</w:t>
      </w:r>
    </w:p>
    <w:p>
      <w:pPr>
        <w:pStyle w:val="BlankClose"/>
      </w:pPr>
    </w:p>
    <w:p>
      <w:pPr>
        <w:pStyle w:val="Heading5"/>
      </w:pPr>
      <w:bookmarkStart w:id="28" w:name="_Toc153796392"/>
      <w:bookmarkStart w:id="29" w:name="_Toc153879072"/>
      <w:r>
        <w:rPr>
          <w:rStyle w:val="CharSectno"/>
        </w:rPr>
        <w:t>6</w:t>
      </w:r>
      <w:r>
        <w:t>.</w:t>
      </w:r>
      <w:r>
        <w:tab/>
        <w:t>Regulation 15B replaced</w:t>
      </w:r>
      <w:bookmarkEnd w:id="28"/>
      <w:bookmarkEnd w:id="29"/>
    </w:p>
    <w:p>
      <w:pPr>
        <w:pStyle w:val="Subsection"/>
        <w:keepNext/>
      </w:pPr>
      <w:r>
        <w:tab/>
      </w:r>
      <w:r>
        <w:tab/>
        <w:t>Delete regulation 15B and insert:</w:t>
      </w:r>
    </w:p>
    <w:p>
      <w:pPr>
        <w:pStyle w:val="BlankOpen"/>
      </w:pPr>
    </w:p>
    <w:p>
      <w:pPr>
        <w:pStyle w:val="zHeading5"/>
      </w:pPr>
      <w:bookmarkStart w:id="30" w:name="_Toc153796393"/>
      <w:bookmarkStart w:id="31" w:name="_Toc153879073"/>
      <w:r>
        <w:t>15B.</w:t>
      </w:r>
      <w:r>
        <w:tab/>
        <w:t>Modifications to AS 1926.1</w:t>
      </w:r>
      <w:r>
        <w:rPr>
          <w:b w:val="0"/>
          <w:bCs/>
        </w:rPr>
        <w:noBreakHyphen/>
      </w:r>
      <w:r>
        <w:t>2012 (s. 150)</w:t>
      </w:r>
      <w:bookmarkEnd w:id="30"/>
      <w:bookmarkEnd w:id="31"/>
    </w:p>
    <w:p>
      <w:pPr>
        <w:pStyle w:val="zSubsection"/>
        <w:keepNext/>
        <w:tabs>
          <w:tab w:val="left" w:pos="1560"/>
        </w:tabs>
      </w:pPr>
      <w:r>
        <w:tab/>
      </w:r>
      <w:r>
        <w:tab/>
        <w:t>For the purposes of these regulations, AS 1926.1</w:t>
      </w:r>
      <w:r>
        <w:noBreakHyphen/>
        <w:t xml:space="preserve">2012 as referenced in the Building Code — </w:t>
      </w:r>
    </w:p>
    <w:p>
      <w:pPr>
        <w:pStyle w:val="zIndenta"/>
        <w:keepNext/>
      </w:pPr>
      <w:r>
        <w:tab/>
        <w:t>(a)</w:t>
      </w:r>
      <w:r>
        <w:tab/>
        <w:t>is modified to delete clause 2.2.4 and insert:</w:t>
      </w:r>
    </w:p>
    <w:p>
      <w:pPr>
        <w:pStyle w:val="BlankOpen"/>
      </w:pPr>
    </w:p>
    <w:p>
      <w:pPr>
        <w:pStyle w:val="zMiscellaneousBody"/>
        <w:keepNext/>
        <w:tabs>
          <w:tab w:val="left" w:pos="709"/>
          <w:tab w:val="left" w:pos="1418"/>
        </w:tabs>
        <w:ind w:left="1418" w:hanging="851"/>
        <w:rPr>
          <w:b/>
        </w:rPr>
      </w:pPr>
      <w:r>
        <w:rPr>
          <w:b/>
        </w:rPr>
        <w:tab/>
        <w:t>2.2.4</w:t>
      </w:r>
      <w:r>
        <w:rPr>
          <w:b/>
        </w:rPr>
        <w:tab/>
        <w:t>Boundary barriers</w:t>
      </w:r>
    </w:p>
    <w:p>
      <w:pPr>
        <w:pStyle w:val="zMiscellaneousBody"/>
        <w:tabs>
          <w:tab w:val="left" w:pos="709"/>
          <w:tab w:val="left" w:pos="1418"/>
        </w:tabs>
        <w:ind w:left="1418" w:hanging="851"/>
      </w:pPr>
      <w:r>
        <w:tab/>
      </w:r>
      <w:r>
        <w:tab/>
        <w:t>A boundary barrier to a pool must satisfy either paragraph (a) or paragraph (b):</w:t>
      </w:r>
    </w:p>
    <w:p>
      <w:pPr>
        <w:pStyle w:val="zMiscellaneousBody"/>
        <w:tabs>
          <w:tab w:val="left" w:pos="1701"/>
        </w:tabs>
        <w:ind w:left="2280" w:hanging="1713"/>
      </w:pPr>
      <w:r>
        <w:lastRenderedPageBreak/>
        <w:tab/>
        <w:t>(a)</w:t>
      </w:r>
      <w:r>
        <w:tab/>
        <w:t xml:space="preserve">A boundary barrier satisfies this paragraph if — </w:t>
      </w:r>
    </w:p>
    <w:p>
      <w:pPr>
        <w:pStyle w:val="zMiscellaneousBody"/>
        <w:tabs>
          <w:tab w:val="left" w:pos="2268"/>
          <w:tab w:val="left" w:pos="2410"/>
        </w:tabs>
        <w:ind w:left="2835" w:hanging="2853"/>
      </w:pPr>
      <w:r>
        <w:tab/>
        <w:t>(i)</w:t>
      </w:r>
      <w:r>
        <w:tab/>
        <w:t xml:space="preserve">it has a height on the inside of not less than 1800 mm; and </w:t>
      </w:r>
    </w:p>
    <w:p>
      <w:pPr>
        <w:pStyle w:val="zMiscellaneousBody"/>
        <w:tabs>
          <w:tab w:val="left" w:pos="2268"/>
          <w:tab w:val="left" w:pos="2410"/>
        </w:tabs>
        <w:ind w:left="2835" w:hanging="2853"/>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zMiscellaneousBody"/>
        <w:tabs>
          <w:tab w:val="left" w:pos="2268"/>
          <w:tab w:val="left" w:pos="2410"/>
          <w:tab w:val="left" w:pos="3119"/>
          <w:tab w:val="left" w:pos="3686"/>
        </w:tabs>
        <w:ind w:left="3686" w:hanging="3686"/>
      </w:pPr>
      <w:r>
        <w:tab/>
      </w:r>
      <w:r>
        <w:tab/>
      </w: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zMiscellaneousBody"/>
        <w:tabs>
          <w:tab w:val="left" w:pos="2268"/>
          <w:tab w:val="left" w:pos="2410"/>
          <w:tab w:val="left" w:pos="3119"/>
          <w:tab w:val="left" w:pos="3686"/>
        </w:tabs>
        <w:ind w:left="3686" w:hanging="3686"/>
      </w:pPr>
      <w:r>
        <w:tab/>
      </w:r>
      <w:r>
        <w:tab/>
      </w: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zMiscellaneousBody"/>
        <w:tabs>
          <w:tab w:val="left" w:pos="1701"/>
        </w:tabs>
        <w:ind w:left="2280" w:hanging="1713"/>
      </w:pPr>
      <w:r>
        <w:tab/>
        <w:t>(b)</w:t>
      </w:r>
      <w:r>
        <w:tab/>
        <w:t xml:space="preserve">A boundary barrier satisfies this paragraph if — </w:t>
      </w:r>
    </w:p>
    <w:p>
      <w:pPr>
        <w:pStyle w:val="zMiscellaneousBody"/>
        <w:tabs>
          <w:tab w:val="left" w:pos="2268"/>
          <w:tab w:val="left" w:pos="2410"/>
        </w:tabs>
        <w:ind w:left="2835" w:hanging="2853"/>
      </w:pPr>
      <w:r>
        <w:tab/>
        <w:t>(i)</w:t>
      </w:r>
      <w:r>
        <w:tab/>
        <w:t>it has a height on the outside (the non</w:t>
      </w:r>
      <w:r>
        <w:noBreakHyphen/>
        <w:t>pool side) of not less than 1200 mm; and</w:t>
      </w:r>
    </w:p>
    <w:p>
      <w:pPr>
        <w:pStyle w:val="zMiscellaneousBody"/>
        <w:tabs>
          <w:tab w:val="left" w:pos="2268"/>
          <w:tab w:val="left" w:pos="2410"/>
        </w:tabs>
        <w:ind w:left="2835" w:hanging="2853"/>
      </w:pPr>
      <w:r>
        <w:lastRenderedPageBreak/>
        <w:tab/>
        <w:t>(ii)</w:t>
      </w:r>
      <w:r>
        <w:tab/>
        <w:t>within 500 mm of the outside of the boundary barrier there are no steps, retaining walls, objects or level changes that would reduce the height of the outside of the boundary barrier below 1200 mm; and</w:t>
      </w:r>
    </w:p>
    <w:p>
      <w:pPr>
        <w:pStyle w:val="zMiscellaneousBody"/>
        <w:tabs>
          <w:tab w:val="left" w:pos="2268"/>
          <w:tab w:val="left" w:pos="2410"/>
        </w:tabs>
        <w:ind w:left="2835" w:hanging="2853"/>
      </w:pPr>
      <w:r>
        <w:tab/>
        <w:t>(iii)</w:t>
      </w:r>
      <w:r>
        <w:tab/>
        <w:t>NCZ 1, 2, 3 and, if the boundary barrier has vertical openings of 10</w:t>
      </w:r>
      <w:r>
        <w:noBreakHyphen/>
        <w:t>100 mm in width, NCZ 4 (as described in clause 2.2.2) are present on the boundary barrier.</w:t>
      </w:r>
    </w:p>
    <w:p>
      <w:pPr>
        <w:pStyle w:val="BlankClose"/>
      </w:pPr>
    </w:p>
    <w:p>
      <w:pPr>
        <w:pStyle w:val="zIndenta"/>
      </w:pPr>
      <w:r>
        <w:tab/>
        <w:t>(b)</w:t>
      </w:r>
      <w:r>
        <w:tab/>
        <w:t>is modified in clause 2.3.5(a) to insert after “plane”:</w:t>
      </w:r>
    </w:p>
    <w:p>
      <w:pPr>
        <w:pStyle w:val="BlankOpen"/>
      </w:pPr>
    </w:p>
    <w:p>
      <w:pPr>
        <w:pStyle w:val="zIndenta"/>
      </w:pPr>
      <w:r>
        <w:tab/>
      </w:r>
      <w:r>
        <w:tab/>
        <w:t>and vertical members are spaced to provide a clear opening of not more than 10 mm</w:t>
      </w:r>
    </w:p>
    <w:p>
      <w:pPr>
        <w:pStyle w:val="BlankClose"/>
      </w:pPr>
    </w:p>
    <w:p>
      <w:pPr>
        <w:pStyle w:val="zIndenta"/>
        <w:keepNext/>
      </w:pPr>
      <w:r>
        <w:tab/>
        <w:t>(c)</w:t>
      </w:r>
      <w:r>
        <w:tab/>
        <w:t>is modified in Figure 2.6 to delete “100 mm” and insert:</w:t>
      </w:r>
    </w:p>
    <w:p>
      <w:pPr>
        <w:pStyle w:val="BlankOpen"/>
      </w:pPr>
    </w:p>
    <w:p>
      <w:pPr>
        <w:pStyle w:val="zIndenta"/>
        <w:keepNext/>
      </w:pPr>
      <w:r>
        <w:tab/>
      </w:r>
      <w:r>
        <w:tab/>
        <w:t>10 mm</w:t>
      </w:r>
    </w:p>
    <w:p>
      <w:pPr>
        <w:pStyle w:val="BlankClose"/>
      </w:pPr>
    </w:p>
    <w:p>
      <w:pPr>
        <w:pStyle w:val="Heading5"/>
      </w:pPr>
      <w:bookmarkStart w:id="32" w:name="_Toc153796394"/>
      <w:bookmarkStart w:id="33" w:name="_Toc153879074"/>
      <w:r>
        <w:rPr>
          <w:rStyle w:val="CharSectno"/>
        </w:rPr>
        <w:t>7</w:t>
      </w:r>
      <w:r>
        <w:t>.</w:t>
      </w:r>
      <w:r>
        <w:tab/>
        <w:t>Regulation 54 replaced</w:t>
      </w:r>
      <w:bookmarkEnd w:id="32"/>
      <w:bookmarkEnd w:id="33"/>
    </w:p>
    <w:p>
      <w:pPr>
        <w:pStyle w:val="Subsection"/>
      </w:pPr>
      <w:r>
        <w:tab/>
      </w:r>
      <w:r>
        <w:tab/>
        <w:t>Delete regulation 54 and insert:</w:t>
      </w:r>
    </w:p>
    <w:p>
      <w:pPr>
        <w:pStyle w:val="BlankOpen"/>
      </w:pPr>
    </w:p>
    <w:p>
      <w:pPr>
        <w:pStyle w:val="zHeading5"/>
      </w:pPr>
      <w:bookmarkStart w:id="34" w:name="_Toc153796395"/>
      <w:bookmarkStart w:id="35" w:name="_Toc153879075"/>
      <w:r>
        <w:t>54.</w:t>
      </w:r>
      <w:r>
        <w:tab/>
        <w:t>Transitional provision — persons authorised by regulation 5A</w:t>
      </w:r>
      <w:bookmarkEnd w:id="34"/>
      <w:bookmarkEnd w:id="35"/>
    </w:p>
    <w:p>
      <w:pPr>
        <w:pStyle w:val="zSubsection"/>
      </w:pPr>
      <w:r>
        <w:tab/>
        <w:t>(1)</w:t>
      </w:r>
      <w:r>
        <w:tab/>
        <w:t xml:space="preserve">In this regulation — </w:t>
      </w:r>
    </w:p>
    <w:p>
      <w:pPr>
        <w:pStyle w:val="zDefstart"/>
      </w:pPr>
      <w:r>
        <w:tab/>
      </w:r>
      <w:r>
        <w:rPr>
          <w:rStyle w:val="CharDefText"/>
        </w:rPr>
        <w:t>regulation 5A</w:t>
      </w:r>
      <w:r>
        <w:t xml:space="preserve"> means regulation 5A as in force immediately before repeal day;</w:t>
      </w:r>
    </w:p>
    <w:p>
      <w:pPr>
        <w:pStyle w:val="zDefstart"/>
      </w:pPr>
      <w:r>
        <w:lastRenderedPageBreak/>
        <w:tab/>
      </w:r>
      <w:r>
        <w:rPr>
          <w:rStyle w:val="CharDefText"/>
        </w:rPr>
        <w:t>repeal day</w:t>
      </w:r>
      <w:r>
        <w:t xml:space="preserve"> means the day on which the </w:t>
      </w:r>
      <w:r>
        <w:rPr>
          <w:i/>
        </w:rPr>
        <w:t>Building Amendment Regulations 2023</w:t>
      </w:r>
      <w:r>
        <w:t xml:space="preserve"> regulation 5 comes into operation.</w:t>
      </w:r>
    </w:p>
    <w:p>
      <w:pPr>
        <w:pStyle w:val="z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zIndenta"/>
      </w:pPr>
      <w:r>
        <w:tab/>
        <w:t>(a)</w:t>
      </w:r>
      <w:r>
        <w:tab/>
        <w:t xml:space="preserve">the day that is 6 months after repeal day; and </w:t>
      </w:r>
    </w:p>
    <w:p>
      <w:pPr>
        <w:pStyle w:val="zIndenta"/>
      </w:pPr>
      <w:r>
        <w:tab/>
        <w:t>(b)</w:t>
      </w:r>
      <w:r>
        <w:tab/>
        <w:t>the day on which the person is designated as an authorised person under regulation 4A.</w:t>
      </w:r>
    </w:p>
    <w:p>
      <w:pPr>
        <w:pStyle w:val="BlankClose"/>
      </w:pPr>
    </w:p>
    <w:p>
      <w:pPr>
        <w:pStyle w:val="Heading2"/>
      </w:pPr>
      <w:bookmarkStart w:id="36" w:name="_Toc153796396"/>
      <w:bookmarkStart w:id="37" w:name="_Toc153796467"/>
      <w:bookmarkStart w:id="38" w:name="_Toc153796520"/>
      <w:bookmarkStart w:id="39" w:name="_Toc153796574"/>
      <w:bookmarkStart w:id="40" w:name="_Toc153879076"/>
      <w:r>
        <w:rPr>
          <w:rStyle w:val="CharPartNo"/>
        </w:rPr>
        <w:lastRenderedPageBreak/>
        <w:t>Part 3</w:t>
      </w:r>
      <w:r>
        <w:rPr>
          <w:rStyle w:val="CharDivNo"/>
        </w:rPr>
        <w:t> </w:t>
      </w:r>
      <w:r>
        <w:t>—</w:t>
      </w:r>
      <w:r>
        <w:rPr>
          <w:rStyle w:val="CharDivText"/>
        </w:rPr>
        <w:t> </w:t>
      </w:r>
      <w:r>
        <w:rPr>
          <w:rStyle w:val="CharPartText"/>
        </w:rPr>
        <w:t>Amendments commencing 6 months after publication</w:t>
      </w:r>
      <w:bookmarkEnd w:id="36"/>
      <w:bookmarkEnd w:id="37"/>
      <w:bookmarkEnd w:id="38"/>
      <w:bookmarkEnd w:id="39"/>
      <w:bookmarkEnd w:id="40"/>
    </w:p>
    <w:p>
      <w:pPr>
        <w:pStyle w:val="Heading5"/>
      </w:pPr>
      <w:bookmarkStart w:id="41" w:name="_Toc153796397"/>
      <w:bookmarkStart w:id="42" w:name="_Toc153879077"/>
      <w:r>
        <w:rPr>
          <w:rStyle w:val="CharSectno"/>
        </w:rPr>
        <w:t>8</w:t>
      </w:r>
      <w:r>
        <w:t>.</w:t>
      </w:r>
      <w:r>
        <w:tab/>
        <w:t>Regulation 3 amended</w:t>
      </w:r>
      <w:bookmarkEnd w:id="41"/>
      <w:bookmarkEnd w:id="42"/>
    </w:p>
    <w:p>
      <w:pPr>
        <w:pStyle w:val="Subsection"/>
      </w:pPr>
      <w:r>
        <w:tab/>
        <w:t>(1)</w:t>
      </w:r>
      <w:r>
        <w:tab/>
        <w:t>In section 3 delete the definitions of:</w:t>
      </w:r>
    </w:p>
    <w:p>
      <w:pPr>
        <w:pStyle w:val="DeleteListSub"/>
        <w:rPr>
          <w:b/>
          <w:bCs/>
          <w:i/>
          <w:iCs/>
        </w:rPr>
      </w:pPr>
      <w:r>
        <w:rPr>
          <w:b/>
          <w:bCs/>
          <w:i/>
          <w:iCs/>
        </w:rPr>
        <w:t>Building Code pool barrier requirements</w:t>
      </w:r>
    </w:p>
    <w:p>
      <w:pPr>
        <w:pStyle w:val="DeleteListSub"/>
        <w:rPr>
          <w:b/>
          <w:bCs/>
          <w:i/>
          <w:iCs/>
        </w:rPr>
      </w:pPr>
      <w:r>
        <w:rPr>
          <w:b/>
          <w:bCs/>
          <w:i/>
          <w:iCs/>
        </w:rPr>
        <w:t>private swimming pool</w:t>
      </w:r>
    </w:p>
    <w:p>
      <w:pPr>
        <w:pStyle w:val="Subsection"/>
      </w:pPr>
      <w:r>
        <w:tab/>
        <w:t>(2)</w:t>
      </w:r>
      <w:r>
        <w:tab/>
        <w:t>In regulation 3 insert in alphabetical order:</w:t>
      </w:r>
    </w:p>
    <w:p>
      <w:pPr>
        <w:pStyle w:val="BlankOpen"/>
      </w:pPr>
    </w:p>
    <w:p>
      <w:pPr>
        <w:pStyle w:val="z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pPr>
        <w:pStyle w:val="z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pPr>
        <w:pStyle w:val="z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pPr>
        <w:pStyle w:val="zDefstart"/>
      </w:pPr>
      <w:r>
        <w:tab/>
      </w:r>
      <w:r>
        <w:rPr>
          <w:rStyle w:val="CharDefText"/>
        </w:rPr>
        <w:t>private swimming pool</w:t>
      </w:r>
      <w:r>
        <w:t xml:space="preserve"> — </w:t>
      </w:r>
    </w:p>
    <w:p>
      <w:pPr>
        <w:pStyle w:val="zDefpara"/>
      </w:pPr>
      <w:r>
        <w:tab/>
        <w:t>(a)</w:t>
      </w:r>
      <w:r>
        <w:tab/>
        <w:t>means a swimming pool that —</w:t>
      </w:r>
    </w:p>
    <w:p>
      <w:pPr>
        <w:pStyle w:val="zDefsubpara"/>
      </w:pPr>
      <w:r>
        <w:tab/>
        <w:t>(i)</w:t>
      </w:r>
      <w:r>
        <w:tab/>
        <w:t>is associated with a Class 1a building, or less than 30 sole</w:t>
      </w:r>
      <w:r>
        <w:noBreakHyphen/>
        <w:t>occupancy units in a Class 2 building, or a Class 4 part of a building; and</w:t>
      </w:r>
    </w:p>
    <w:p>
      <w:pPr>
        <w:pStyle w:val="zDefsubpara"/>
      </w:pPr>
      <w:r>
        <w:tab/>
        <w:t>(ii)</w:t>
      </w:r>
      <w:r>
        <w:tab/>
        <w:t>has the capacity to contain water that is more than 300 mm deep;</w:t>
      </w:r>
    </w:p>
    <w:p>
      <w:pPr>
        <w:pStyle w:val="zDefpara"/>
      </w:pPr>
      <w:r>
        <w:tab/>
      </w:r>
      <w:r>
        <w:tab/>
        <w:t>and</w:t>
      </w:r>
    </w:p>
    <w:p>
      <w:pPr>
        <w:pStyle w:val="zDefpara"/>
      </w:pPr>
      <w:r>
        <w:tab/>
        <w:t>(b)</w:t>
      </w:r>
      <w:r>
        <w:tab/>
        <w:t>includes a spa</w:t>
      </w:r>
      <w:r>
        <w:noBreakHyphen/>
        <w:t>pool; but</w:t>
      </w:r>
    </w:p>
    <w:p>
      <w:pPr>
        <w:pStyle w:val="zDefpara"/>
      </w:pPr>
      <w:r>
        <w:tab/>
        <w:t>(c)</w:t>
      </w:r>
      <w:r>
        <w:tab/>
        <w:t>does not include a spa</w:t>
      </w:r>
      <w:r>
        <w:noBreakHyphen/>
        <w:t>bath;</w:t>
      </w:r>
    </w:p>
    <w:p>
      <w:pPr>
        <w:pStyle w:val="BlankClose"/>
      </w:pPr>
    </w:p>
    <w:p>
      <w:pPr>
        <w:pStyle w:val="Heading5"/>
      </w:pPr>
      <w:bookmarkStart w:id="43" w:name="_Toc153796398"/>
      <w:bookmarkStart w:id="44" w:name="_Toc153879078"/>
      <w:r>
        <w:rPr>
          <w:rStyle w:val="CharSectno"/>
        </w:rPr>
        <w:lastRenderedPageBreak/>
        <w:t>9</w:t>
      </w:r>
      <w:r>
        <w:t>.</w:t>
      </w:r>
      <w:r>
        <w:tab/>
        <w:t>Regulation 28 deleted</w:t>
      </w:r>
      <w:bookmarkEnd w:id="43"/>
      <w:bookmarkEnd w:id="44"/>
    </w:p>
    <w:p>
      <w:pPr>
        <w:pStyle w:val="Subsection"/>
      </w:pPr>
      <w:r>
        <w:tab/>
      </w:r>
      <w:r>
        <w:tab/>
        <w:t>Delete regulation 28.</w:t>
      </w:r>
    </w:p>
    <w:p>
      <w:pPr>
        <w:pStyle w:val="Heading5"/>
      </w:pPr>
      <w:bookmarkStart w:id="45" w:name="_Toc153796399"/>
      <w:bookmarkStart w:id="46" w:name="_Toc153879079"/>
      <w:r>
        <w:rPr>
          <w:rStyle w:val="CharSectno"/>
        </w:rPr>
        <w:t>10</w:t>
      </w:r>
      <w:r>
        <w:t>.</w:t>
      </w:r>
      <w:r>
        <w:tab/>
        <w:t>Regulation 29 amended</w:t>
      </w:r>
      <w:bookmarkEnd w:id="45"/>
      <w:bookmarkEnd w:id="46"/>
    </w:p>
    <w:p>
      <w:pPr>
        <w:pStyle w:val="Subsection"/>
      </w:pPr>
      <w:r>
        <w:tab/>
      </w:r>
      <w:r>
        <w:tab/>
        <w:t>In regulation 29(1) delete “or 28”.</w:t>
      </w:r>
    </w:p>
    <w:p>
      <w:pPr>
        <w:pStyle w:val="Heading5"/>
      </w:pPr>
      <w:bookmarkStart w:id="47" w:name="_Toc153796400"/>
      <w:bookmarkStart w:id="48" w:name="_Toc153879080"/>
      <w:r>
        <w:rPr>
          <w:rStyle w:val="CharSectno"/>
        </w:rPr>
        <w:t>11</w:t>
      </w:r>
      <w:r>
        <w:t>.</w:t>
      </w:r>
      <w:r>
        <w:tab/>
        <w:t>Regulation 31C replaced</w:t>
      </w:r>
      <w:bookmarkEnd w:id="47"/>
      <w:bookmarkEnd w:id="48"/>
    </w:p>
    <w:p>
      <w:pPr>
        <w:pStyle w:val="Subsection"/>
      </w:pPr>
      <w:r>
        <w:tab/>
      </w:r>
      <w:r>
        <w:tab/>
        <w:t>Delete regulation 31C and insert:</w:t>
      </w:r>
    </w:p>
    <w:p>
      <w:pPr>
        <w:pStyle w:val="BlankOpen"/>
      </w:pPr>
    </w:p>
    <w:p>
      <w:pPr>
        <w:pStyle w:val="zHeading5"/>
      </w:pPr>
      <w:bookmarkStart w:id="49" w:name="_Toc153796401"/>
      <w:bookmarkStart w:id="50" w:name="_Toc153879081"/>
      <w:r>
        <w:t>31C.</w:t>
      </w:r>
      <w:r>
        <w:tab/>
        <w:t>Applicable building standards for swimming pools and barriers to swimming pools (s. 3, 19(3), 37(1) and (2), 51(3) and 57(3))</w:t>
      </w:r>
      <w:bookmarkEnd w:id="49"/>
      <w:bookmarkEnd w:id="50"/>
    </w:p>
    <w:p>
      <w:pPr>
        <w:pStyle w:val="zSubsection"/>
        <w:keepNext/>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pPr>
        <w:pStyle w:val="zIndenta"/>
      </w:pPr>
      <w:r>
        <w:tab/>
        <w:t>(a)</w:t>
      </w:r>
      <w:r>
        <w:tab/>
        <w:t>a type of swimming pool referred to in the Table; and</w:t>
      </w:r>
    </w:p>
    <w:p>
      <w:pPr>
        <w:pStyle w:val="zIndenta"/>
      </w:pPr>
      <w:r>
        <w:tab/>
        <w:t>(b)</w:t>
      </w:r>
      <w:r>
        <w:tab/>
        <w:t>a barrier to a type of swimming pool referred to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rPr>
                <w:b/>
                <w:bCs/>
              </w:rPr>
            </w:pPr>
            <w:r>
              <w:rPr>
                <w:b/>
                <w:bCs/>
              </w:rPr>
              <w:t>Type of swimming pool</w:t>
            </w:r>
          </w:p>
        </w:tc>
        <w:tc>
          <w:tcPr>
            <w:tcW w:w="3034" w:type="dxa"/>
            <w:noWrap/>
          </w:tcPr>
          <w:p>
            <w:pPr>
              <w:pStyle w:val="zTableNAm"/>
              <w:rPr>
                <w:b/>
                <w:bCs/>
              </w:rPr>
            </w:pPr>
            <w:r>
              <w:rPr>
                <w:b/>
                <w:bCs/>
              </w:rPr>
              <w:t>Building standard</w:t>
            </w:r>
          </w:p>
        </w:tc>
      </w:tr>
      <w:tr>
        <w:tc>
          <w:tcPr>
            <w:tcW w:w="3033" w:type="dxa"/>
            <w:noWrap/>
          </w:tcPr>
          <w:p>
            <w:pPr>
              <w:pStyle w:val="zTableNAm"/>
            </w:pPr>
            <w:r>
              <w:t>All swimming pools other than private swimming pools</w:t>
            </w:r>
          </w:p>
        </w:tc>
        <w:tc>
          <w:tcPr>
            <w:tcW w:w="3034" w:type="dxa"/>
            <w:noWrap/>
          </w:tcPr>
          <w:p>
            <w:pPr>
              <w:pStyle w:val="zTableNAm"/>
              <w:rPr>
                <w:rStyle w:val="DraftersNotes"/>
              </w:rPr>
            </w:pPr>
            <w:r>
              <w:t>The requirements mentioned in regulation 31A(2) other than the Building Code pool barrier requirements.</w:t>
            </w:r>
          </w:p>
        </w:tc>
      </w:tr>
      <w:tr>
        <w:tc>
          <w:tcPr>
            <w:tcW w:w="3033" w:type="dxa"/>
            <w:tcBorders>
              <w:bottom w:val="single" w:sz="4" w:space="0" w:color="auto"/>
            </w:tcBorders>
            <w:noWrap/>
          </w:tcPr>
          <w:p>
            <w:pPr>
              <w:pStyle w:val="zTableNAm"/>
              <w:keepNext/>
            </w:pPr>
            <w:r>
              <w:lastRenderedPageBreak/>
              <w:t>Private swimming pools other than pre</w:t>
            </w:r>
            <w:r>
              <w:noBreakHyphen/>
              <w:t>May 2016 private swimming pools</w:t>
            </w:r>
          </w:p>
        </w:tc>
        <w:tc>
          <w:tcPr>
            <w:tcW w:w="3034" w:type="dxa"/>
            <w:noWrap/>
          </w:tcPr>
          <w:p>
            <w:pPr>
              <w:pStyle w:val="zTableNAm"/>
              <w:keepNext/>
            </w:pPr>
            <w:r>
              <w:t>The requirements mentioned in regulation 31A(2)(a) and 50A(1) except that —</w:t>
            </w:r>
          </w:p>
          <w:p>
            <w:pPr>
              <w:pStyle w:val="z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pPr>
              <w:pStyle w:val="z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zTableNAm"/>
            </w:pPr>
            <w:r>
              <w:t>Pre</w:t>
            </w:r>
            <w:r>
              <w:noBreakHyphen/>
              <w:t>May 2016 private swimming pools</w:t>
            </w:r>
          </w:p>
        </w:tc>
        <w:tc>
          <w:tcPr>
            <w:tcW w:w="3034" w:type="dxa"/>
            <w:noWrap/>
          </w:tcPr>
          <w:p>
            <w:pPr>
              <w:pStyle w:val="zTableNAm"/>
            </w:pPr>
            <w:r>
              <w:t xml:space="preserve">The requirements mentioned in regulation 31A(2)(a) and 50A(1) except that — </w:t>
            </w:r>
          </w:p>
          <w:p>
            <w:pPr>
              <w:pStyle w:val="zTableNAm"/>
              <w:ind w:left="567" w:hanging="567"/>
            </w:pPr>
            <w:r>
              <w:t>(a)</w:t>
            </w:r>
            <w:r>
              <w:tab/>
              <w:t xml:space="preserve">a Building Code pool barrier requirement </w:t>
            </w:r>
            <w:r>
              <w:lastRenderedPageBreak/>
              <w:t>(and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pPr>
              <w:pStyle w:val="zTableNAm"/>
              <w:ind w:left="567" w:hanging="567"/>
            </w:pPr>
            <w:r>
              <w:t>(b)</w:t>
            </w:r>
            <w:r>
              <w:tab/>
              <w:t>the requirements for a barrier to a private swimming pool set out in regulation 50A(4) and (5) may be substituted for a Building Code pool barrier requirement; and</w:t>
            </w:r>
          </w:p>
          <w:p>
            <w:pPr>
              <w:pStyle w:val="zTableNAm"/>
              <w:ind w:left="567" w:hanging="567"/>
            </w:pPr>
            <w:r>
              <w:t>(c)</w:t>
            </w:r>
            <w:r>
              <w:tab/>
              <w:t>a performance solution cannot be used to comply with a Building Code pool barrier requirement unless the performance solution is an approved barrier solution.</w:t>
            </w:r>
          </w:p>
        </w:tc>
      </w:tr>
    </w:tbl>
    <w:p>
      <w:pPr>
        <w:pStyle w:val="zSubsection"/>
        <w:keepLines/>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pPr>
        <w:pStyle w:val="zIndenta"/>
      </w:pPr>
      <w:r>
        <w:tab/>
        <w:t>(a)</w:t>
      </w:r>
      <w:r>
        <w:tab/>
        <w:t>a type of swimming pool referred to in the Table; and</w:t>
      </w:r>
    </w:p>
    <w:p>
      <w:pPr>
        <w:pStyle w:val="zIndenta"/>
      </w:pPr>
      <w:r>
        <w:tab/>
        <w:t>(b)</w:t>
      </w:r>
      <w:r>
        <w:tab/>
        <w:t>a barrier to a type of swimming pool referred to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zTableNAm"/>
              <w:rPr>
                <w:b/>
                <w:bCs/>
              </w:rPr>
            </w:pPr>
            <w:r>
              <w:rPr>
                <w:b/>
                <w:bCs/>
              </w:rPr>
              <w:t>Type of swimming pool</w:t>
            </w:r>
          </w:p>
        </w:tc>
        <w:tc>
          <w:tcPr>
            <w:tcW w:w="3034" w:type="dxa"/>
            <w:noWrap/>
          </w:tcPr>
          <w:p>
            <w:pPr>
              <w:pStyle w:val="zTableNAm"/>
              <w:rPr>
                <w:b/>
                <w:bCs/>
              </w:rPr>
            </w:pPr>
            <w:r>
              <w:rPr>
                <w:b/>
                <w:bCs/>
              </w:rPr>
              <w:t>Building standard</w:t>
            </w:r>
          </w:p>
        </w:tc>
      </w:tr>
      <w:tr>
        <w:tc>
          <w:tcPr>
            <w:tcW w:w="3033" w:type="dxa"/>
            <w:noWrap/>
          </w:tcPr>
          <w:p>
            <w:pPr>
              <w:pStyle w:val="zTableNAm"/>
            </w:pPr>
            <w:r>
              <w:t>All swimming pools other than private swimming pools</w:t>
            </w:r>
          </w:p>
        </w:tc>
        <w:tc>
          <w:tcPr>
            <w:tcW w:w="3034" w:type="dxa"/>
            <w:noWrap/>
          </w:tcPr>
          <w:p>
            <w:pPr>
              <w:pStyle w:val="zTableNAm"/>
              <w:rPr>
                <w:rStyle w:val="DraftersNotes"/>
                <w:b w:val="0"/>
                <w:i w:val="0"/>
                <w:sz w:val="24"/>
              </w:rPr>
            </w:pPr>
            <w:r>
              <w:t>The requirements mentioned in regulation 31E(2) other than the Building Code pool barrier requirements.</w:t>
            </w:r>
          </w:p>
        </w:tc>
      </w:tr>
      <w:tr>
        <w:tc>
          <w:tcPr>
            <w:tcW w:w="3033" w:type="dxa"/>
            <w:noWrap/>
          </w:tcPr>
          <w:p>
            <w:pPr>
              <w:pStyle w:val="zTableNAm"/>
            </w:pPr>
            <w:r>
              <w:t>Private swimming pools other than pre</w:t>
            </w:r>
            <w:r>
              <w:noBreakHyphen/>
              <w:t>May 2016 private swimming pools</w:t>
            </w:r>
          </w:p>
        </w:tc>
        <w:tc>
          <w:tcPr>
            <w:tcW w:w="3034" w:type="dxa"/>
            <w:noWrap/>
          </w:tcPr>
          <w:p>
            <w:pPr>
              <w:pStyle w:val="zTableNAm"/>
            </w:pPr>
            <w:r>
              <w:t>The requirements mentioned in regulation 31E(2) and 50A(1) except that —</w:t>
            </w:r>
          </w:p>
          <w:p>
            <w:pPr>
              <w:pStyle w:val="z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zTableNAm"/>
              <w:ind w:left="567" w:hanging="567"/>
              <w:rPr>
                <w:rStyle w:val="DraftersNotes"/>
                <w:b w:val="0"/>
                <w:i w:val="0"/>
                <w:sz w:val="24"/>
              </w:rPr>
            </w:pPr>
            <w:r>
              <w:lastRenderedPageBreak/>
              <w:t>(b)</w:t>
            </w:r>
            <w:r>
              <w:tab/>
              <w:t>a performance solution cannot be used to comply with a Building Code pool barrier requirement unless the performance solution is an approved barrier solution.</w:t>
            </w:r>
          </w:p>
        </w:tc>
      </w:tr>
      <w:tr>
        <w:tc>
          <w:tcPr>
            <w:tcW w:w="3033" w:type="dxa"/>
            <w:noWrap/>
          </w:tcPr>
          <w:p>
            <w:pPr>
              <w:pStyle w:val="zTableNAm"/>
            </w:pPr>
            <w:r>
              <w:lastRenderedPageBreak/>
              <w:t>Pre</w:t>
            </w:r>
            <w:r>
              <w:noBreakHyphen/>
              <w:t>May 2016 private swimming pools</w:t>
            </w:r>
          </w:p>
        </w:tc>
        <w:tc>
          <w:tcPr>
            <w:tcW w:w="3034" w:type="dxa"/>
            <w:noWrap/>
          </w:tcPr>
          <w:p>
            <w:pPr>
              <w:pStyle w:val="zTableNAm"/>
            </w:pPr>
            <w:r>
              <w:t>The requirements mentioned in regulation 31E(2) and 50A(1) except that —</w:t>
            </w:r>
          </w:p>
          <w:p>
            <w:pPr>
              <w:pStyle w:val="z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zTableNAm"/>
              <w:ind w:left="567" w:hanging="567"/>
            </w:pPr>
            <w:r>
              <w:t>(b)</w:t>
            </w:r>
            <w:r>
              <w:tab/>
              <w:t xml:space="preserve">the requirements for a barrier to a private swimming pool set out in regulation 50A(4) and (5) may be substituted for a Building Code pool </w:t>
            </w:r>
            <w:r>
              <w:lastRenderedPageBreak/>
              <w:t>barrier requirement; and</w:t>
            </w:r>
          </w:p>
          <w:p>
            <w:pPr>
              <w:pStyle w:val="zTableNAm"/>
              <w:ind w:left="567" w:hanging="567"/>
            </w:pPr>
            <w:r>
              <w:t>(c)</w:t>
            </w:r>
            <w:r>
              <w:tab/>
              <w:t>a performance solution cannot be used to comply with a Building Code pool barrier requirement unless the performance solution is an approved barrier solution.</w:t>
            </w:r>
          </w:p>
        </w:tc>
      </w:tr>
    </w:tbl>
    <w:p>
      <w:pPr>
        <w:pStyle w:val="z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pPr>
        <w:pStyle w:val="zIndenta"/>
      </w:pPr>
      <w:r>
        <w:tab/>
        <w:t>(a)</w:t>
      </w:r>
      <w:r>
        <w:tab/>
        <w:t>a type of swimming pool referred to in the Table; and</w:t>
      </w:r>
    </w:p>
    <w:p>
      <w:pPr>
        <w:pStyle w:val="zIndenta"/>
      </w:pPr>
      <w:r>
        <w:tab/>
        <w:t>(b)</w:t>
      </w:r>
      <w:r>
        <w:tab/>
        <w:t>a barrier to a type of swimming pool referred to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rPr>
                <w:b/>
                <w:bCs/>
              </w:rPr>
            </w:pPr>
            <w:r>
              <w:rPr>
                <w:b/>
                <w:bCs/>
              </w:rPr>
              <w:t>Type of swimming pool</w:t>
            </w:r>
          </w:p>
        </w:tc>
        <w:tc>
          <w:tcPr>
            <w:tcW w:w="3034" w:type="dxa"/>
            <w:noWrap/>
          </w:tcPr>
          <w:p>
            <w:pPr>
              <w:pStyle w:val="zTableNAm"/>
              <w:rPr>
                <w:b/>
                <w:bCs/>
              </w:rPr>
            </w:pPr>
            <w:r>
              <w:rPr>
                <w:b/>
                <w:bCs/>
              </w:rPr>
              <w:t>Building standard</w:t>
            </w:r>
          </w:p>
        </w:tc>
      </w:tr>
      <w:tr>
        <w:tc>
          <w:tcPr>
            <w:tcW w:w="3033" w:type="dxa"/>
            <w:noWrap/>
          </w:tcPr>
          <w:p>
            <w:pPr>
              <w:pStyle w:val="zTableNAm"/>
            </w:pPr>
            <w:r>
              <w:t>All swimming pools other than private swimming pools</w:t>
            </w:r>
          </w:p>
        </w:tc>
        <w:tc>
          <w:tcPr>
            <w:tcW w:w="3034" w:type="dxa"/>
            <w:noWrap/>
          </w:tcPr>
          <w:p>
            <w:pPr>
              <w:pStyle w:val="zTableNAm"/>
            </w:pPr>
            <w:r>
              <w:t>The requirements mentioned in regulation 31G(2) other than the Building Code pool barrier requirements.</w:t>
            </w:r>
          </w:p>
        </w:tc>
      </w:tr>
      <w:tr>
        <w:tc>
          <w:tcPr>
            <w:tcW w:w="3033" w:type="dxa"/>
            <w:noWrap/>
          </w:tcPr>
          <w:p>
            <w:pPr>
              <w:pStyle w:val="zTableNAm"/>
              <w:keepNext/>
            </w:pPr>
            <w:r>
              <w:lastRenderedPageBreak/>
              <w:t>Private swimming pools other than pre</w:t>
            </w:r>
            <w:r>
              <w:noBreakHyphen/>
              <w:t>May 2016 private swimming pools</w:t>
            </w:r>
          </w:p>
        </w:tc>
        <w:tc>
          <w:tcPr>
            <w:tcW w:w="3034" w:type="dxa"/>
            <w:noWrap/>
          </w:tcPr>
          <w:p>
            <w:pPr>
              <w:pStyle w:val="zTableNAm"/>
              <w:keepNext/>
            </w:pPr>
            <w:r>
              <w:t>The requirements mentioned in regulation 31G(2) and 50A(1) except that —</w:t>
            </w:r>
          </w:p>
          <w:p>
            <w:pPr>
              <w:pStyle w:val="z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pPr>
              <w:pStyle w:val="z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noWrap/>
          </w:tcPr>
          <w:p>
            <w:pPr>
              <w:pStyle w:val="zTableNAm"/>
            </w:pPr>
            <w:r>
              <w:t>Pre</w:t>
            </w:r>
            <w:r>
              <w:noBreakHyphen/>
              <w:t>May 2016 private swimming pools</w:t>
            </w:r>
          </w:p>
        </w:tc>
        <w:tc>
          <w:tcPr>
            <w:tcW w:w="3034" w:type="dxa"/>
            <w:noWrap/>
          </w:tcPr>
          <w:p>
            <w:pPr>
              <w:pStyle w:val="zTableNAm"/>
            </w:pPr>
            <w:r>
              <w:t>The requirements mentioned in regulation 31G(2) and 50A(1) except that —</w:t>
            </w:r>
          </w:p>
          <w:p>
            <w:pPr>
              <w:pStyle w:val="z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pPr>
              <w:pStyle w:val="zTableNAm"/>
              <w:ind w:left="567" w:hanging="567"/>
            </w:pPr>
            <w:r>
              <w:t>(b)</w:t>
            </w:r>
            <w:r>
              <w:tab/>
              <w:t>the requirements for a barrier to a private swimming pool set out in regulation 50A(4) and (5) may be substituted for a Building Code pool barrier requirement; and</w:t>
            </w:r>
          </w:p>
          <w:p>
            <w:pPr>
              <w:pStyle w:val="zTableNAm"/>
              <w:ind w:left="567" w:hanging="567"/>
            </w:pPr>
            <w:r>
              <w:t>(c)</w:t>
            </w:r>
            <w:r>
              <w:tab/>
              <w:t>a performance solution cannot be used to comply with a Building Code pool barrier requirement unless the performance solution is an approved barrier solution.</w:t>
            </w:r>
          </w:p>
        </w:tc>
      </w:tr>
    </w:tbl>
    <w:p>
      <w:pPr>
        <w:pStyle w:val="zPermNoteHeading"/>
      </w:pPr>
      <w:r>
        <w:lastRenderedPageBreak/>
        <w:tab/>
        <w:t>Note for this regulation:</w:t>
      </w:r>
    </w:p>
    <w:p>
      <w:pPr>
        <w:pStyle w:val="zPermNoteText"/>
      </w:pPr>
      <w:r>
        <w:tab/>
      </w:r>
      <w:r>
        <w:tab/>
        <w:t>See also regulation 15B which, for the purposes of these regulations, modifies AS 1926.1</w:t>
      </w:r>
      <w:r>
        <w:noBreakHyphen/>
        <w:t>2012 as referenced in the Building Code.</w:t>
      </w:r>
    </w:p>
    <w:p>
      <w:pPr>
        <w:pStyle w:val="BlankClose"/>
      </w:pPr>
    </w:p>
    <w:p>
      <w:pPr>
        <w:pStyle w:val="Heading5"/>
      </w:pPr>
      <w:bookmarkStart w:id="51" w:name="_Toc153796402"/>
      <w:bookmarkStart w:id="52" w:name="_Toc153879082"/>
      <w:r>
        <w:rPr>
          <w:rStyle w:val="CharSectno"/>
        </w:rPr>
        <w:lastRenderedPageBreak/>
        <w:t>12</w:t>
      </w:r>
      <w:r>
        <w:t>.</w:t>
      </w:r>
      <w:r>
        <w:tab/>
        <w:t>Regulation 31G amended</w:t>
      </w:r>
      <w:bookmarkEnd w:id="51"/>
      <w:bookmarkEnd w:id="52"/>
    </w:p>
    <w:p>
      <w:pPr>
        <w:pStyle w:val="Subsection"/>
      </w:pPr>
      <w:r>
        <w:tab/>
        <w:t>(1)</w:t>
      </w:r>
      <w:r>
        <w:tab/>
        <w:t>In regulation 31G(1) delete “31BA” and insert:</w:t>
      </w:r>
    </w:p>
    <w:p>
      <w:pPr>
        <w:pStyle w:val="BlankOpen"/>
      </w:pPr>
    </w:p>
    <w:p>
      <w:pPr>
        <w:pStyle w:val="Subsection"/>
      </w:pPr>
      <w:r>
        <w:tab/>
      </w:r>
      <w:r>
        <w:tab/>
        <w:t>31BA, 31C</w:t>
      </w:r>
    </w:p>
    <w:p>
      <w:pPr>
        <w:pStyle w:val="BlankClose"/>
      </w:pPr>
    </w:p>
    <w:p>
      <w:pPr>
        <w:pStyle w:val="Subsection"/>
      </w:pPr>
      <w:r>
        <w:tab/>
        <w:t>(2)</w:t>
      </w:r>
      <w:r>
        <w:tab/>
        <w:t>In regulation 31G(2) delete “made, except that a performance solution cannot be used to comply with a Building Code pool barrier requirement unless the performance solution is an approved barrier solution.” and insert:</w:t>
      </w:r>
    </w:p>
    <w:p>
      <w:pPr>
        <w:pStyle w:val="BlankOpen"/>
      </w:pPr>
    </w:p>
    <w:p>
      <w:pPr>
        <w:pStyle w:val="Subsection"/>
      </w:pPr>
      <w:r>
        <w:tab/>
      </w:r>
      <w:r>
        <w:tab/>
        <w:t>made.</w:t>
      </w:r>
    </w:p>
    <w:p>
      <w:pPr>
        <w:pStyle w:val="BlankClose"/>
      </w:pPr>
    </w:p>
    <w:p>
      <w:pPr>
        <w:pStyle w:val="Heading5"/>
      </w:pPr>
      <w:bookmarkStart w:id="53" w:name="_Toc153796403"/>
      <w:bookmarkStart w:id="54" w:name="_Toc153879083"/>
      <w:r>
        <w:rPr>
          <w:rStyle w:val="CharSectno"/>
        </w:rPr>
        <w:t>13</w:t>
      </w:r>
      <w:r>
        <w:t>.</w:t>
      </w:r>
      <w:r>
        <w:tab/>
        <w:t>Regulation 31H amended</w:t>
      </w:r>
      <w:bookmarkEnd w:id="53"/>
      <w:bookmarkEnd w:id="54"/>
    </w:p>
    <w:p>
      <w:pPr>
        <w:pStyle w:val="Subsection"/>
      </w:pPr>
      <w:r>
        <w:tab/>
      </w:r>
      <w:r>
        <w:tab/>
        <w:t>In regulation 31H(1) delete “are prescribed” and insert:</w:t>
      </w:r>
    </w:p>
    <w:p>
      <w:pPr>
        <w:pStyle w:val="BlankOpen"/>
      </w:pPr>
    </w:p>
    <w:p>
      <w:pPr>
        <w:pStyle w:val="Subsection"/>
      </w:pPr>
      <w:r>
        <w:tab/>
      </w:r>
      <w:r>
        <w:tab/>
        <w:t>are, except to the extent that regulation 31C otherwise provides, prescribed</w:t>
      </w:r>
    </w:p>
    <w:p>
      <w:pPr>
        <w:pStyle w:val="BlankClose"/>
      </w:pPr>
    </w:p>
    <w:p>
      <w:pPr>
        <w:pStyle w:val="Heading5"/>
      </w:pPr>
      <w:bookmarkStart w:id="55" w:name="_Toc153796404"/>
      <w:bookmarkStart w:id="56" w:name="_Toc153879084"/>
      <w:r>
        <w:rPr>
          <w:rStyle w:val="CharSectno"/>
        </w:rPr>
        <w:t>14</w:t>
      </w:r>
      <w:r>
        <w:t>.</w:t>
      </w:r>
      <w:r>
        <w:tab/>
        <w:t>Regulation 48 amended</w:t>
      </w:r>
      <w:bookmarkEnd w:id="55"/>
      <w:bookmarkEnd w:id="56"/>
    </w:p>
    <w:p>
      <w:pPr>
        <w:pStyle w:val="Subsection"/>
      </w:pPr>
      <w:r>
        <w:tab/>
        <w:t>(1)</w:t>
      </w:r>
      <w:r>
        <w:tab/>
        <w:t>In regulation 48 delete the definitions of</w:t>
      </w:r>
    </w:p>
    <w:p>
      <w:pPr>
        <w:pStyle w:val="DeleteListSub"/>
        <w:rPr>
          <w:b/>
          <w:bCs/>
          <w:i/>
          <w:iCs/>
        </w:rPr>
      </w:pPr>
      <w:r>
        <w:rPr>
          <w:b/>
          <w:bCs/>
          <w:i/>
          <w:iCs/>
        </w:rPr>
        <w:t>access through a building</w:t>
      </w:r>
    </w:p>
    <w:p>
      <w:pPr>
        <w:pStyle w:val="DeleteListSub"/>
        <w:rPr>
          <w:b/>
          <w:bCs/>
          <w:i/>
          <w:iCs/>
        </w:rPr>
      </w:pPr>
      <w:r>
        <w:rPr>
          <w:b/>
          <w:bCs/>
          <w:i/>
          <w:iCs/>
        </w:rPr>
        <w:t>AS 1926.1</w:t>
      </w:r>
    </w:p>
    <w:p>
      <w:pPr>
        <w:pStyle w:val="Subsection"/>
      </w:pPr>
      <w:r>
        <w:tab/>
        <w:t>(2)</w:t>
      </w:r>
      <w:r>
        <w:tab/>
        <w:t>In regulation 48 insert in alphabetical order:</w:t>
      </w:r>
    </w:p>
    <w:p>
      <w:pPr>
        <w:pStyle w:val="BlankOpen"/>
      </w:pPr>
    </w:p>
    <w:p>
      <w:pPr>
        <w:pStyle w:val="zDefstart"/>
      </w:pPr>
      <w:r>
        <w:tab/>
      </w:r>
      <w:r>
        <w:rPr>
          <w:rStyle w:val="CharDefText"/>
        </w:rPr>
        <w:t>access</w:t>
      </w:r>
      <w:r>
        <w:t>, in relation to a pool, means direct or indirect access by young children to the pool and its immediate surrounds;</w:t>
      </w:r>
    </w:p>
    <w:p>
      <w:pPr>
        <w:pStyle w:val="zDefstart"/>
        <w:keepNext/>
      </w:pPr>
      <w:r>
        <w:lastRenderedPageBreak/>
        <w:tab/>
      </w:r>
      <w:r>
        <w:rPr>
          <w:rStyle w:val="CharDefText"/>
        </w:rPr>
        <w:t>pool barrier</w:t>
      </w:r>
      <w:r>
        <w:t>, in relation to a pool, means a barrier that complies with the requirements of regulation 50A;</w:t>
      </w:r>
    </w:p>
    <w:p>
      <w:pPr>
        <w:pStyle w:val="BlankClose"/>
      </w:pPr>
    </w:p>
    <w:p>
      <w:pPr>
        <w:pStyle w:val="Heading5"/>
      </w:pPr>
      <w:bookmarkStart w:id="57" w:name="_Toc153796405"/>
      <w:bookmarkStart w:id="58" w:name="_Toc153879085"/>
      <w:r>
        <w:rPr>
          <w:rStyle w:val="CharSectno"/>
        </w:rPr>
        <w:t>15</w:t>
      </w:r>
      <w:r>
        <w:t>.</w:t>
      </w:r>
      <w:r>
        <w:tab/>
        <w:t>Regulation 50 replaced</w:t>
      </w:r>
      <w:bookmarkEnd w:id="57"/>
      <w:bookmarkEnd w:id="58"/>
    </w:p>
    <w:p>
      <w:pPr>
        <w:pStyle w:val="Subsection"/>
        <w:keepNext/>
      </w:pPr>
      <w:r>
        <w:tab/>
      </w:r>
      <w:r>
        <w:tab/>
        <w:t>Delete regulation 50 and insert:</w:t>
      </w:r>
    </w:p>
    <w:p>
      <w:pPr>
        <w:pStyle w:val="BlankOpen"/>
      </w:pPr>
    </w:p>
    <w:p>
      <w:pPr>
        <w:pStyle w:val="zHeading5"/>
      </w:pPr>
      <w:bookmarkStart w:id="59" w:name="_Toc153796406"/>
      <w:bookmarkStart w:id="60" w:name="_Toc153879086"/>
      <w:r>
        <w:t>50.</w:t>
      </w:r>
      <w:r>
        <w:tab/>
        <w:t>Barrier to private swimming pool</w:t>
      </w:r>
      <w:bookmarkEnd w:id="59"/>
      <w:bookmarkEnd w:id="60"/>
    </w:p>
    <w:p>
      <w:pPr>
        <w:pStyle w:val="zSubsection"/>
      </w:pPr>
      <w:r>
        <w:tab/>
        <w:t>(1)</w:t>
      </w:r>
      <w:r>
        <w:tab/>
        <w:t xml:space="preserve">This regulation does not apply in respect of a private swimming pool in — </w:t>
      </w:r>
    </w:p>
    <w:p>
      <w:pPr>
        <w:pStyle w:val="z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pPr>
        <w:pStyle w:val="zIndenta"/>
      </w:pPr>
      <w:r>
        <w:tab/>
        <w:t>(b)</w:t>
      </w:r>
      <w:r>
        <w:tab/>
        <w:t xml:space="preserve">a work area to which the </w:t>
      </w:r>
      <w:r>
        <w:rPr>
          <w:i/>
        </w:rPr>
        <w:t>Work Health and Safety (General) Regulations 2022</w:t>
      </w:r>
      <w:r>
        <w:t xml:space="preserve"> regulation 306 applies.</w:t>
      </w:r>
    </w:p>
    <w:p>
      <w:pPr>
        <w:pStyle w:val="zSubsection"/>
      </w:pPr>
      <w:r>
        <w:tab/>
        <w:t>(2)</w:t>
      </w:r>
      <w:r>
        <w:tab/>
        <w:t>Each owner and occupier of premises on which there is a private swimming pool containing water that is more than 300 mm deep must ensure that a pool barrier restricting access is installed or provided around the pool.</w:t>
      </w:r>
    </w:p>
    <w:p>
      <w:pPr>
        <w:pStyle w:val="zPenstart"/>
      </w:pPr>
      <w:r>
        <w:tab/>
        <w:t>Penalty for this subregulation: a fine of $5 000.</w:t>
      </w:r>
    </w:p>
    <w:p>
      <w:pPr>
        <w:pStyle w:val="zHeading5"/>
      </w:pPr>
      <w:bookmarkStart w:id="61" w:name="_Toc153796407"/>
      <w:bookmarkStart w:id="62" w:name="_Toc153879087"/>
      <w:r>
        <w:t>50A.</w:t>
      </w:r>
      <w:r>
        <w:tab/>
        <w:t>Pool barrier requirements</w:t>
      </w:r>
      <w:bookmarkEnd w:id="61"/>
      <w:bookmarkEnd w:id="62"/>
    </w:p>
    <w:p>
      <w:pPr>
        <w:pStyle w:val="zSubsection"/>
      </w:pPr>
      <w:r>
        <w:tab/>
        <w:t>(1)</w:t>
      </w:r>
      <w:r>
        <w:tab/>
        <w:t>If all or part of a building (other than a Class 10 building) is within the area bounded by a pool barrier, that pool barrier or another pool barrier must restrict access from the building.</w:t>
      </w:r>
    </w:p>
    <w:p>
      <w:pPr>
        <w:pStyle w:val="zSubsection"/>
      </w:pPr>
      <w:r>
        <w:lastRenderedPageBreak/>
        <w:tab/>
        <w:t>(2)</w:t>
      </w:r>
      <w:r>
        <w:tab/>
        <w:t>Subject to subregulations (3) and (4), a pool barrier must comply with a Building Code pool barrier requirement that was in effect —</w:t>
      </w:r>
    </w:p>
    <w:p>
      <w:pPr>
        <w:pStyle w:val="zIndenta"/>
      </w:pPr>
      <w:r>
        <w:tab/>
        <w:t>(a)</w:t>
      </w:r>
      <w:r>
        <w:tab/>
        <w:t>if a building permit applies to the construction of the pool — at or after the time the application for a building permit to construct the pool was made; or</w:t>
      </w:r>
    </w:p>
    <w:p>
      <w:pPr>
        <w:pStyle w:val="zIndenta"/>
      </w:pPr>
      <w:r>
        <w:tab/>
        <w:t>(b)</w:t>
      </w:r>
      <w:r>
        <w:tab/>
        <w:t>otherwise — at or after the time the construction of the pool commenced.</w:t>
      </w:r>
    </w:p>
    <w:p>
      <w:pPr>
        <w:pStyle w:val="zPermNoteHeading"/>
      </w:pPr>
      <w:r>
        <w:tab/>
        <w:t>Note for this subregulation:</w:t>
      </w:r>
    </w:p>
    <w:p>
      <w:pPr>
        <w:pStyle w:val="zPermNoteText"/>
      </w:pPr>
      <w:r>
        <w:tab/>
      </w:r>
      <w:r>
        <w:tab/>
        <w:t>See also regulation 15B which modifies AS 1926.1</w:t>
      </w:r>
      <w:r>
        <w:noBreakHyphen/>
        <w:t>2012.</w:t>
      </w:r>
    </w:p>
    <w:p>
      <w:pPr>
        <w:pStyle w:val="zSubsection"/>
      </w:pPr>
      <w:r>
        <w:tab/>
        <w:t>(3)</w:t>
      </w:r>
      <w:r>
        <w:tab/>
        <w:t>For the purposes of subregulation (2), a performance solution cannot be used to comply with a Building Code pool barrier requirement unless the performance solution is an approved barrier solution.</w:t>
      </w:r>
    </w:p>
    <w:p>
      <w:pPr>
        <w:pStyle w:val="zSubsection"/>
        <w:keepNext/>
      </w:pPr>
      <w:r>
        <w:tab/>
        <w:t>(4)</w:t>
      </w:r>
      <w:r>
        <w:tab/>
        <w:t>If the pool is a pre</w:t>
      </w:r>
      <w:r>
        <w:noBreakHyphen/>
        <w:t>May 2016 private swimming pool, the pool barrier need not comply with subregulation (2) if —</w:t>
      </w:r>
    </w:p>
    <w:p>
      <w:pPr>
        <w:pStyle w:val="zIndenta"/>
      </w:pPr>
      <w:r>
        <w:tab/>
        <w:t>(a)</w:t>
      </w:r>
      <w:r>
        <w:tab/>
        <w:t xml:space="preserve">it is in accordance with — </w:t>
      </w:r>
    </w:p>
    <w:p>
      <w:pPr>
        <w:pStyle w:val="zIndenti"/>
      </w:pPr>
      <w:r>
        <w:tab/>
        <w:t>(i)</w:t>
      </w:r>
      <w:r>
        <w:tab/>
        <w:t>the requirements of AS 1926.1</w:t>
      </w:r>
      <w:r>
        <w:noBreakHyphen/>
        <w:t>1993; or</w:t>
      </w:r>
    </w:p>
    <w:p>
      <w:pPr>
        <w:pStyle w:val="zIndenti"/>
      </w:pPr>
      <w:r>
        <w:tab/>
        <w:t>(ii)</w:t>
      </w:r>
      <w:r>
        <w:tab/>
        <w:t>approved alternative requirements;</w:t>
      </w:r>
    </w:p>
    <w:p>
      <w:pPr>
        <w:pStyle w:val="zIndenta"/>
      </w:pPr>
      <w:r>
        <w:tab/>
      </w:r>
      <w:r>
        <w:tab/>
        <w:t>and</w:t>
      </w:r>
    </w:p>
    <w:p>
      <w:pPr>
        <w:pStyle w:val="zIndenta"/>
      </w:pPr>
      <w:r>
        <w:tab/>
        <w:t>(b)</w:t>
      </w:r>
      <w:r>
        <w:tab/>
        <w:t>any wall comprising part of the pool barrier has no means of access through a building other than —</w:t>
      </w:r>
    </w:p>
    <w:p>
      <w:pPr>
        <w:pStyle w:val="zIndenti"/>
      </w:pPr>
      <w:r>
        <w:tab/>
        <w:t>(i)</w:t>
      </w:r>
      <w:r>
        <w:tab/>
        <w:t>a window that is in accordance with the requirements of AS 1926.1</w:t>
      </w:r>
      <w:r>
        <w:noBreakHyphen/>
        <w:t>1993; or</w:t>
      </w:r>
    </w:p>
    <w:p>
      <w:pPr>
        <w:pStyle w:val="zIndenti"/>
      </w:pPr>
      <w:r>
        <w:tab/>
        <w:t>(ii)</w:t>
      </w:r>
      <w:r>
        <w:tab/>
        <w:t>an approved door.</w:t>
      </w:r>
    </w:p>
    <w:p>
      <w:pPr>
        <w:pStyle w:val="zSubsection"/>
        <w:keepNext/>
        <w:keepLines/>
      </w:pPr>
      <w:r>
        <w:lastRenderedPageBreak/>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pPr>
        <w:pStyle w:val="zPermNoteHeading"/>
        <w:keepNext/>
      </w:pPr>
      <w:r>
        <w:tab/>
        <w:t>Note for this regulation:</w:t>
      </w:r>
    </w:p>
    <w:p>
      <w:pPr>
        <w:pStyle w:val="zPermNoteText"/>
        <w:keepNext/>
      </w:pPr>
      <w:r>
        <w:tab/>
      </w:r>
      <w:r>
        <w:tab/>
        <w:t>If a wall or any other part of a building is included in a pool barrier, that wall or other part must comply with the requirements of this regulation.</w:t>
      </w:r>
    </w:p>
    <w:p>
      <w:pPr>
        <w:pStyle w:val="BlankClose"/>
      </w:pPr>
    </w:p>
    <w:p>
      <w:pPr>
        <w:pStyle w:val="Heading5"/>
      </w:pPr>
      <w:bookmarkStart w:id="63" w:name="_Toc153796408"/>
      <w:bookmarkStart w:id="64" w:name="_Toc153879088"/>
      <w:r>
        <w:rPr>
          <w:rStyle w:val="CharSectno"/>
        </w:rPr>
        <w:t>16</w:t>
      </w:r>
      <w:r>
        <w:t>.</w:t>
      </w:r>
      <w:r>
        <w:tab/>
        <w:t>Regulation 51 amended</w:t>
      </w:r>
      <w:bookmarkEnd w:id="63"/>
      <w:bookmarkEnd w:id="64"/>
    </w:p>
    <w:p>
      <w:pPr>
        <w:pStyle w:val="Subsection"/>
      </w:pPr>
      <w:r>
        <w:tab/>
      </w:r>
      <w:r>
        <w:tab/>
        <w:t>Delete regulation 51(1) to (3) and insert:</w:t>
      </w:r>
    </w:p>
    <w:p>
      <w:pPr>
        <w:pStyle w:val="BlankOpen"/>
      </w:pPr>
    </w:p>
    <w:p>
      <w:pPr>
        <w:pStyle w:val="zSubsection"/>
      </w:pPr>
      <w:r>
        <w:tab/>
        <w:t>(1)</w:t>
      </w:r>
      <w:r>
        <w:tab/>
        <w:t xml:space="preserve">In this regulation — </w:t>
      </w:r>
    </w:p>
    <w:p>
      <w:pPr>
        <w:pStyle w:val="z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pPr>
        <w:pStyle w:val="zSubsection"/>
      </w:pPr>
      <w:r>
        <w:tab/>
        <w:t>(2)</w:t>
      </w:r>
      <w:r>
        <w:tab/>
        <w:t>A permit authority may approve requirements alternative to the requirements of regulation 50A(4)(a)(i) if it is satisfied that the alternative requirements will restrict access as effectively as if there were compliance with AS 1926.1</w:t>
      </w:r>
      <w:r>
        <w:noBreakHyphen/>
        <w:t>1993.</w:t>
      </w:r>
    </w:p>
    <w:p>
      <w:pPr>
        <w:pStyle w:val="zSubsection"/>
      </w:pPr>
      <w:r>
        <w:tab/>
        <w:t>(3)</w:t>
      </w:r>
      <w:r>
        <w:tab/>
        <w:t>A permit authority may approve a door for the purposes of regulation 50A(4)(b)(ii) if the door is in accordance with the requirements of AS 1926.l</w:t>
      </w:r>
      <w:r>
        <w:noBreakHyphen/>
        <w:t>1993 and —</w:t>
      </w:r>
    </w:p>
    <w:p>
      <w:pPr>
        <w:pStyle w:val="zIndenta"/>
      </w:pPr>
      <w:r>
        <w:tab/>
        <w:t>(a)</w:t>
      </w:r>
      <w:r>
        <w:tab/>
        <w:t xml:space="preserve">in the opinion of the permit authority, a fence or barrier satisfying regulation 50A between the </w:t>
      </w:r>
      <w:r>
        <w:lastRenderedPageBreak/>
        <w:t>building and the private swimming pool would cause —</w:t>
      </w:r>
    </w:p>
    <w:p>
      <w:pPr>
        <w:pStyle w:val="zIndenti"/>
      </w:pPr>
      <w:r>
        <w:tab/>
        <w:t>(i)</w:t>
      </w:r>
      <w:r>
        <w:tab/>
        <w:t>a significant problem of a structural nature; or</w:t>
      </w:r>
    </w:p>
    <w:p>
      <w:pPr>
        <w:pStyle w:val="zIndenti"/>
      </w:pPr>
      <w:r>
        <w:tab/>
        <w:t>(ii)</w:t>
      </w:r>
      <w:r>
        <w:tab/>
        <w:t>a significant problem of any other nature, the cause of which is not within the control of the owner or occupier;</w:t>
      </w:r>
    </w:p>
    <w:p>
      <w:pPr>
        <w:pStyle w:val="zIndenta"/>
      </w:pPr>
      <w:r>
        <w:tab/>
      </w:r>
      <w:r>
        <w:tab/>
        <w:t>or</w:t>
      </w:r>
    </w:p>
    <w:p>
      <w:pPr>
        <w:pStyle w:val="zIndenta"/>
      </w:pPr>
      <w:r>
        <w:tab/>
        <w:t>(b)</w:t>
      </w:r>
      <w:r>
        <w:tab/>
        <w:t>the private swimming pool is totally enclosed by a building; or</w:t>
      </w:r>
    </w:p>
    <w:p>
      <w:pPr>
        <w:pStyle w:val="z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w:t>
      </w:r>
    </w:p>
    <w:p>
      <w:pPr>
        <w:pStyle w:val="BlankClose"/>
      </w:pPr>
    </w:p>
    <w:p>
      <w:pPr>
        <w:pStyle w:val="Heading5"/>
      </w:pPr>
      <w:bookmarkStart w:id="65" w:name="_Toc153796409"/>
      <w:bookmarkStart w:id="66" w:name="_Toc153879089"/>
      <w:r>
        <w:rPr>
          <w:rStyle w:val="CharSectno"/>
        </w:rPr>
        <w:t>17</w:t>
      </w:r>
      <w:r>
        <w:t>.</w:t>
      </w:r>
      <w:r>
        <w:tab/>
        <w:t>Regulation 52 amended</w:t>
      </w:r>
      <w:bookmarkEnd w:id="65"/>
      <w:bookmarkEnd w:id="66"/>
    </w:p>
    <w:p>
      <w:pPr>
        <w:pStyle w:val="Subsection"/>
      </w:pPr>
      <w:r>
        <w:tab/>
        <w:t>(1)</w:t>
      </w:r>
      <w:r>
        <w:tab/>
        <w:t>In regulation 52(2) delete “regulation 50(1),” and insert:</w:t>
      </w:r>
    </w:p>
    <w:p>
      <w:pPr>
        <w:pStyle w:val="BlankOpen"/>
      </w:pPr>
    </w:p>
    <w:p>
      <w:pPr>
        <w:pStyle w:val="Subsection"/>
      </w:pPr>
      <w:r>
        <w:tab/>
      </w:r>
      <w:r>
        <w:tab/>
        <w:t>regulation 50(2),</w:t>
      </w:r>
    </w:p>
    <w:p>
      <w:pPr>
        <w:pStyle w:val="BlankClose"/>
      </w:pPr>
    </w:p>
    <w:p>
      <w:pPr>
        <w:pStyle w:val="Subsection"/>
      </w:pPr>
      <w:r>
        <w:tab/>
        <w:t>(2)</w:t>
      </w:r>
      <w:r>
        <w:tab/>
        <w:t>In regulation 52(3) delete “AS 1926.1.” and insert:</w:t>
      </w:r>
    </w:p>
    <w:p>
      <w:pPr>
        <w:pStyle w:val="BlankOpen"/>
      </w:pPr>
    </w:p>
    <w:p>
      <w:pPr>
        <w:pStyle w:val="Subsection"/>
      </w:pPr>
      <w:r>
        <w:tab/>
      </w:r>
      <w:r>
        <w:tab/>
        <w:t>AS 1926.1</w:t>
      </w:r>
      <w:r>
        <w:noBreakHyphen/>
        <w:t>1993.</w:t>
      </w:r>
    </w:p>
    <w:p>
      <w:pPr>
        <w:pStyle w:val="BlankClose"/>
      </w:pPr>
    </w:p>
    <w:p>
      <w:pPr>
        <w:pStyle w:val="Heading5"/>
      </w:pPr>
      <w:bookmarkStart w:id="67" w:name="_Toc153796410"/>
      <w:bookmarkStart w:id="68" w:name="_Toc153879090"/>
      <w:r>
        <w:rPr>
          <w:rStyle w:val="CharSectno"/>
        </w:rPr>
        <w:lastRenderedPageBreak/>
        <w:t>18</w:t>
      </w:r>
      <w:r>
        <w:t>.</w:t>
      </w:r>
      <w:r>
        <w:tab/>
        <w:t>Regulation 53 replaced</w:t>
      </w:r>
      <w:bookmarkEnd w:id="67"/>
      <w:bookmarkEnd w:id="68"/>
    </w:p>
    <w:p>
      <w:pPr>
        <w:pStyle w:val="Subsection"/>
        <w:keepNext/>
      </w:pPr>
      <w:r>
        <w:tab/>
      </w:r>
      <w:r>
        <w:tab/>
        <w:t>Delete regulation 53 and insert:</w:t>
      </w:r>
    </w:p>
    <w:p>
      <w:pPr>
        <w:pStyle w:val="BlankOpen"/>
      </w:pPr>
    </w:p>
    <w:p>
      <w:pPr>
        <w:pStyle w:val="zHeading5"/>
      </w:pPr>
      <w:bookmarkStart w:id="69" w:name="_Toc153796411"/>
      <w:bookmarkStart w:id="70" w:name="_Toc153879091"/>
      <w:r>
        <w:t>53.</w:t>
      </w:r>
      <w:r>
        <w:tab/>
        <w:t>Inspection of barrier to private swimming pool</w:t>
      </w:r>
      <w:bookmarkEnd w:id="69"/>
      <w:bookmarkEnd w:id="70"/>
    </w:p>
    <w:p>
      <w:pPr>
        <w:pStyle w:val="z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the provisions of regulations 50, 50A and 52 are being complied with.</w:t>
      </w:r>
    </w:p>
    <w:p>
      <w:pPr>
        <w:pStyle w:val="zSubsection"/>
      </w:pPr>
      <w:r>
        <w:tab/>
        <w:t>(2)</w:t>
      </w:r>
      <w:r>
        <w:tab/>
        <w:t>For the purposes of subregulation (1), the days and intervals for inspections of a barrier to a private swimming pool are —</w:t>
      </w:r>
    </w:p>
    <w:p>
      <w:pPr>
        <w:pStyle w:val="zIndenta"/>
      </w:pPr>
      <w:r>
        <w:tab/>
        <w:t>(a)</w:t>
      </w:r>
      <w:r>
        <w:tab/>
        <w:t>if the local government has never arranged for an authorised person to inspect the barrier — a day that is no more than 30 days after the day on which the first of the following occurs —</w:t>
      </w:r>
    </w:p>
    <w:p>
      <w:pPr>
        <w:pStyle w:val="zIndenti"/>
      </w:pPr>
      <w:r>
        <w:tab/>
        <w:t>(i)</w:t>
      </w:r>
      <w:r>
        <w:tab/>
        <w:t>the local government receives a notice of completion under section 33 stating that the building work in respect of the barrier or the private swimming pool is completed;</w:t>
      </w:r>
    </w:p>
    <w:p>
      <w:pPr>
        <w:pStyle w:val="zIndenti"/>
      </w:pPr>
      <w:r>
        <w:tab/>
        <w:t>(ii)</w:t>
      </w:r>
      <w:r>
        <w:tab/>
        <w:t>the local government receives details of a notice of completion under section 7(2)(b) indicating that the building work in respect of the barrier or the private swimming pool is completed;</w:t>
      </w:r>
    </w:p>
    <w:p>
      <w:pPr>
        <w:pStyle w:val="zIndenti"/>
      </w:pPr>
      <w:r>
        <w:tab/>
        <w:t>(iii)</w:t>
      </w:r>
      <w:r>
        <w:tab/>
        <w:t xml:space="preserve">the local government otherwise becomes aware that it has never arranged for an authorised person to </w:t>
      </w:r>
      <w:r>
        <w:lastRenderedPageBreak/>
        <w:t>inspect a barrier to the private swimming pool;</w:t>
      </w:r>
    </w:p>
    <w:p>
      <w:pPr>
        <w:pStyle w:val="zIndenta"/>
      </w:pPr>
      <w:r>
        <w:tab/>
      </w:r>
      <w:r>
        <w:tab/>
        <w:t>and</w:t>
      </w:r>
    </w:p>
    <w:p>
      <w:pPr>
        <w:pStyle w:val="z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pPr>
        <w:pStyle w:val="zIndenti"/>
      </w:pPr>
      <w:r>
        <w:tab/>
        <w:t>(i)</w:t>
      </w:r>
      <w:r>
        <w:tab/>
        <w:t>if the authorised person is not satisfied that the provisions in regulation 50, 50A and 52 are being complied with — on a day that is within 60 days after the day of the relevant inspection; and</w:t>
      </w:r>
    </w:p>
    <w:p>
      <w:pPr>
        <w:pStyle w:val="zIndenti"/>
      </w:pPr>
      <w:r>
        <w:tab/>
        <w:t>(ii)</w:t>
      </w:r>
      <w:r>
        <w:tab/>
        <w:t>in any other case — on a day that is within 4 years after the day of the relevant inspection.</w:t>
      </w:r>
    </w:p>
    <w:p>
      <w:pPr>
        <w:pStyle w:val="zPermNoteHeading"/>
      </w:pPr>
      <w:r>
        <w:tab/>
        <w:t>Note for this subregulation:</w:t>
      </w:r>
    </w:p>
    <w:p>
      <w:pPr>
        <w:pStyle w:val="zPermNoteText"/>
      </w:pPr>
      <w:r>
        <w:tab/>
      </w:r>
      <w:r>
        <w:tab/>
        <w:t>If subregulation (2)(b)(i) applies, the local government must arrange 1 or more further inspections until an authorised person is satisfied that the provisions in regulations 50, 50A and 52 are being complied with.</w:t>
      </w:r>
    </w:p>
    <w:p>
      <w:pPr>
        <w:pStyle w:val="zHeading5"/>
      </w:pPr>
      <w:bookmarkStart w:id="71" w:name="_Toc153796412"/>
      <w:bookmarkStart w:id="72" w:name="_Toc153879092"/>
      <w:r>
        <w:t>53A.</w:t>
      </w:r>
      <w:r>
        <w:tab/>
        <w:t>Charges may be imposed for inspection of barrier</w:t>
      </w:r>
      <w:bookmarkEnd w:id="71"/>
      <w:bookmarkEnd w:id="72"/>
    </w:p>
    <w:p>
      <w:pPr>
        <w:pStyle w:val="zSubsection"/>
        <w:keepNext/>
      </w:pPr>
      <w:r>
        <w:tab/>
        <w:t>(1)</w:t>
      </w:r>
      <w:r>
        <w:tab/>
        <w:t>In this regulation —</w:t>
      </w:r>
    </w:p>
    <w:p>
      <w:pPr>
        <w:pStyle w:val="zDefstart"/>
      </w:pPr>
      <w:r>
        <w:tab/>
      </w:r>
      <w:r>
        <w:rPr>
          <w:rStyle w:val="CharDefText"/>
        </w:rPr>
        <w:t>initial inspection</w:t>
      </w:r>
      <w:r>
        <w:t xml:space="preserve"> means an inspection arranged under regulation 53(1) to which regulation 53(2)(a) applies;</w:t>
      </w:r>
    </w:p>
    <w:p>
      <w:pPr>
        <w:pStyle w:val="zDefstart"/>
      </w:pPr>
      <w:r>
        <w:tab/>
      </w:r>
      <w:r>
        <w:rPr>
          <w:rStyle w:val="CharDefText"/>
        </w:rPr>
        <w:t>periodic inspection</w:t>
      </w:r>
      <w:r>
        <w:t xml:space="preserve"> means an inspection arranged under regulation 53(1) to which regulation 53(2)(b)(ii) applies;</w:t>
      </w:r>
    </w:p>
    <w:p>
      <w:pPr>
        <w:pStyle w:val="zDefstart"/>
      </w:pPr>
      <w:r>
        <w:tab/>
      </w:r>
      <w:r>
        <w:rPr>
          <w:rStyle w:val="CharDefText"/>
        </w:rPr>
        <w:t>re</w:t>
      </w:r>
      <w:r>
        <w:rPr>
          <w:rStyle w:val="CharDefText"/>
        </w:rPr>
        <w:noBreakHyphen/>
        <w:t>inspection</w:t>
      </w:r>
      <w:r>
        <w:t xml:space="preserve"> means an inspection arranged under regulation 53(1) to which regulation 53(2)(b(i)) applies.</w:t>
      </w:r>
    </w:p>
    <w:p>
      <w:pPr>
        <w:pStyle w:val="zSubsection"/>
      </w:pPr>
      <w:r>
        <w:tab/>
        <w:t>(2)</w:t>
      </w:r>
      <w:r>
        <w:tab/>
        <w:t xml:space="preserve">A local government may fix the charge to be imposed on an owner of land on which there is a private </w:t>
      </w:r>
      <w:r>
        <w:lastRenderedPageBreak/>
        <w:t>swimming pool containing water that is more than 300 mm deep for an initial inspection, but —</w:t>
      </w:r>
    </w:p>
    <w:p>
      <w:pPr>
        <w:pStyle w:val="zIndenta"/>
      </w:pPr>
      <w:r>
        <w:tab/>
        <w:t>(a)</w:t>
      </w:r>
      <w:r>
        <w:tab/>
        <w:t>a single charge is to be imposed covering both the initial inspection and any related re</w:t>
      </w:r>
      <w:r>
        <w:noBreakHyphen/>
        <w:t>inspections; and</w:t>
      </w:r>
    </w:p>
    <w:p>
      <w:pPr>
        <w:pStyle w:val="zIndenta"/>
      </w:pPr>
      <w:r>
        <w:tab/>
        <w:t>(b)</w:t>
      </w:r>
      <w:r>
        <w:tab/>
        <w:t xml:space="preserve">the amount of the charge must not exceed the lesser of — </w:t>
      </w:r>
    </w:p>
    <w:p>
      <w:pPr>
        <w:pStyle w:val="zIndenti"/>
      </w:pPr>
      <w:r>
        <w:tab/>
        <w:t>(i)</w:t>
      </w:r>
      <w:r>
        <w:tab/>
        <w:t>the estimated average cost to the local government of carrying out an initial inspection and any related re</w:t>
      </w:r>
      <w:r>
        <w:noBreakHyphen/>
        <w:t>inspections; and</w:t>
      </w:r>
    </w:p>
    <w:p>
      <w:pPr>
        <w:pStyle w:val="zIndenti"/>
      </w:pPr>
      <w:r>
        <w:tab/>
        <w:t>(ii)</w:t>
      </w:r>
      <w:r>
        <w:tab/>
        <w:t>$312.</w:t>
      </w:r>
    </w:p>
    <w:p>
      <w:pPr>
        <w:pStyle w:val="z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pPr>
        <w:pStyle w:val="zIndenta"/>
      </w:pPr>
      <w:r>
        <w:tab/>
        <w:t>(a)</w:t>
      </w:r>
      <w:r>
        <w:tab/>
        <w:t>a single charge is to be imposed in respect of periodic inspections and any related re</w:t>
      </w:r>
      <w:r>
        <w:noBreakHyphen/>
        <w:t>inspections; and</w:t>
      </w:r>
    </w:p>
    <w:p>
      <w:pPr>
        <w:pStyle w:val="zIndenta"/>
      </w:pPr>
      <w:r>
        <w:tab/>
        <w:t>(b)</w:t>
      </w:r>
      <w:r>
        <w:tab/>
        <w:t xml:space="preserve">the amount of the charge must not exceed the lesser of — </w:t>
      </w:r>
    </w:p>
    <w:p>
      <w:pPr>
        <w:pStyle w:val="zIndenti"/>
      </w:pPr>
      <w:r>
        <w:tab/>
        <w:t>(i)</w:t>
      </w:r>
      <w:r>
        <w:tab/>
        <w:t>the estimated average cost to the local government of carrying out periodic inspections and related re</w:t>
      </w:r>
      <w:r>
        <w:noBreakHyphen/>
        <w:t>inspections in that year; and</w:t>
      </w:r>
    </w:p>
    <w:p>
      <w:pPr>
        <w:pStyle w:val="zIndenti"/>
      </w:pPr>
      <w:r>
        <w:tab/>
        <w:t>(ii)</w:t>
      </w:r>
      <w:r>
        <w:tab/>
        <w:t>$78;</w:t>
      </w:r>
    </w:p>
    <w:p>
      <w:pPr>
        <w:pStyle w:val="zIndenta"/>
      </w:pPr>
      <w:r>
        <w:tab/>
      </w:r>
      <w:r>
        <w:tab/>
        <w:t>and</w:t>
      </w:r>
    </w:p>
    <w:p>
      <w:pPr>
        <w:pStyle w:val="zIndenta"/>
      </w:pPr>
      <w:r>
        <w:tab/>
        <w:t>(c)</w:t>
      </w:r>
      <w:r>
        <w:tab/>
        <w:t>the charge is payable by an owner whether or not a periodic inspection is conducted in respect of a pool on that owner’s land in the financial year.</w:t>
      </w:r>
    </w:p>
    <w:p>
      <w:pPr>
        <w:pStyle w:val="zHeading5"/>
      </w:pPr>
      <w:bookmarkStart w:id="73" w:name="_Toc153796413"/>
      <w:bookmarkStart w:id="74" w:name="_Toc153879093"/>
      <w:r>
        <w:lastRenderedPageBreak/>
        <w:t>53B.</w:t>
      </w:r>
      <w:r>
        <w:tab/>
        <w:t>Local governments to give Building Commissioner information</w:t>
      </w:r>
      <w:bookmarkEnd w:id="73"/>
      <w:bookmarkEnd w:id="74"/>
    </w:p>
    <w:p>
      <w:pPr>
        <w:pStyle w:val="zSubsection"/>
      </w:pPr>
      <w:r>
        <w:tab/>
        <w:t>(1)</w:t>
      </w:r>
      <w:r>
        <w:tab/>
        <w:t>In this regulation —</w:t>
      </w:r>
    </w:p>
    <w:p>
      <w:pPr>
        <w:pStyle w:val="zDefstart"/>
      </w:pPr>
      <w:r>
        <w:tab/>
      </w:r>
      <w:r>
        <w:rPr>
          <w:rStyle w:val="CharDefText"/>
        </w:rPr>
        <w:t>reporting period</w:t>
      </w:r>
      <w:r>
        <w:t xml:space="preserve"> means the period commencing on 1 July and ending on the next following 30 June.</w:t>
      </w:r>
    </w:p>
    <w:p>
      <w:pPr>
        <w:pStyle w:val="zSubsection"/>
      </w:pPr>
      <w:r>
        <w:tab/>
        <w:t>(2)</w:t>
      </w:r>
      <w:r>
        <w:tab/>
        <w:t>Each local government must, before 1 August each year, give the Building Commissioner the following information in respect of the immediately preceding reporting period —</w:t>
      </w:r>
    </w:p>
    <w:p>
      <w:pPr>
        <w:pStyle w:val="zIndenta"/>
      </w:pPr>
      <w:r>
        <w:tab/>
        <w:t>(a)</w:t>
      </w:r>
      <w:r>
        <w:tab/>
        <w:t xml:space="preserve">the number of swimming pools in respect of which this Division applies that are located in the local government’s district at the end of the reporting period; </w:t>
      </w:r>
    </w:p>
    <w:p>
      <w:pPr>
        <w:pStyle w:val="zIndenta"/>
      </w:pPr>
      <w:r>
        <w:tab/>
        <w:t>(b)</w:t>
      </w:r>
      <w:r>
        <w:tab/>
        <w:t xml:space="preserve">the number of swimming pools referred to in paragraph (a) that were inspected by an authorised person during the reporting period at an inspection arranged under regulation 53; </w:t>
      </w:r>
    </w:p>
    <w:p>
      <w:pPr>
        <w:pStyle w:val="z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pPr>
        <w:pStyle w:val="zSubsection"/>
      </w:pPr>
      <w:r>
        <w:tab/>
        <w:t>(3)</w:t>
      </w:r>
      <w:r>
        <w:tab/>
        <w:t>The information referred to in subregulation (2) must be provided to the Building Commissioner electronically.</w:t>
      </w:r>
    </w:p>
    <w:p>
      <w:pPr>
        <w:pStyle w:val="BlankClose"/>
      </w:pPr>
    </w:p>
    <w:p>
      <w:pPr>
        <w:pStyle w:val="Heading5"/>
      </w:pPr>
      <w:bookmarkStart w:id="75" w:name="_Toc153796414"/>
      <w:bookmarkStart w:id="76" w:name="_Toc153879094"/>
      <w:r>
        <w:rPr>
          <w:rStyle w:val="CharSectno"/>
        </w:rPr>
        <w:lastRenderedPageBreak/>
        <w:t>19</w:t>
      </w:r>
      <w:r>
        <w:t>.</w:t>
      </w:r>
      <w:r>
        <w:tab/>
        <w:t>Schedule 4 amended</w:t>
      </w:r>
      <w:bookmarkEnd w:id="75"/>
      <w:bookmarkEnd w:id="76"/>
    </w:p>
    <w:p>
      <w:pPr>
        <w:pStyle w:val="Subsection"/>
        <w:keepNext/>
      </w:pPr>
      <w:r>
        <w:tab/>
      </w:r>
      <w:r>
        <w:tab/>
        <w:t xml:space="preserve">In Schedule 4 clause 2 — </w:t>
      </w:r>
    </w:p>
    <w:p>
      <w:pPr>
        <w:pStyle w:val="Indenta"/>
        <w:keepNext/>
      </w:pPr>
      <w:r>
        <w:tab/>
        <w:t>(a)</w:t>
      </w:r>
      <w:r>
        <w:tab/>
        <w:t>insert in alphabetical order:</w:t>
      </w:r>
    </w:p>
    <w:p>
      <w:pPr>
        <w:pStyle w:val="BlankOpen"/>
      </w:pPr>
    </w:p>
    <w:p>
      <w:pPr>
        <w:pStyle w:val="zyDefstart"/>
      </w:pPr>
      <w:r>
        <w:tab/>
      </w:r>
      <w:r>
        <w:rPr>
          <w:rStyle w:val="CharDefText"/>
        </w:rPr>
        <w:t>fall prevention barrier</w:t>
      </w:r>
      <w:r>
        <w:t xml:space="preserve"> means a barrier that a performance requirement set out in the Building Code requires to be provided where people could fall;</w:t>
      </w:r>
    </w:p>
    <w:p>
      <w:pPr>
        <w:pStyle w:val="zyDefstart"/>
      </w:pPr>
      <w:r>
        <w:tab/>
      </w:r>
      <w:r>
        <w:rPr>
          <w:rStyle w:val="CharDefText"/>
        </w:rPr>
        <w:t>fence</w:t>
      </w:r>
      <w:r>
        <w:t xml:space="preserve"> includes a fence that is, or is part of, a pool barrier as defined in regulation 48;</w:t>
      </w:r>
    </w:p>
    <w:p>
      <w:pPr>
        <w:pStyle w:val="BlankClose"/>
      </w:pPr>
    </w:p>
    <w:p>
      <w:pPr>
        <w:pStyle w:val="Indenta"/>
        <w:keepNext/>
      </w:pPr>
      <w:r>
        <w:tab/>
        <w:t>(b)</w:t>
      </w:r>
      <w:r>
        <w:tab/>
        <w:t>In the Table delete item 4 and insert:</w:t>
      </w:r>
    </w:p>
    <w:p>
      <w:pPr>
        <w:pStyle w:val="BlankOpen"/>
      </w:pP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124"/>
      </w:tblGrid>
      <w:tr>
        <w:trPr>
          <w:cantSplit/>
        </w:trPr>
        <w:tc>
          <w:tcPr>
            <w:tcW w:w="851" w:type="dxa"/>
            <w:tcBorders>
              <w:bottom w:val="single" w:sz="4" w:space="0" w:color="auto"/>
            </w:tcBorders>
          </w:tcPr>
          <w:p>
            <w:pPr>
              <w:pStyle w:val="zyTableNAm"/>
            </w:pPr>
            <w:r>
              <w:t>4.</w:t>
            </w:r>
          </w:p>
        </w:tc>
        <w:tc>
          <w:tcPr>
            <w:tcW w:w="6124" w:type="dxa"/>
            <w:tcBorders>
              <w:bottom w:val="single" w:sz="4" w:space="0" w:color="auto"/>
            </w:tcBorders>
          </w:tcPr>
          <w:p>
            <w:pPr>
              <w:pStyle w:val="zyTableNAm"/>
            </w:pPr>
            <w:r>
              <w:t xml:space="preserve">Construction, erection, assembly or placement of a fence, screen or similar structure, other than a fall prevention barrier, if — </w:t>
            </w:r>
          </w:p>
          <w:p>
            <w:pPr>
              <w:pStyle w:val="zyTableNAm"/>
              <w:tabs>
                <w:tab w:val="clear" w:pos="567"/>
              </w:tabs>
              <w:ind w:left="773" w:hanging="567"/>
            </w:pPr>
            <w:r>
              <w:t>(a)</w:t>
            </w:r>
            <w:r>
              <w:tab/>
              <w:t xml:space="preserve">the fence, screen or similar structure is constructed in accordance with a local law made under the </w:t>
            </w:r>
            <w:r>
              <w:rPr>
                <w:i/>
              </w:rPr>
              <w:t>Local Government Act 1995</w:t>
            </w:r>
            <w: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zyTableNAm"/>
            </w:pPr>
          </w:p>
        </w:tc>
        <w:tc>
          <w:tcPr>
            <w:tcW w:w="6124" w:type="dxa"/>
            <w:tcBorders>
              <w:top w:val="single" w:sz="4" w:space="0" w:color="auto"/>
            </w:tcBorders>
          </w:tcPr>
          <w:p>
            <w:pPr>
              <w:pStyle w:val="z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pPr>
              <w:pStyle w:val="zyTableNAm"/>
              <w:tabs>
                <w:tab w:val="clear" w:pos="567"/>
                <w:tab w:val="left" w:pos="1057"/>
              </w:tabs>
              <w:ind w:left="1624" w:hanging="1624"/>
            </w:pPr>
            <w:r>
              <w:tab/>
              <w:t>(i)</w:t>
            </w:r>
            <w:r>
              <w:tab/>
              <w:t>if constructed of masonry — is no more than 0.75 m in height; and</w:t>
            </w:r>
          </w:p>
          <w:p>
            <w:pPr>
              <w:pStyle w:val="zyTableNAm"/>
              <w:tabs>
                <w:tab w:val="clear" w:pos="567"/>
                <w:tab w:val="left" w:pos="1057"/>
              </w:tabs>
              <w:ind w:left="1624" w:hanging="1624"/>
            </w:pPr>
            <w:r>
              <w:tab/>
              <w:t>(ii)</w:t>
            </w:r>
            <w:r>
              <w:tab/>
              <w:t>if constructed of a material other than masonry — is no more than 1.8 m in height; and</w:t>
            </w:r>
          </w:p>
          <w:p>
            <w:pPr>
              <w:pStyle w:val="zyTableNAm"/>
              <w:tabs>
                <w:tab w:val="clear" w:pos="567"/>
                <w:tab w:val="left" w:pos="1057"/>
              </w:tabs>
              <w:ind w:left="1624" w:hanging="1624"/>
              <w:rPr>
                <w:rStyle w:val="DraftersNotes"/>
                <w:b w:val="0"/>
                <w:i w:val="0"/>
                <w:sz w:val="22"/>
              </w:rPr>
            </w:pPr>
            <w:r>
              <w:tab/>
              <w:t>(iii)</w:t>
            </w:r>
            <w:r>
              <w:tab/>
              <w:t>is not located in wind region C or D as defined in AS 1170.2.</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lastRenderedPageBreak/>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Amendment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Amendment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Amendment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Building Amendment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181252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003100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03100422_GUID" w:val="5532ef99-ecbf-4330-bbcc-27282a462ed1"/>
    <w:docVar w:name="WAFER_20231019135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35228_GUID" w:val="d5b25780-1ccb-4c3e-a69f-8adab608b134"/>
    <w:docVar w:name="WAFER_20231218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18125213_GUID" w:val="4effca1f-8e77-4dfb-bc86-251f14ae45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6A2CA1CF-D3F8-412F-98D8-6E6B6AE1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6D25C-798A-4548-A84D-B72802387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4331</Words>
  <Characters>21874</Characters>
  <Application>Microsoft Office Word</Application>
  <DocSecurity>0</DocSecurity>
  <Lines>874</Lines>
  <Paragraphs>369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Amendment Regulations 2023 - 00-00-00</dc:title>
  <dc:subject/>
  <dc:creator/>
  <cp:keywords/>
  <dc:description/>
  <cp:lastModifiedBy>Master Repository Process</cp:lastModifiedBy>
  <cp:revision>4</cp:revision>
  <cp:lastPrinted>2023-10-30T04:28:00Z</cp:lastPrinted>
  <dcterms:created xsi:type="dcterms:W3CDTF">2023-12-19T05:42:00Z</dcterms:created>
  <dcterms:modified xsi:type="dcterms:W3CDTF">2023-12-19T05:42:00Z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53477</vt:lpwstr>
  </property>
  <property fmtid="{D5CDD505-2E9C-101B-9397-08002B2CF9AE}" pid="3" name="DocumentType">
    <vt:lpwstr>Reg</vt:lpwstr>
  </property>
  <property fmtid="{D5CDD505-2E9C-101B-9397-08002B2CF9AE}" pid="4" name="SLAPId">
    <vt:lpwstr>2023/208</vt:lpwstr>
  </property>
  <property fmtid="{D5CDD505-2E9C-101B-9397-08002B2CF9AE}" pid="5" name="PublishDate">
    <vt:lpwstr>20 Dec 2023</vt:lpwstr>
  </property>
  <property fmtid="{D5CDD505-2E9C-101B-9397-08002B2CF9AE}" pid="6" name="AsAtDate">
    <vt:lpwstr>20 Dec 2023</vt:lpwstr>
  </property>
  <property fmtid="{D5CDD505-2E9C-101B-9397-08002B2CF9AE}" pid="7" name="Suffix">
    <vt:lpwstr>00-00-00</vt:lpwstr>
  </property>
  <property fmtid="{D5CDD505-2E9C-101B-9397-08002B2CF9AE}" pid="8" name="Official">
    <vt:lpwstr/>
  </property>
  <property fmtid="{D5CDD505-2E9C-101B-9397-08002B2CF9AE}" pid="9" name="CommencementDate">
    <vt:lpwstr>20231220</vt:lpwstr>
  </property>
  <property fmtid="{D5CDD505-2E9C-101B-9397-08002B2CF9AE}" pid="10" name="CommencementYear">
    <vt:lpwstr>2023</vt:lpwstr>
  </property>
</Properties>
</file>