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Marine Act 1982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_Toc153887440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_Toc153887441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_Toc153887442 \h </w:instrText>
      </w:r>
      <w:r>
        <w:fldChar w:fldCharType="separate"/>
      </w:r>
      <w:r>
        <w:t>2</w:t>
      </w:r>
      <w:r>
        <w:fldChar w:fldCharType="end"/>
      </w:r>
    </w:p>
    <w:p>
      <w:pPr>
        <w:pStyle w:val="TOC8"/>
        <w:rPr>
          <w:rFonts w:asciiTheme="minorHAnsi" w:eastAsiaTheme="minorEastAsia" w:hAnsiTheme="minorHAnsi" w:cstheme="minorBidi"/>
          <w:szCs w:val="22"/>
        </w:rPr>
      </w:pPr>
      <w:r>
        <w:t>3A.</w:t>
      </w:r>
      <w:r>
        <w:tab/>
        <w:t>Vessels and crew to which Act applies</w:t>
      </w:r>
      <w:r>
        <w:tab/>
      </w:r>
      <w:r>
        <w:fldChar w:fldCharType="begin"/>
      </w:r>
      <w:r>
        <w:instrText xml:space="preserve"> PAGEREF _Toc153887443 \h </w:instrText>
      </w:r>
      <w:r>
        <w:fldChar w:fldCharType="separate"/>
      </w:r>
      <w:r>
        <w:t>12</w:t>
      </w:r>
      <w:r>
        <w:fldChar w:fldCharType="end"/>
      </w:r>
    </w:p>
    <w:p>
      <w:pPr>
        <w:pStyle w:val="TOC8"/>
        <w:rPr>
          <w:rFonts w:asciiTheme="minorHAnsi" w:eastAsiaTheme="minorEastAsia" w:hAnsiTheme="minorHAnsi" w:cstheme="minorBidi"/>
          <w:szCs w:val="22"/>
        </w:rPr>
      </w:pPr>
      <w:r>
        <w:t>3B.</w:t>
      </w:r>
      <w:r>
        <w:tab/>
        <w:t>Relationship to Domestic Commercial Vessel National Law</w:t>
      </w:r>
      <w:r>
        <w:tab/>
      </w:r>
      <w:r>
        <w:fldChar w:fldCharType="begin"/>
      </w:r>
      <w:r>
        <w:instrText xml:space="preserve"> PAGEREF _Toc153887444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not to apply to naval ships etc.</w:t>
      </w:r>
      <w:r>
        <w:tab/>
      </w:r>
      <w:r>
        <w:fldChar w:fldCharType="begin"/>
      </w:r>
      <w:r>
        <w:instrText xml:space="preserve"> PAGEREF _Toc153887445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to Crown</w:t>
      </w:r>
      <w:r>
        <w:tab/>
      </w:r>
      <w:r>
        <w:fldChar w:fldCharType="begin"/>
      </w:r>
      <w:r>
        <w:instrText xml:space="preserve"> PAGEREF _Toc153887446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Powers of inspectors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_Toc153887449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General powers</w:t>
      </w:r>
    </w:p>
    <w:p>
      <w:pPr>
        <w:pStyle w:val="TOC6"/>
        <w:tabs>
          <w:tab w:val="right" w:leader="dot" w:pos="7077"/>
        </w:tabs>
        <w:rPr>
          <w:rFonts w:asciiTheme="minorHAnsi" w:eastAsiaTheme="minorEastAsia" w:hAnsiTheme="minorHAnsi" w:cstheme="minorBidi"/>
          <w:b w:val="0"/>
          <w:sz w:val="22"/>
          <w:szCs w:val="22"/>
        </w:rPr>
      </w:pPr>
      <w:r>
        <w:t>Subdivision 1 — Powers relating to vessels, exercisable without consent or warrant</w:t>
      </w:r>
    </w:p>
    <w:p>
      <w:pPr>
        <w:pStyle w:val="TOC8"/>
        <w:rPr>
          <w:rFonts w:asciiTheme="minorHAnsi" w:eastAsiaTheme="minorEastAsia" w:hAnsiTheme="minorHAnsi" w:cstheme="minorBidi"/>
          <w:szCs w:val="22"/>
        </w:rPr>
      </w:pPr>
      <w:r>
        <w:t>7.</w:t>
      </w:r>
      <w:r>
        <w:tab/>
        <w:t>Boarding vessels</w:t>
      </w:r>
      <w:r>
        <w:tab/>
      </w:r>
      <w:r>
        <w:fldChar w:fldCharType="begin"/>
      </w:r>
      <w:r>
        <w:instrText xml:space="preserve"> PAGEREF _Toc153887452 \h </w:instrText>
      </w:r>
      <w:r>
        <w:fldChar w:fldCharType="separate"/>
      </w:r>
      <w:r>
        <w:t>15</w:t>
      </w:r>
      <w:r>
        <w:fldChar w:fldCharType="end"/>
      </w:r>
    </w:p>
    <w:p>
      <w:pPr>
        <w:pStyle w:val="TOC8"/>
        <w:rPr>
          <w:rFonts w:asciiTheme="minorHAnsi" w:eastAsiaTheme="minorEastAsia" w:hAnsiTheme="minorHAnsi" w:cstheme="minorBidi"/>
          <w:szCs w:val="22"/>
        </w:rPr>
      </w:pPr>
      <w:r>
        <w:t>8.</w:t>
      </w:r>
      <w:r>
        <w:tab/>
        <w:t>Requiring master of vessel to answer questions about vessel’s nature or operations</w:t>
      </w:r>
      <w:r>
        <w:tab/>
      </w:r>
      <w:r>
        <w:fldChar w:fldCharType="begin"/>
      </w:r>
      <w:r>
        <w:instrText xml:space="preserve"> PAGEREF _Toc153887453 \h </w:instrText>
      </w:r>
      <w:r>
        <w:fldChar w:fldCharType="separate"/>
      </w:r>
      <w:r>
        <w:t>16</w:t>
      </w:r>
      <w:r>
        <w:fldChar w:fldCharType="end"/>
      </w:r>
    </w:p>
    <w:p>
      <w:pPr>
        <w:pStyle w:val="TOC8"/>
        <w:rPr>
          <w:rFonts w:asciiTheme="minorHAnsi" w:eastAsiaTheme="minorEastAsia" w:hAnsiTheme="minorHAnsi" w:cstheme="minorBidi"/>
          <w:szCs w:val="22"/>
        </w:rPr>
      </w:pPr>
      <w:r>
        <w:t>9.</w:t>
      </w:r>
      <w:r>
        <w:tab/>
        <w:t>Powers in relation to vessels</w:t>
      </w:r>
      <w:r>
        <w:tab/>
      </w:r>
      <w:r>
        <w:fldChar w:fldCharType="begin"/>
      </w:r>
      <w:r>
        <w:instrText xml:space="preserve"> PAGEREF _Toc153887454 \h </w:instrText>
      </w:r>
      <w:r>
        <w:fldChar w:fldCharType="separate"/>
      </w:r>
      <w:r>
        <w:t>16</w:t>
      </w:r>
      <w:r>
        <w:fldChar w:fldCharType="end"/>
      </w:r>
    </w:p>
    <w:p>
      <w:pPr>
        <w:pStyle w:val="TOC8"/>
        <w:rPr>
          <w:rFonts w:asciiTheme="minorHAnsi" w:eastAsiaTheme="minorEastAsia" w:hAnsiTheme="minorHAnsi" w:cstheme="minorBidi"/>
          <w:szCs w:val="22"/>
        </w:rPr>
      </w:pPr>
      <w:r>
        <w:t>10.</w:t>
      </w:r>
      <w:r>
        <w:tab/>
        <w:t>Failing to comply with certain requirements under s. 9</w:t>
      </w:r>
      <w:r>
        <w:tab/>
      </w:r>
      <w:r>
        <w:fldChar w:fldCharType="begin"/>
      </w:r>
      <w:r>
        <w:instrText xml:space="preserve"> PAGEREF _Toc153887455 \h </w:instrText>
      </w:r>
      <w:r>
        <w:fldChar w:fldCharType="separate"/>
      </w:r>
      <w:r>
        <w:t>18</w:t>
      </w:r>
      <w:r>
        <w:fldChar w:fldCharType="end"/>
      </w:r>
    </w:p>
    <w:p>
      <w:pPr>
        <w:pStyle w:val="TOC8"/>
        <w:rPr>
          <w:rFonts w:asciiTheme="minorHAnsi" w:eastAsiaTheme="minorEastAsia" w:hAnsiTheme="minorHAnsi" w:cstheme="minorBidi"/>
          <w:szCs w:val="22"/>
        </w:rPr>
      </w:pPr>
      <w:r>
        <w:t>11.</w:t>
      </w:r>
      <w:r>
        <w:tab/>
        <w:t>Sampling, securing or seizing things found</w:t>
      </w:r>
      <w:r>
        <w:tab/>
      </w:r>
      <w:r>
        <w:fldChar w:fldCharType="begin"/>
      </w:r>
      <w:r>
        <w:instrText xml:space="preserve"> PAGEREF _Toc153887456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Powers relating to premises, exercisable with consent or under warrant</w:t>
      </w:r>
    </w:p>
    <w:p>
      <w:pPr>
        <w:pStyle w:val="TOC8"/>
        <w:rPr>
          <w:rFonts w:asciiTheme="minorHAnsi" w:eastAsiaTheme="minorEastAsia" w:hAnsiTheme="minorHAnsi" w:cstheme="minorBidi"/>
          <w:szCs w:val="22"/>
        </w:rPr>
      </w:pPr>
      <w:r>
        <w:t>12.</w:t>
      </w:r>
      <w:r>
        <w:tab/>
        <w:t>Entering premises</w:t>
      </w:r>
      <w:r>
        <w:tab/>
      </w:r>
      <w:r>
        <w:fldChar w:fldCharType="begin"/>
      </w:r>
      <w:r>
        <w:instrText xml:space="preserve"> PAGEREF _Toc153887458 \h </w:instrText>
      </w:r>
      <w:r>
        <w:fldChar w:fldCharType="separate"/>
      </w:r>
      <w:r>
        <w:t>20</w:t>
      </w:r>
      <w:r>
        <w:fldChar w:fldCharType="end"/>
      </w:r>
    </w:p>
    <w:p>
      <w:pPr>
        <w:pStyle w:val="TOC8"/>
        <w:rPr>
          <w:rFonts w:asciiTheme="minorHAnsi" w:eastAsiaTheme="minorEastAsia" w:hAnsiTheme="minorHAnsi" w:cstheme="minorBidi"/>
          <w:szCs w:val="22"/>
        </w:rPr>
      </w:pPr>
      <w:r>
        <w:t>13.</w:t>
      </w:r>
      <w:r>
        <w:tab/>
        <w:t>Powers of inspectors in relation to premises</w:t>
      </w:r>
      <w:r>
        <w:tab/>
      </w:r>
      <w:r>
        <w:fldChar w:fldCharType="begin"/>
      </w:r>
      <w:r>
        <w:instrText xml:space="preserve"> PAGEREF _Toc153887459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14.</w:t>
      </w:r>
      <w:r>
        <w:tab/>
        <w:t>Enforcement powers</w:t>
      </w:r>
      <w:r>
        <w:tab/>
      </w:r>
      <w:r>
        <w:fldChar w:fldCharType="begin"/>
      </w:r>
      <w:r>
        <w:instrText xml:space="preserve"> PAGEREF _Toc153887460 \h </w:instrText>
      </w:r>
      <w:r>
        <w:fldChar w:fldCharType="separate"/>
      </w:r>
      <w:r>
        <w:t>23</w:t>
      </w:r>
      <w:r>
        <w:fldChar w:fldCharType="end"/>
      </w:r>
    </w:p>
    <w:p>
      <w:pPr>
        <w:pStyle w:val="TOC8"/>
        <w:rPr>
          <w:rFonts w:asciiTheme="minorHAnsi" w:eastAsiaTheme="minorEastAsia" w:hAnsiTheme="minorHAnsi" w:cstheme="minorBidi"/>
          <w:szCs w:val="22"/>
        </w:rPr>
      </w:pPr>
      <w:r>
        <w:t>15.</w:t>
      </w:r>
      <w:r>
        <w:tab/>
        <w:t>Failing to comply with certain requirements of inspectors</w:t>
      </w:r>
      <w:r>
        <w:tab/>
      </w:r>
      <w:r>
        <w:fldChar w:fldCharType="begin"/>
      </w:r>
      <w:r>
        <w:instrText xml:space="preserve"> PAGEREF _Toc153887461 \h </w:instrText>
      </w:r>
      <w:r>
        <w:fldChar w:fldCharType="separate"/>
      </w:r>
      <w:r>
        <w:t>25</w:t>
      </w:r>
      <w:r>
        <w:fldChar w:fldCharType="end"/>
      </w:r>
    </w:p>
    <w:p>
      <w:pPr>
        <w:pStyle w:val="TOC8"/>
        <w:rPr>
          <w:rFonts w:asciiTheme="minorHAnsi" w:eastAsiaTheme="minorEastAsia" w:hAnsiTheme="minorHAnsi" w:cstheme="minorBidi"/>
          <w:szCs w:val="22"/>
        </w:rPr>
      </w:pPr>
      <w:r>
        <w:t>16.</w:t>
      </w:r>
      <w:r>
        <w:tab/>
        <w:t>Using force in executing warrant</w:t>
      </w:r>
      <w:r>
        <w:tab/>
      </w:r>
      <w:r>
        <w:fldChar w:fldCharType="begin"/>
      </w:r>
      <w:r>
        <w:instrText xml:space="preserve"> PAGEREF _Toc153887462 \h </w:instrText>
      </w:r>
      <w:r>
        <w:fldChar w:fldCharType="separate"/>
      </w:r>
      <w:r>
        <w:t>26</w:t>
      </w:r>
      <w:r>
        <w:fldChar w:fldCharType="end"/>
      </w:r>
    </w:p>
    <w:p>
      <w:pPr>
        <w:pStyle w:val="TOC8"/>
        <w:rPr>
          <w:rFonts w:asciiTheme="minorHAnsi" w:eastAsiaTheme="minorEastAsia" w:hAnsiTheme="minorHAnsi" w:cstheme="minorBidi"/>
          <w:szCs w:val="22"/>
        </w:rPr>
      </w:pPr>
      <w:r>
        <w:t>17.</w:t>
      </w:r>
      <w:r>
        <w:tab/>
        <w:t>Relationship with Subdivision 1</w:t>
      </w:r>
      <w:r>
        <w:tab/>
      </w:r>
      <w:r>
        <w:fldChar w:fldCharType="begin"/>
      </w:r>
      <w:r>
        <w:instrText xml:space="preserve"> PAGEREF _Toc153887463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Requiring certain documents under Act to be produced for inspection</w:t>
      </w:r>
    </w:p>
    <w:p>
      <w:pPr>
        <w:pStyle w:val="TOC8"/>
        <w:rPr>
          <w:rFonts w:asciiTheme="minorHAnsi" w:eastAsiaTheme="minorEastAsia" w:hAnsiTheme="minorHAnsi" w:cstheme="minorBidi"/>
          <w:szCs w:val="22"/>
        </w:rPr>
      </w:pPr>
      <w:r>
        <w:t>18.</w:t>
      </w:r>
      <w:r>
        <w:tab/>
        <w:t>Requiring certain documents to be produced for inspection</w:t>
      </w:r>
      <w:r>
        <w:tab/>
      </w:r>
      <w:r>
        <w:fldChar w:fldCharType="begin"/>
      </w:r>
      <w:r>
        <w:instrText xml:space="preserve"> PAGEREF _Toc153887465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Directions and improvement notices</w:t>
      </w:r>
    </w:p>
    <w:p>
      <w:pPr>
        <w:pStyle w:val="TOC8"/>
        <w:rPr>
          <w:rFonts w:asciiTheme="minorHAnsi" w:eastAsiaTheme="minorEastAsia" w:hAnsiTheme="minorHAnsi" w:cstheme="minorBidi"/>
          <w:szCs w:val="22"/>
        </w:rPr>
      </w:pPr>
      <w:r>
        <w:t>19.</w:t>
      </w:r>
      <w:r>
        <w:tab/>
        <w:t>Power to give directions</w:t>
      </w:r>
      <w:r>
        <w:tab/>
      </w:r>
      <w:r>
        <w:fldChar w:fldCharType="begin"/>
      </w:r>
      <w:r>
        <w:instrText xml:space="preserve"> PAGEREF _Toc153887467 \h </w:instrText>
      </w:r>
      <w:r>
        <w:fldChar w:fldCharType="separate"/>
      </w:r>
      <w:r>
        <w:t>27</w:t>
      </w:r>
      <w:r>
        <w:fldChar w:fldCharType="end"/>
      </w:r>
    </w:p>
    <w:p>
      <w:pPr>
        <w:pStyle w:val="TOC8"/>
        <w:rPr>
          <w:rFonts w:asciiTheme="minorHAnsi" w:eastAsiaTheme="minorEastAsia" w:hAnsiTheme="minorHAnsi" w:cstheme="minorBidi"/>
          <w:szCs w:val="22"/>
        </w:rPr>
      </w:pPr>
      <w:r>
        <w:t>20.</w:t>
      </w:r>
      <w:r>
        <w:tab/>
        <w:t>Directions under s. 19: procedural details</w:t>
      </w:r>
      <w:r>
        <w:tab/>
      </w:r>
      <w:r>
        <w:fldChar w:fldCharType="begin"/>
      </w:r>
      <w:r>
        <w:instrText xml:space="preserve"> PAGEREF _Toc153887468 \h </w:instrText>
      </w:r>
      <w:r>
        <w:fldChar w:fldCharType="separate"/>
      </w:r>
      <w:r>
        <w:t>28</w:t>
      </w:r>
      <w:r>
        <w:fldChar w:fldCharType="end"/>
      </w:r>
    </w:p>
    <w:p>
      <w:pPr>
        <w:pStyle w:val="TOC8"/>
        <w:rPr>
          <w:rFonts w:asciiTheme="minorHAnsi" w:eastAsiaTheme="minorEastAsia" w:hAnsiTheme="minorHAnsi" w:cstheme="minorBidi"/>
          <w:szCs w:val="22"/>
        </w:rPr>
      </w:pPr>
      <w:r>
        <w:t>21.</w:t>
      </w:r>
      <w:r>
        <w:tab/>
        <w:t>Directions under s. 19: inspector may remedy failure to comply</w:t>
      </w:r>
      <w:r>
        <w:tab/>
      </w:r>
      <w:r>
        <w:fldChar w:fldCharType="begin"/>
      </w:r>
      <w:r>
        <w:instrText xml:space="preserve"> PAGEREF _Toc153887469 \h </w:instrText>
      </w:r>
      <w:r>
        <w:fldChar w:fldCharType="separate"/>
      </w:r>
      <w:r>
        <w:t>28</w:t>
      </w:r>
      <w:r>
        <w:fldChar w:fldCharType="end"/>
      </w:r>
    </w:p>
    <w:p>
      <w:pPr>
        <w:pStyle w:val="TOC8"/>
        <w:rPr>
          <w:rFonts w:asciiTheme="minorHAnsi" w:eastAsiaTheme="minorEastAsia" w:hAnsiTheme="minorHAnsi" w:cstheme="minorBidi"/>
          <w:szCs w:val="22"/>
        </w:rPr>
      </w:pPr>
      <w:r>
        <w:t>22.</w:t>
      </w:r>
      <w:r>
        <w:tab/>
        <w:t>Improvement notices</w:t>
      </w:r>
      <w:r>
        <w:tab/>
      </w:r>
      <w:r>
        <w:fldChar w:fldCharType="begin"/>
      </w:r>
      <w:r>
        <w:instrText xml:space="preserve"> PAGEREF _Toc153887470 \h </w:instrText>
      </w:r>
      <w:r>
        <w:fldChar w:fldCharType="separate"/>
      </w:r>
      <w:r>
        <w:t>29</w:t>
      </w:r>
      <w:r>
        <w:fldChar w:fldCharType="end"/>
      </w:r>
    </w:p>
    <w:p>
      <w:pPr>
        <w:pStyle w:val="TOC8"/>
        <w:rPr>
          <w:rFonts w:asciiTheme="minorHAnsi" w:eastAsiaTheme="minorEastAsia" w:hAnsiTheme="minorHAnsi" w:cstheme="minorBidi"/>
          <w:szCs w:val="22"/>
        </w:rPr>
      </w:pPr>
      <w:r>
        <w:t>23.</w:t>
      </w:r>
      <w:r>
        <w:tab/>
        <w:t>Improvement notices given in relation to vessels</w:t>
      </w:r>
      <w:r>
        <w:tab/>
      </w:r>
      <w:r>
        <w:fldChar w:fldCharType="begin"/>
      </w:r>
      <w:r>
        <w:instrText xml:space="preserve"> PAGEREF _Toc153887471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 relating to powers under Part</w:t>
      </w:r>
    </w:p>
    <w:p>
      <w:pPr>
        <w:pStyle w:val="TOC6"/>
        <w:tabs>
          <w:tab w:val="right" w:leader="dot" w:pos="7077"/>
        </w:tabs>
        <w:rPr>
          <w:rFonts w:asciiTheme="minorHAnsi" w:eastAsiaTheme="minorEastAsia" w:hAnsiTheme="minorHAnsi" w:cstheme="minorBidi"/>
          <w:b w:val="0"/>
          <w:sz w:val="22"/>
          <w:szCs w:val="22"/>
        </w:rPr>
      </w:pPr>
      <w:r>
        <w:t>Subdivision 1 — General matters concerning entry and exercise of powers</w:t>
      </w:r>
    </w:p>
    <w:p>
      <w:pPr>
        <w:pStyle w:val="TOC8"/>
        <w:rPr>
          <w:rFonts w:asciiTheme="minorHAnsi" w:eastAsiaTheme="minorEastAsia" w:hAnsiTheme="minorHAnsi" w:cstheme="minorBidi"/>
          <w:szCs w:val="22"/>
        </w:rPr>
      </w:pPr>
      <w:r>
        <w:t>24.</w:t>
      </w:r>
      <w:r>
        <w:tab/>
        <w:t>Consent to entry</w:t>
      </w:r>
      <w:r>
        <w:tab/>
      </w:r>
      <w:r>
        <w:fldChar w:fldCharType="begin"/>
      </w:r>
      <w:r>
        <w:instrText xml:space="preserve"> PAGEREF _Toc153887474 \h </w:instrText>
      </w:r>
      <w:r>
        <w:fldChar w:fldCharType="separate"/>
      </w:r>
      <w:r>
        <w:t>30</w:t>
      </w:r>
      <w:r>
        <w:fldChar w:fldCharType="end"/>
      </w:r>
    </w:p>
    <w:p>
      <w:pPr>
        <w:pStyle w:val="TOC8"/>
        <w:rPr>
          <w:rFonts w:asciiTheme="minorHAnsi" w:eastAsiaTheme="minorEastAsia" w:hAnsiTheme="minorHAnsi" w:cstheme="minorBidi"/>
          <w:szCs w:val="22"/>
        </w:rPr>
      </w:pPr>
      <w:r>
        <w:t>25.</w:t>
      </w:r>
      <w:r>
        <w:tab/>
        <w:t>Premises with 2 or more occupiers</w:t>
      </w:r>
      <w:r>
        <w:tab/>
      </w:r>
      <w:r>
        <w:fldChar w:fldCharType="begin"/>
      </w:r>
      <w:r>
        <w:instrText xml:space="preserve"> PAGEREF _Toc153887475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Warrants</w:t>
      </w:r>
    </w:p>
    <w:p>
      <w:pPr>
        <w:pStyle w:val="TOC8"/>
        <w:rPr>
          <w:rFonts w:asciiTheme="minorHAnsi" w:eastAsiaTheme="minorEastAsia" w:hAnsiTheme="minorHAnsi" w:cstheme="minorBidi"/>
          <w:szCs w:val="22"/>
        </w:rPr>
      </w:pPr>
      <w:r>
        <w:t>26.</w:t>
      </w:r>
      <w:r>
        <w:tab/>
        <w:t>Warrants</w:t>
      </w:r>
      <w:r>
        <w:tab/>
      </w:r>
      <w:r>
        <w:fldChar w:fldCharType="begin"/>
      </w:r>
      <w:r>
        <w:instrText xml:space="preserve"> PAGEREF _Toc153887477 \h </w:instrText>
      </w:r>
      <w:r>
        <w:fldChar w:fldCharType="separate"/>
      </w:r>
      <w:r>
        <w:t>31</w:t>
      </w:r>
      <w:r>
        <w:fldChar w:fldCharType="end"/>
      </w:r>
    </w:p>
    <w:p>
      <w:pPr>
        <w:pStyle w:val="TOC8"/>
        <w:rPr>
          <w:rFonts w:asciiTheme="minorHAnsi" w:eastAsiaTheme="minorEastAsia" w:hAnsiTheme="minorHAnsi" w:cstheme="minorBidi"/>
          <w:szCs w:val="22"/>
        </w:rPr>
      </w:pPr>
      <w:r>
        <w:t>27.</w:t>
      </w:r>
      <w:r>
        <w:tab/>
        <w:t>Warrants applied for remotely</w:t>
      </w:r>
      <w:r>
        <w:tab/>
      </w:r>
      <w:r>
        <w:fldChar w:fldCharType="begin"/>
      </w:r>
      <w:r>
        <w:instrText xml:space="preserve"> PAGEREF _Toc153887478 \h </w:instrText>
      </w:r>
      <w:r>
        <w:fldChar w:fldCharType="separate"/>
      </w:r>
      <w:r>
        <w:t>33</w:t>
      </w:r>
      <w:r>
        <w:fldChar w:fldCharType="end"/>
      </w:r>
    </w:p>
    <w:p>
      <w:pPr>
        <w:pStyle w:val="TOC8"/>
        <w:rPr>
          <w:rFonts w:asciiTheme="minorHAnsi" w:eastAsiaTheme="minorEastAsia" w:hAnsiTheme="minorHAnsi" w:cstheme="minorBidi"/>
          <w:szCs w:val="22"/>
        </w:rPr>
      </w:pPr>
      <w:r>
        <w:t>28.</w:t>
      </w:r>
      <w:r>
        <w:tab/>
        <w:t>Entry under warrant: rights of occupier</w:t>
      </w:r>
      <w:r>
        <w:tab/>
      </w:r>
      <w:r>
        <w:fldChar w:fldCharType="begin"/>
      </w:r>
      <w:r>
        <w:instrText xml:space="preserve"> PAGEREF _Toc153887479 \h </w:instrText>
      </w:r>
      <w:r>
        <w:fldChar w:fldCharType="separate"/>
      </w:r>
      <w:r>
        <w:t>33</w:t>
      </w:r>
      <w:r>
        <w:fldChar w:fldCharType="end"/>
      </w:r>
    </w:p>
    <w:p>
      <w:pPr>
        <w:pStyle w:val="TOC8"/>
        <w:rPr>
          <w:rFonts w:asciiTheme="minorHAnsi" w:eastAsiaTheme="minorEastAsia" w:hAnsiTheme="minorHAnsi" w:cstheme="minorBidi"/>
          <w:szCs w:val="22"/>
        </w:rPr>
      </w:pPr>
      <w:r>
        <w:t>29.</w:t>
      </w:r>
      <w:r>
        <w:tab/>
        <w:t>Inspector must be in possession of warrant</w:t>
      </w:r>
      <w:r>
        <w:tab/>
      </w:r>
      <w:r>
        <w:fldChar w:fldCharType="begin"/>
      </w:r>
      <w:r>
        <w:instrText xml:space="preserve"> PAGEREF _Toc153887480 \h </w:instrText>
      </w:r>
      <w:r>
        <w:fldChar w:fldCharType="separate"/>
      </w:r>
      <w:r>
        <w:t>34</w:t>
      </w:r>
      <w:r>
        <w:fldChar w:fldCharType="end"/>
      </w:r>
    </w:p>
    <w:p>
      <w:pPr>
        <w:pStyle w:val="TOC8"/>
        <w:rPr>
          <w:rFonts w:asciiTheme="minorHAnsi" w:eastAsiaTheme="minorEastAsia" w:hAnsiTheme="minorHAnsi" w:cstheme="minorBidi"/>
          <w:szCs w:val="22"/>
        </w:rPr>
      </w:pPr>
      <w:r>
        <w:t>30.</w:t>
      </w:r>
      <w:r>
        <w:tab/>
        <w:t>Occupier entitled to observe execution of warrant</w:t>
      </w:r>
      <w:r>
        <w:tab/>
      </w:r>
      <w:r>
        <w:fldChar w:fldCharType="begin"/>
      </w:r>
      <w:r>
        <w:instrText xml:space="preserve"> PAGEREF _Toc153887481 \h </w:instrText>
      </w:r>
      <w:r>
        <w:fldChar w:fldCharType="separate"/>
      </w:r>
      <w:r>
        <w:t>35</w:t>
      </w:r>
      <w:r>
        <w:fldChar w:fldCharType="end"/>
      </w:r>
    </w:p>
    <w:p>
      <w:pPr>
        <w:pStyle w:val="TOC8"/>
        <w:rPr>
          <w:rFonts w:asciiTheme="minorHAnsi" w:eastAsiaTheme="minorEastAsia" w:hAnsiTheme="minorHAnsi" w:cstheme="minorBidi"/>
          <w:szCs w:val="22"/>
        </w:rPr>
      </w:pPr>
      <w:r>
        <w:t>31.</w:t>
      </w:r>
      <w:r>
        <w:tab/>
        <w:t>Occupier to provide inspector with facilities and assistance</w:t>
      </w:r>
      <w:r>
        <w:tab/>
      </w:r>
      <w:r>
        <w:fldChar w:fldCharType="begin"/>
      </w:r>
      <w:r>
        <w:instrText xml:space="preserve"> PAGEREF _Toc153887482 \h </w:instrText>
      </w:r>
      <w:r>
        <w:fldChar w:fldCharType="separate"/>
      </w:r>
      <w:r>
        <w:t>35</w:t>
      </w:r>
      <w:r>
        <w:fldChar w:fldCharType="end"/>
      </w:r>
    </w:p>
    <w:p>
      <w:pPr>
        <w:pStyle w:val="TOC8"/>
        <w:rPr>
          <w:rFonts w:asciiTheme="minorHAnsi" w:eastAsiaTheme="minorEastAsia" w:hAnsiTheme="minorHAnsi" w:cstheme="minorBidi"/>
          <w:szCs w:val="22"/>
        </w:rPr>
      </w:pPr>
      <w:r>
        <w:t>32.</w:t>
      </w:r>
      <w:r>
        <w:tab/>
        <w:t>Execution of warrant</w:t>
      </w:r>
      <w:r>
        <w:tab/>
      </w:r>
      <w:r>
        <w:fldChar w:fldCharType="begin"/>
      </w:r>
      <w:r>
        <w:instrText xml:space="preserve"> PAGEREF _Toc153887483 \h </w:instrText>
      </w:r>
      <w:r>
        <w:fldChar w:fldCharType="separate"/>
      </w:r>
      <w:r>
        <w:t>35</w:t>
      </w:r>
      <w:r>
        <w:fldChar w:fldCharType="end"/>
      </w:r>
    </w:p>
    <w:p>
      <w:pPr>
        <w:pStyle w:val="TOC8"/>
        <w:rPr>
          <w:rFonts w:asciiTheme="minorHAnsi" w:eastAsiaTheme="minorEastAsia" w:hAnsiTheme="minorHAnsi" w:cstheme="minorBidi"/>
          <w:szCs w:val="22"/>
        </w:rPr>
      </w:pPr>
      <w:r>
        <w:t>33.</w:t>
      </w:r>
      <w:r>
        <w:tab/>
        <w:t>Completing execution of warrant after temporary cessation</w:t>
      </w:r>
      <w:r>
        <w:tab/>
      </w:r>
      <w:r>
        <w:fldChar w:fldCharType="begin"/>
      </w:r>
      <w:r>
        <w:instrText xml:space="preserve"> PAGEREF _Toc153887484 \h </w:instrText>
      </w:r>
      <w:r>
        <w:fldChar w:fldCharType="separate"/>
      </w:r>
      <w:r>
        <w:t>36</w:t>
      </w:r>
      <w:r>
        <w:fldChar w:fldCharType="end"/>
      </w:r>
    </w:p>
    <w:p>
      <w:pPr>
        <w:pStyle w:val="TOC8"/>
        <w:rPr>
          <w:rFonts w:asciiTheme="minorHAnsi" w:eastAsiaTheme="minorEastAsia" w:hAnsiTheme="minorHAnsi" w:cstheme="minorBidi"/>
          <w:szCs w:val="22"/>
        </w:rPr>
      </w:pPr>
      <w:r>
        <w:t>34.</w:t>
      </w:r>
      <w:r>
        <w:tab/>
        <w:t>Completing execution of warrant stopped by court order</w:t>
      </w:r>
      <w:r>
        <w:tab/>
      </w:r>
      <w:r>
        <w:fldChar w:fldCharType="begin"/>
      </w:r>
      <w:r>
        <w:instrText xml:space="preserve"> PAGEREF _Toc153887485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3 — Securing things</w:t>
      </w:r>
    </w:p>
    <w:p>
      <w:pPr>
        <w:pStyle w:val="TOC8"/>
        <w:rPr>
          <w:rFonts w:asciiTheme="minorHAnsi" w:eastAsiaTheme="minorEastAsia" w:hAnsiTheme="minorHAnsi" w:cstheme="minorBidi"/>
          <w:szCs w:val="22"/>
        </w:rPr>
      </w:pPr>
      <w:r>
        <w:t>35.</w:t>
      </w:r>
      <w:r>
        <w:tab/>
        <w:t>Electronic equipment may be secured pending expert assistance to operate it</w:t>
      </w:r>
      <w:r>
        <w:tab/>
      </w:r>
      <w:r>
        <w:fldChar w:fldCharType="begin"/>
      </w:r>
      <w:r>
        <w:instrText xml:space="preserve"> PAGEREF _Toc153887487 \h </w:instrText>
      </w:r>
      <w:r>
        <w:fldChar w:fldCharType="separate"/>
      </w:r>
      <w:r>
        <w:t>37</w:t>
      </w:r>
      <w:r>
        <w:fldChar w:fldCharType="end"/>
      </w:r>
    </w:p>
    <w:p>
      <w:pPr>
        <w:pStyle w:val="TOC8"/>
        <w:rPr>
          <w:rFonts w:asciiTheme="minorHAnsi" w:eastAsiaTheme="minorEastAsia" w:hAnsiTheme="minorHAnsi" w:cstheme="minorBidi"/>
          <w:szCs w:val="22"/>
        </w:rPr>
      </w:pPr>
      <w:r>
        <w:lastRenderedPageBreak/>
        <w:t>36.</w:t>
      </w:r>
      <w:r>
        <w:tab/>
        <w:t>Extending period for which something is secured</w:t>
      </w:r>
      <w:r>
        <w:tab/>
      </w:r>
      <w:r>
        <w:fldChar w:fldCharType="begin"/>
      </w:r>
      <w:r>
        <w:instrText xml:space="preserve"> PAGEREF _Toc153887488 \h </w:instrText>
      </w:r>
      <w:r>
        <w:fldChar w:fldCharType="separate"/>
      </w:r>
      <w:r>
        <w:t>38</w:t>
      </w:r>
      <w:r>
        <w:fldChar w:fldCharType="end"/>
      </w:r>
    </w:p>
    <w:p>
      <w:pPr>
        <w:pStyle w:val="TOC8"/>
        <w:rPr>
          <w:rFonts w:asciiTheme="minorHAnsi" w:eastAsiaTheme="minorEastAsia" w:hAnsiTheme="minorHAnsi" w:cstheme="minorBidi"/>
          <w:szCs w:val="22"/>
        </w:rPr>
      </w:pPr>
      <w:r>
        <w:t>37.</w:t>
      </w:r>
      <w:r>
        <w:tab/>
        <w:t>Interfering with securing of things</w:t>
      </w:r>
      <w:r>
        <w:tab/>
      </w:r>
      <w:r>
        <w:fldChar w:fldCharType="begin"/>
      </w:r>
      <w:r>
        <w:instrText xml:space="preserve"> PAGEREF _Toc153887489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Seizing and detaining things</w:t>
      </w:r>
    </w:p>
    <w:p>
      <w:pPr>
        <w:pStyle w:val="TOC8"/>
        <w:rPr>
          <w:rFonts w:asciiTheme="minorHAnsi" w:eastAsiaTheme="minorEastAsia" w:hAnsiTheme="minorHAnsi" w:cstheme="minorBidi"/>
          <w:szCs w:val="22"/>
        </w:rPr>
      </w:pPr>
      <w:r>
        <w:t>38.</w:t>
      </w:r>
      <w:r>
        <w:tab/>
        <w:t>Copies of seized things to be provided</w:t>
      </w:r>
      <w:r>
        <w:tab/>
      </w:r>
      <w:r>
        <w:fldChar w:fldCharType="begin"/>
      </w:r>
      <w:r>
        <w:instrText xml:space="preserve"> PAGEREF _Toc153887491 \h </w:instrText>
      </w:r>
      <w:r>
        <w:fldChar w:fldCharType="separate"/>
      </w:r>
      <w:r>
        <w:t>39</w:t>
      </w:r>
      <w:r>
        <w:fldChar w:fldCharType="end"/>
      </w:r>
    </w:p>
    <w:p>
      <w:pPr>
        <w:pStyle w:val="TOC8"/>
        <w:rPr>
          <w:rFonts w:asciiTheme="minorHAnsi" w:eastAsiaTheme="minorEastAsia" w:hAnsiTheme="minorHAnsi" w:cstheme="minorBidi"/>
          <w:szCs w:val="22"/>
        </w:rPr>
      </w:pPr>
      <w:r>
        <w:t>39.</w:t>
      </w:r>
      <w:r>
        <w:tab/>
        <w:t>Receipts for seized things</w:t>
      </w:r>
      <w:r>
        <w:tab/>
      </w:r>
      <w:r>
        <w:fldChar w:fldCharType="begin"/>
      </w:r>
      <w:r>
        <w:instrText xml:space="preserve"> PAGEREF _Toc153887492 \h </w:instrText>
      </w:r>
      <w:r>
        <w:fldChar w:fldCharType="separate"/>
      </w:r>
      <w:r>
        <w:t>39</w:t>
      </w:r>
      <w:r>
        <w:fldChar w:fldCharType="end"/>
      </w:r>
    </w:p>
    <w:p>
      <w:pPr>
        <w:pStyle w:val="TOC8"/>
        <w:rPr>
          <w:rFonts w:asciiTheme="minorHAnsi" w:eastAsiaTheme="minorEastAsia" w:hAnsiTheme="minorHAnsi" w:cstheme="minorBidi"/>
          <w:szCs w:val="22"/>
        </w:rPr>
      </w:pPr>
      <w:r>
        <w:t>40.</w:t>
      </w:r>
      <w:r>
        <w:tab/>
        <w:t>Return of seized things</w:t>
      </w:r>
      <w:r>
        <w:tab/>
      </w:r>
      <w:r>
        <w:fldChar w:fldCharType="begin"/>
      </w:r>
      <w:r>
        <w:instrText xml:space="preserve"> PAGEREF _Toc153887493 \h </w:instrText>
      </w:r>
      <w:r>
        <w:fldChar w:fldCharType="separate"/>
      </w:r>
      <w:r>
        <w:t>40</w:t>
      </w:r>
      <w:r>
        <w:fldChar w:fldCharType="end"/>
      </w:r>
    </w:p>
    <w:p>
      <w:pPr>
        <w:pStyle w:val="TOC8"/>
        <w:rPr>
          <w:rFonts w:asciiTheme="minorHAnsi" w:eastAsiaTheme="minorEastAsia" w:hAnsiTheme="minorHAnsi" w:cstheme="minorBidi"/>
          <w:szCs w:val="22"/>
        </w:rPr>
      </w:pPr>
      <w:r>
        <w:t>41.</w:t>
      </w:r>
      <w:r>
        <w:tab/>
        <w:t>Judicial officer may permit seized things to be retained</w:t>
      </w:r>
      <w:r>
        <w:tab/>
      </w:r>
      <w:r>
        <w:fldChar w:fldCharType="begin"/>
      </w:r>
      <w:r>
        <w:instrText xml:space="preserve"> PAGEREF _Toc153887494 \h </w:instrText>
      </w:r>
      <w:r>
        <w:fldChar w:fldCharType="separate"/>
      </w:r>
      <w:r>
        <w:t>41</w:t>
      </w:r>
      <w:r>
        <w:fldChar w:fldCharType="end"/>
      </w:r>
    </w:p>
    <w:p>
      <w:pPr>
        <w:pStyle w:val="TOC8"/>
        <w:rPr>
          <w:rFonts w:asciiTheme="minorHAnsi" w:eastAsiaTheme="minorEastAsia" w:hAnsiTheme="minorHAnsi" w:cstheme="minorBidi"/>
          <w:szCs w:val="22"/>
        </w:rPr>
      </w:pPr>
      <w:r>
        <w:t>42.</w:t>
      </w:r>
      <w:r>
        <w:tab/>
        <w:t>Forfeiture and disposal of seized things</w:t>
      </w:r>
      <w:r>
        <w:tab/>
      </w:r>
      <w:r>
        <w:fldChar w:fldCharType="begin"/>
      </w:r>
      <w:r>
        <w:instrText xml:space="preserve"> PAGEREF _Toc153887495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3 — Marine powers and duties</w:t>
      </w:r>
    </w:p>
    <w:p>
      <w:pPr>
        <w:pStyle w:val="TOC8"/>
        <w:rPr>
          <w:rFonts w:asciiTheme="minorHAnsi" w:eastAsiaTheme="minorEastAsia" w:hAnsiTheme="minorHAnsi" w:cstheme="minorBidi"/>
          <w:szCs w:val="22"/>
        </w:rPr>
      </w:pPr>
      <w:r>
        <w:t>57</w:t>
      </w:r>
      <w:r>
        <w:rPr>
          <w:snapToGrid w:val="0"/>
        </w:rPr>
        <w:t>.</w:t>
      </w:r>
      <w:r>
        <w:rPr>
          <w:snapToGrid w:val="0"/>
        </w:rPr>
        <w:tab/>
        <w:t>General powers to stop and search vessels</w:t>
      </w:r>
      <w:r>
        <w:tab/>
      </w:r>
      <w:r>
        <w:fldChar w:fldCharType="begin"/>
      </w:r>
      <w:r>
        <w:instrText xml:space="preserve"> PAGEREF _Toc153887497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 to inspect logs and muster crew</w:t>
      </w:r>
      <w:r>
        <w:tab/>
      </w:r>
      <w:r>
        <w:fldChar w:fldCharType="begin"/>
      </w:r>
      <w:r>
        <w:instrText xml:space="preserve"> PAGEREF _Toc153887498 \h </w:instrText>
      </w:r>
      <w:r>
        <w:fldChar w:fldCharType="separate"/>
      </w:r>
      <w:r>
        <w:t>44</w:t>
      </w:r>
      <w:r>
        <w:fldChar w:fldCharType="end"/>
      </w:r>
    </w:p>
    <w:p>
      <w:pPr>
        <w:pStyle w:val="TOC8"/>
        <w:rPr>
          <w:rFonts w:asciiTheme="minorHAnsi" w:eastAsiaTheme="minorEastAsia" w:hAnsiTheme="minorHAnsi" w:cstheme="minorBidi"/>
          <w:szCs w:val="22"/>
        </w:rPr>
      </w:pPr>
      <w:r>
        <w:t>58A</w:t>
      </w:r>
      <w:r>
        <w:rPr>
          <w:snapToGrid w:val="0"/>
        </w:rPr>
        <w:t>.</w:t>
      </w:r>
      <w:r>
        <w:rPr>
          <w:snapToGrid w:val="0"/>
        </w:rPr>
        <w:tab/>
        <w:t>Compensation in respect of false distress signals</w:t>
      </w:r>
      <w:r>
        <w:tab/>
      </w:r>
      <w:r>
        <w:fldChar w:fldCharType="begin"/>
      </w:r>
      <w:r>
        <w:instrText xml:space="preserve"> PAGEREF _Toc153887499 \h </w:instrText>
      </w:r>
      <w:r>
        <w:fldChar w:fldCharType="separate"/>
      </w:r>
      <w:r>
        <w:t>44</w:t>
      </w:r>
      <w:r>
        <w:fldChar w:fldCharType="end"/>
      </w:r>
    </w:p>
    <w:p>
      <w:pPr>
        <w:pStyle w:val="TOC8"/>
        <w:rPr>
          <w:rFonts w:asciiTheme="minorHAnsi" w:eastAsiaTheme="minorEastAsia" w:hAnsiTheme="minorHAnsi" w:cstheme="minorBidi"/>
          <w:szCs w:val="22"/>
        </w:rPr>
      </w:pPr>
      <w:r>
        <w:t>58B</w:t>
      </w:r>
      <w:r>
        <w:rPr>
          <w:snapToGrid w:val="0"/>
        </w:rPr>
        <w:t>.</w:t>
      </w:r>
      <w:r>
        <w:rPr>
          <w:snapToGrid w:val="0"/>
        </w:rPr>
        <w:tab/>
        <w:t>Offence to take unsafe ship to sea</w:t>
      </w:r>
      <w:r>
        <w:tab/>
      </w:r>
      <w:r>
        <w:fldChar w:fldCharType="begin"/>
      </w:r>
      <w:r>
        <w:instrText xml:space="preserve"> PAGEREF _Toc153887500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Penalty for unlawfully assuming control</w:t>
      </w:r>
      <w:r>
        <w:tab/>
      </w:r>
      <w:r>
        <w:fldChar w:fldCharType="begin"/>
      </w:r>
      <w:r>
        <w:instrText xml:space="preserve"> PAGEREF _Toc153887501 \h </w:instrText>
      </w:r>
      <w:r>
        <w:fldChar w:fldCharType="separate"/>
      </w:r>
      <w:r>
        <w:t>46</w:t>
      </w:r>
      <w:r>
        <w:fldChar w:fldCharType="end"/>
      </w:r>
    </w:p>
    <w:p>
      <w:pPr>
        <w:pStyle w:val="TOC8"/>
        <w:rPr>
          <w:rFonts w:asciiTheme="minorHAnsi" w:eastAsiaTheme="minorEastAsia" w:hAnsiTheme="minorHAnsi" w:cstheme="minorBidi"/>
          <w:szCs w:val="22"/>
        </w:rPr>
      </w:pPr>
      <w:r>
        <w:t>61.</w:t>
      </w:r>
      <w:r>
        <w:tab/>
        <w:t>Power to detain unsafe pleasure or prescribed vessels</w:t>
      </w:r>
      <w:r>
        <w:tab/>
      </w:r>
      <w:r>
        <w:fldChar w:fldCharType="begin"/>
      </w:r>
      <w:r>
        <w:instrText xml:space="preserve"> PAGEREF _Toc153887502 \h </w:instrText>
      </w:r>
      <w:r>
        <w:fldChar w:fldCharType="separate"/>
      </w:r>
      <w:r>
        <w:t>46</w:t>
      </w:r>
      <w:r>
        <w:fldChar w:fldCharType="end"/>
      </w:r>
    </w:p>
    <w:p>
      <w:pPr>
        <w:pStyle w:val="TOC8"/>
        <w:rPr>
          <w:rFonts w:asciiTheme="minorHAnsi" w:eastAsiaTheme="minorEastAsia" w:hAnsiTheme="minorHAnsi" w:cstheme="minorBidi"/>
          <w:szCs w:val="22"/>
        </w:rPr>
      </w:pPr>
      <w:r>
        <w:t>62.</w:t>
      </w:r>
      <w:r>
        <w:tab/>
        <w:t>Detained vessels: unauthorised operation</w:t>
      </w:r>
      <w:r>
        <w:tab/>
      </w:r>
      <w:r>
        <w:fldChar w:fldCharType="begin"/>
      </w:r>
      <w:r>
        <w:instrText xml:space="preserve"> PAGEREF _Toc153887503 \h </w:instrText>
      </w:r>
      <w:r>
        <w:fldChar w:fldCharType="separate"/>
      </w:r>
      <w:r>
        <w:t>47</w:t>
      </w:r>
      <w:r>
        <w:fldChar w:fldCharType="end"/>
      </w:r>
    </w:p>
    <w:p>
      <w:pPr>
        <w:pStyle w:val="TOC8"/>
        <w:rPr>
          <w:rFonts w:asciiTheme="minorHAnsi" w:eastAsiaTheme="minorEastAsia" w:hAnsiTheme="minorHAnsi" w:cstheme="minorBidi"/>
          <w:szCs w:val="22"/>
        </w:rPr>
      </w:pPr>
      <w:r>
        <w:t>63.</w:t>
      </w:r>
      <w:r>
        <w:tab/>
        <w:t>Detained vessels: inspection</w:t>
      </w:r>
      <w:r>
        <w:tab/>
      </w:r>
      <w:r>
        <w:fldChar w:fldCharType="begin"/>
      </w:r>
      <w:r>
        <w:instrText xml:space="preserve"> PAGEREF _Toc153887504 \h </w:instrText>
      </w:r>
      <w:r>
        <w:fldChar w:fldCharType="separate"/>
      </w:r>
      <w:r>
        <w:t>48</w:t>
      </w:r>
      <w:r>
        <w:fldChar w:fldCharType="end"/>
      </w:r>
    </w:p>
    <w:p>
      <w:pPr>
        <w:pStyle w:val="TOC8"/>
        <w:rPr>
          <w:rFonts w:asciiTheme="minorHAnsi" w:eastAsiaTheme="minorEastAsia" w:hAnsiTheme="minorHAnsi" w:cstheme="minorBidi"/>
          <w:szCs w:val="22"/>
        </w:rPr>
      </w:pPr>
      <w:r>
        <w:t>63A.</w:t>
      </w:r>
      <w:r>
        <w:tab/>
        <w:t>Detained vessels: return</w:t>
      </w:r>
      <w:r>
        <w:tab/>
      </w:r>
      <w:r>
        <w:fldChar w:fldCharType="begin"/>
      </w:r>
      <w:r>
        <w:instrText xml:space="preserve"> PAGEREF _Toc153887505 \h </w:instrText>
      </w:r>
      <w:r>
        <w:fldChar w:fldCharType="separate"/>
      </w:r>
      <w:r>
        <w:t>49</w:t>
      </w:r>
      <w:r>
        <w:fldChar w:fldCharType="end"/>
      </w:r>
    </w:p>
    <w:p>
      <w:pPr>
        <w:pStyle w:val="TOC8"/>
        <w:rPr>
          <w:rFonts w:asciiTheme="minorHAnsi" w:eastAsiaTheme="minorEastAsia" w:hAnsiTheme="minorHAnsi" w:cstheme="minorBidi"/>
          <w:szCs w:val="22"/>
        </w:rPr>
      </w:pPr>
      <w:r>
        <w:t>63B.</w:t>
      </w:r>
      <w:r>
        <w:tab/>
        <w:t>Detained vessels: forfeiture and disposal</w:t>
      </w:r>
      <w:r>
        <w:tab/>
      </w:r>
      <w:r>
        <w:fldChar w:fldCharType="begin"/>
      </w:r>
      <w:r>
        <w:instrText xml:space="preserve"> PAGEREF _Toc153887506 \h </w:instrText>
      </w:r>
      <w:r>
        <w:fldChar w:fldCharType="separate"/>
      </w:r>
      <w:r>
        <w:t>49</w:t>
      </w:r>
      <w:r>
        <w:fldChar w:fldCharType="end"/>
      </w:r>
    </w:p>
    <w:p>
      <w:pPr>
        <w:pStyle w:val="TOC8"/>
        <w:rPr>
          <w:rFonts w:asciiTheme="minorHAnsi" w:eastAsiaTheme="minorEastAsia" w:hAnsiTheme="minorHAnsi" w:cstheme="minorBidi"/>
          <w:szCs w:val="22"/>
        </w:rPr>
      </w:pPr>
      <w:r>
        <w:t>63C.</w:t>
      </w:r>
      <w:r>
        <w:tab/>
        <w:t>SAT review of decision to detain vessel or forfeiture declaration</w:t>
      </w:r>
      <w:r>
        <w:tab/>
      </w:r>
      <w:r>
        <w:fldChar w:fldCharType="begin"/>
      </w:r>
      <w:r>
        <w:instrText xml:space="preserve"> PAGEREF _Toc153887507 \h </w:instrText>
      </w:r>
      <w:r>
        <w:fldChar w:fldCharType="separate"/>
      </w:r>
      <w:r>
        <w:t>50</w:t>
      </w:r>
      <w:r>
        <w:fldChar w:fldCharType="end"/>
      </w:r>
    </w:p>
    <w:p>
      <w:pPr>
        <w:pStyle w:val="TOC8"/>
        <w:rPr>
          <w:rFonts w:asciiTheme="minorHAnsi" w:eastAsiaTheme="minorEastAsia" w:hAnsiTheme="minorHAnsi" w:cstheme="minorBidi"/>
          <w:szCs w:val="22"/>
        </w:rPr>
      </w:pPr>
      <w:r>
        <w:t>64.</w:t>
      </w:r>
      <w:r>
        <w:tab/>
        <w:t>Marine incidents: terms used</w:t>
      </w:r>
      <w:r>
        <w:tab/>
      </w:r>
      <w:r>
        <w:fldChar w:fldCharType="begin"/>
      </w:r>
      <w:r>
        <w:instrText xml:space="preserve"> PAGEREF _Toc153887508 \h </w:instrText>
      </w:r>
      <w:r>
        <w:fldChar w:fldCharType="separate"/>
      </w:r>
      <w:r>
        <w:t>51</w:t>
      </w:r>
      <w:r>
        <w:fldChar w:fldCharType="end"/>
      </w:r>
    </w:p>
    <w:p>
      <w:pPr>
        <w:pStyle w:val="TOC8"/>
        <w:rPr>
          <w:rFonts w:asciiTheme="minorHAnsi" w:eastAsiaTheme="minorEastAsia" w:hAnsiTheme="minorHAnsi" w:cstheme="minorBidi"/>
          <w:szCs w:val="22"/>
        </w:rPr>
      </w:pPr>
      <w:r>
        <w:t>64A.</w:t>
      </w:r>
      <w:r>
        <w:tab/>
        <w:t>Marine incidents: duties</w:t>
      </w:r>
      <w:r>
        <w:tab/>
      </w:r>
      <w:r>
        <w:fldChar w:fldCharType="begin"/>
      </w:r>
      <w:r>
        <w:instrText xml:space="preserve"> PAGEREF _Toc153887509 \h </w:instrText>
      </w:r>
      <w:r>
        <w:fldChar w:fldCharType="separate"/>
      </w:r>
      <w:r>
        <w:t>51</w:t>
      </w:r>
      <w:r>
        <w:fldChar w:fldCharType="end"/>
      </w:r>
    </w:p>
    <w:p>
      <w:pPr>
        <w:pStyle w:val="TOC8"/>
        <w:rPr>
          <w:rFonts w:asciiTheme="minorHAnsi" w:eastAsiaTheme="minorEastAsia" w:hAnsiTheme="minorHAnsi" w:cstheme="minorBidi"/>
          <w:szCs w:val="22"/>
        </w:rPr>
      </w:pPr>
      <w:r>
        <w:t>64B.</w:t>
      </w:r>
      <w:r>
        <w:tab/>
        <w:t>Marine incidents: reporting</w:t>
      </w:r>
      <w:r>
        <w:tab/>
      </w:r>
      <w:r>
        <w:fldChar w:fldCharType="begin"/>
      </w:r>
      <w:r>
        <w:instrText xml:space="preserve"> PAGEREF _Toc153887510 \h </w:instrText>
      </w:r>
      <w:r>
        <w:fldChar w:fldCharType="separate"/>
      </w:r>
      <w:r>
        <w:t>53</w:t>
      </w:r>
      <w:r>
        <w:fldChar w:fldCharType="end"/>
      </w:r>
    </w:p>
    <w:p>
      <w:pPr>
        <w:pStyle w:val="TOC8"/>
        <w:rPr>
          <w:rFonts w:asciiTheme="minorHAnsi" w:eastAsiaTheme="minorEastAsia" w:hAnsiTheme="minorHAnsi" w:cstheme="minorBidi"/>
          <w:szCs w:val="22"/>
        </w:rPr>
      </w:pPr>
      <w:r>
        <w:t>64C.</w:t>
      </w:r>
      <w:r>
        <w:tab/>
        <w:t>Marine incidents: preserving evidence</w:t>
      </w:r>
      <w:r>
        <w:tab/>
      </w:r>
      <w:r>
        <w:fldChar w:fldCharType="begin"/>
      </w:r>
      <w:r>
        <w:instrText xml:space="preserve"> PAGEREF _Toc153887511 \h </w:instrText>
      </w:r>
      <w:r>
        <w:fldChar w:fldCharType="separate"/>
      </w:r>
      <w:r>
        <w:t>55</w:t>
      </w:r>
      <w:r>
        <w:fldChar w:fldCharType="end"/>
      </w:r>
    </w:p>
    <w:p>
      <w:pPr>
        <w:pStyle w:val="TOC8"/>
        <w:rPr>
          <w:rFonts w:asciiTheme="minorHAnsi" w:eastAsiaTheme="minorEastAsia" w:hAnsiTheme="minorHAnsi" w:cstheme="minorBidi"/>
          <w:szCs w:val="22"/>
        </w:rPr>
      </w:pPr>
      <w:r>
        <w:t>64D.</w:t>
      </w:r>
      <w:r>
        <w:tab/>
        <w:t>Marine incidents: power to require responsible person to give information</w:t>
      </w:r>
      <w:r>
        <w:tab/>
      </w:r>
      <w:r>
        <w:fldChar w:fldCharType="begin"/>
      </w:r>
      <w:r>
        <w:instrText xml:space="preserve"> PAGEREF _Toc153887512 \h </w:instrText>
      </w:r>
      <w:r>
        <w:fldChar w:fldCharType="separate"/>
      </w:r>
      <w:r>
        <w:t>56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Mooring licences</w:t>
      </w:r>
      <w:r>
        <w:tab/>
      </w:r>
      <w:r>
        <w:fldChar w:fldCharType="begin"/>
      </w:r>
      <w:r>
        <w:instrText xml:space="preserve"> PAGEREF _Toc153887513 \h </w:instrText>
      </w:r>
      <w:r>
        <w:fldChar w:fldCharType="separate"/>
      </w:r>
      <w:r>
        <w:t>56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r>
      <w:r>
        <w:t>Closure of waters</w:t>
      </w:r>
      <w:r>
        <w:tab/>
      </w:r>
      <w:r>
        <w:fldChar w:fldCharType="begin"/>
      </w:r>
      <w:r>
        <w:instrText xml:space="preserve"> PAGEREF _Toc153887514 \h </w:instrText>
      </w:r>
      <w:r>
        <w:fldChar w:fldCharType="separate"/>
      </w:r>
      <w:r>
        <w:t>57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Limiting speed of vessels</w:t>
      </w:r>
      <w:r>
        <w:tab/>
      </w:r>
      <w:r>
        <w:fldChar w:fldCharType="begin"/>
      </w:r>
      <w:r>
        <w:instrText xml:space="preserve"> PAGEREF _Toc153887515 \h </w:instrText>
      </w:r>
      <w:r>
        <w:fldChar w:fldCharType="separate"/>
      </w:r>
      <w:r>
        <w:t>58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Speed measuring equipment</w:t>
      </w:r>
      <w:r>
        <w:tab/>
      </w:r>
      <w:r>
        <w:fldChar w:fldCharType="begin"/>
      </w:r>
      <w:r>
        <w:instrText xml:space="preserve"> PAGEREF _Toc153887516 \h </w:instrText>
      </w:r>
      <w:r>
        <w:fldChar w:fldCharType="separate"/>
      </w:r>
      <w:r>
        <w:t>59</w:t>
      </w:r>
      <w:r>
        <w:fldChar w:fldCharType="end"/>
      </w:r>
    </w:p>
    <w:p>
      <w:pPr>
        <w:pStyle w:val="TOC8"/>
        <w:rPr>
          <w:rFonts w:asciiTheme="minorHAnsi" w:eastAsiaTheme="minorEastAsia" w:hAnsiTheme="minorHAnsi" w:cstheme="minorBidi"/>
          <w:szCs w:val="22"/>
        </w:rPr>
      </w:pPr>
      <w:r>
        <w:t>69.</w:t>
      </w:r>
      <w:r>
        <w:tab/>
        <w:t>Offences relating to hatches</w:t>
      </w:r>
      <w:r>
        <w:tab/>
      </w:r>
      <w:r>
        <w:fldChar w:fldCharType="begin"/>
      </w:r>
      <w:r>
        <w:instrText xml:space="preserve"> PAGEREF _Toc153887517 \h </w:instrText>
      </w:r>
      <w:r>
        <w:fldChar w:fldCharType="separate"/>
      </w:r>
      <w:r>
        <w:t>60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r>
      <w:r>
        <w:t>Offence of being on board vessel unlawfully</w:t>
      </w:r>
      <w:r>
        <w:tab/>
      </w:r>
      <w:r>
        <w:fldChar w:fldCharType="begin"/>
      </w:r>
      <w:r>
        <w:instrText xml:space="preserve"> PAGEREF _Toc153887518 \h </w:instrText>
      </w:r>
      <w:r>
        <w:fldChar w:fldCharType="separate"/>
      </w:r>
      <w:r>
        <w:t>60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Removal of vessels constituting hazards or obstructions</w:t>
      </w:r>
      <w:r>
        <w:tab/>
      </w:r>
      <w:r>
        <w:fldChar w:fldCharType="begin"/>
      </w:r>
      <w:r>
        <w:instrText xml:space="preserve"> PAGEREF _Toc153887519 \h </w:instrText>
      </w:r>
      <w:r>
        <w:fldChar w:fldCharType="separate"/>
      </w:r>
      <w:r>
        <w:t>60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Offences in relation to disorderly persons on passenger ships</w:t>
      </w:r>
      <w:r>
        <w:tab/>
      </w:r>
      <w:r>
        <w:fldChar w:fldCharType="begin"/>
      </w:r>
      <w:r>
        <w:instrText xml:space="preserve"> PAGEREF _Toc153887520 \h </w:instrText>
      </w:r>
      <w:r>
        <w:fldChar w:fldCharType="separate"/>
      </w:r>
      <w:r>
        <w:t>62</w:t>
      </w:r>
      <w:r>
        <w:fldChar w:fldCharType="end"/>
      </w:r>
    </w:p>
    <w:p>
      <w:pPr>
        <w:pStyle w:val="TOC8"/>
        <w:rPr>
          <w:rFonts w:asciiTheme="minorHAnsi" w:eastAsiaTheme="minorEastAsia" w:hAnsiTheme="minorHAnsi" w:cstheme="minorBidi"/>
          <w:szCs w:val="22"/>
        </w:rPr>
      </w:pPr>
      <w:r>
        <w:lastRenderedPageBreak/>
        <w:t>73</w:t>
      </w:r>
      <w:r>
        <w:rPr>
          <w:snapToGrid w:val="0"/>
        </w:rPr>
        <w:t>.</w:t>
      </w:r>
      <w:r>
        <w:rPr>
          <w:snapToGrid w:val="0"/>
        </w:rPr>
        <w:tab/>
        <w:t>Offences in relation to interference with machinery or obstruction of crew</w:t>
      </w:r>
      <w:r>
        <w:tab/>
      </w:r>
      <w:r>
        <w:fldChar w:fldCharType="begin"/>
      </w:r>
      <w:r>
        <w:instrText xml:space="preserve"> PAGEREF _Toc153887521 \h </w:instrText>
      </w:r>
      <w:r>
        <w:fldChar w:fldCharType="separate"/>
      </w:r>
      <w:r>
        <w:t>64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Penalty for refusing to give name and address etc.</w:t>
      </w:r>
      <w:r>
        <w:tab/>
      </w:r>
      <w:r>
        <w:fldChar w:fldCharType="begin"/>
      </w:r>
      <w:r>
        <w:instrText xml:space="preserve"> PAGEREF _Toc153887522 \h </w:instrText>
      </w:r>
      <w:r>
        <w:fldChar w:fldCharType="separate"/>
      </w:r>
      <w:r>
        <w:t>64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Arrest of offenders on passenger ships</w:t>
      </w:r>
      <w:r>
        <w:tab/>
      </w:r>
      <w:r>
        <w:fldChar w:fldCharType="begin"/>
      </w:r>
      <w:r>
        <w:instrText xml:space="preserve"> PAGEREF _Toc153887523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Safe navigation of vessels, and alcohol and drug related offences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75A.</w:t>
      </w:r>
      <w:r>
        <w:tab/>
        <w:t>Terms used</w:t>
      </w:r>
      <w:r>
        <w:tab/>
      </w:r>
      <w:r>
        <w:fldChar w:fldCharType="begin"/>
      </w:r>
      <w:r>
        <w:instrText xml:space="preserve"> PAGEREF _Toc153887526 \h </w:instrText>
      </w:r>
      <w:r>
        <w:fldChar w:fldCharType="separate"/>
      </w:r>
      <w:r>
        <w:t>65</w:t>
      </w:r>
      <w:r>
        <w:fldChar w:fldCharType="end"/>
      </w:r>
    </w:p>
    <w:p>
      <w:pPr>
        <w:pStyle w:val="TOC8"/>
        <w:rPr>
          <w:rFonts w:asciiTheme="minorHAnsi" w:eastAsiaTheme="minorEastAsia" w:hAnsiTheme="minorHAnsi" w:cstheme="minorBidi"/>
          <w:szCs w:val="22"/>
        </w:rPr>
      </w:pPr>
      <w:r>
        <w:t>75AA.</w:t>
      </w:r>
      <w:r>
        <w:tab/>
        <w:t>When individual operates or navigates vessel</w:t>
      </w:r>
      <w:r>
        <w:tab/>
      </w:r>
      <w:r>
        <w:fldChar w:fldCharType="begin"/>
      </w:r>
      <w:r>
        <w:instrText xml:space="preserve"> PAGEREF _Toc153887527 \h </w:instrText>
      </w:r>
      <w:r>
        <w:fldChar w:fldCharType="separate"/>
      </w:r>
      <w:r>
        <w:t>65</w:t>
      </w:r>
      <w:r>
        <w:fldChar w:fldCharType="end"/>
      </w:r>
    </w:p>
    <w:p>
      <w:pPr>
        <w:pStyle w:val="TOC8"/>
        <w:rPr>
          <w:rFonts w:asciiTheme="minorHAnsi" w:eastAsiaTheme="minorEastAsia" w:hAnsiTheme="minorHAnsi" w:cstheme="minorBidi"/>
          <w:szCs w:val="22"/>
        </w:rPr>
      </w:pPr>
      <w:r>
        <w:t>75AB.</w:t>
      </w:r>
      <w:r>
        <w:tab/>
        <w:t>When vessel is involved in incident</w:t>
      </w:r>
      <w:r>
        <w:tab/>
      </w:r>
      <w:r>
        <w:fldChar w:fldCharType="begin"/>
      </w:r>
      <w:r>
        <w:instrText xml:space="preserve"> PAGEREF _Toc153887528 \h </w:instrText>
      </w:r>
      <w:r>
        <w:fldChar w:fldCharType="separate"/>
      </w:r>
      <w:r>
        <w:t>66</w:t>
      </w:r>
      <w:r>
        <w:fldChar w:fldCharType="end"/>
      </w:r>
    </w:p>
    <w:p>
      <w:pPr>
        <w:pStyle w:val="TOC8"/>
        <w:rPr>
          <w:rFonts w:asciiTheme="minorHAnsi" w:eastAsiaTheme="minorEastAsia" w:hAnsiTheme="minorHAnsi" w:cstheme="minorBidi"/>
          <w:szCs w:val="22"/>
        </w:rPr>
      </w:pPr>
      <w:r>
        <w:t>75AC.</w:t>
      </w:r>
      <w:r>
        <w:tab/>
        <w:t>Person taken to be in command or charge of vessel for purposes of Parts 3A and 3B</w:t>
      </w:r>
      <w:r>
        <w:tab/>
      </w:r>
      <w:r>
        <w:fldChar w:fldCharType="begin"/>
      </w:r>
      <w:r>
        <w:instrText xml:space="preserve"> PAGEREF _Toc153887529 \h </w:instrText>
      </w:r>
      <w:r>
        <w:fldChar w:fldCharType="separate"/>
      </w:r>
      <w:r>
        <w:t>66</w:t>
      </w:r>
      <w:r>
        <w:fldChar w:fldCharType="end"/>
      </w:r>
    </w:p>
    <w:p>
      <w:pPr>
        <w:pStyle w:val="TOC8"/>
        <w:rPr>
          <w:rFonts w:asciiTheme="minorHAnsi" w:eastAsiaTheme="minorEastAsia" w:hAnsiTheme="minorHAnsi" w:cstheme="minorBidi"/>
          <w:szCs w:val="22"/>
        </w:rPr>
      </w:pPr>
      <w:r>
        <w:t>75AD.</w:t>
      </w:r>
      <w:r>
        <w:tab/>
        <w:t>Person is incapable of having proper control of vessel</w:t>
      </w:r>
      <w:r>
        <w:tab/>
      </w:r>
      <w:r>
        <w:fldChar w:fldCharType="begin"/>
      </w:r>
      <w:r>
        <w:instrText xml:space="preserve"> PAGEREF _Toc153887530 \h </w:instrText>
      </w:r>
      <w:r>
        <w:fldChar w:fldCharType="separate"/>
      </w:r>
      <w:r>
        <w:t>67</w:t>
      </w:r>
      <w:r>
        <w:fldChar w:fldCharType="end"/>
      </w:r>
    </w:p>
    <w:p>
      <w:pPr>
        <w:pStyle w:val="TOC8"/>
        <w:rPr>
          <w:rFonts w:asciiTheme="minorHAnsi" w:eastAsiaTheme="minorEastAsia" w:hAnsiTheme="minorHAnsi" w:cstheme="minorBidi"/>
          <w:szCs w:val="22"/>
        </w:rPr>
      </w:pPr>
      <w:r>
        <w:t>75AE.</w:t>
      </w:r>
      <w:r>
        <w:tab/>
        <w:t>Person with BAC of 0.15 or above taken to be incapable of proper control</w:t>
      </w:r>
      <w:r>
        <w:tab/>
      </w:r>
      <w:r>
        <w:fldChar w:fldCharType="begin"/>
      </w:r>
      <w:r>
        <w:instrText xml:space="preserve"> PAGEREF _Toc153887531 \h </w:instrText>
      </w:r>
      <w:r>
        <w:fldChar w:fldCharType="separate"/>
      </w:r>
      <w:r>
        <w:t>68</w:t>
      </w:r>
      <w:r>
        <w:fldChar w:fldCharType="end"/>
      </w:r>
    </w:p>
    <w:p>
      <w:pPr>
        <w:pStyle w:val="TOC8"/>
        <w:rPr>
          <w:rFonts w:asciiTheme="minorHAnsi" w:eastAsiaTheme="minorEastAsia" w:hAnsiTheme="minorHAnsi" w:cstheme="minorBidi"/>
          <w:szCs w:val="22"/>
        </w:rPr>
      </w:pPr>
      <w:r>
        <w:t>75AF.</w:t>
      </w:r>
      <w:r>
        <w:tab/>
        <w:t>Circumstances of aggravation</w:t>
      </w:r>
      <w:r>
        <w:tab/>
      </w:r>
      <w:r>
        <w:fldChar w:fldCharType="begin"/>
      </w:r>
      <w:r>
        <w:instrText xml:space="preserve"> PAGEREF _Toc153887532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Safe navigation of vessels and alcohol and drug related offences</w:t>
      </w:r>
    </w:p>
    <w:p>
      <w:pPr>
        <w:pStyle w:val="TOC6"/>
        <w:tabs>
          <w:tab w:val="right" w:leader="dot" w:pos="7077"/>
        </w:tabs>
        <w:rPr>
          <w:rFonts w:asciiTheme="minorHAnsi" w:eastAsiaTheme="minorEastAsia" w:hAnsiTheme="minorHAnsi" w:cstheme="minorBidi"/>
          <w:b w:val="0"/>
          <w:sz w:val="22"/>
          <w:szCs w:val="22"/>
        </w:rPr>
      </w:pPr>
      <w:r>
        <w:t>Subdivision 1 — Dangerous navigation of vessels occasioning death, grievous bodily harm or bodily harm</w:t>
      </w:r>
    </w:p>
    <w:p>
      <w:pPr>
        <w:pStyle w:val="TOC8"/>
        <w:rPr>
          <w:rFonts w:asciiTheme="minorHAnsi" w:eastAsiaTheme="minorEastAsia" w:hAnsiTheme="minorHAnsi" w:cstheme="minorBidi"/>
          <w:szCs w:val="22"/>
        </w:rPr>
      </w:pPr>
      <w:r>
        <w:t>75B.</w:t>
      </w:r>
      <w:r>
        <w:tab/>
        <w:t>Dangerous navigation of vessel occasioning death</w:t>
      </w:r>
      <w:r>
        <w:tab/>
      </w:r>
      <w:r>
        <w:fldChar w:fldCharType="begin"/>
      </w:r>
      <w:r>
        <w:instrText xml:space="preserve"> PAGEREF _Toc153887535 \h </w:instrText>
      </w:r>
      <w:r>
        <w:fldChar w:fldCharType="separate"/>
      </w:r>
      <w:r>
        <w:t>69</w:t>
      </w:r>
      <w:r>
        <w:fldChar w:fldCharType="end"/>
      </w:r>
    </w:p>
    <w:p>
      <w:pPr>
        <w:pStyle w:val="TOC8"/>
        <w:rPr>
          <w:rFonts w:asciiTheme="minorHAnsi" w:eastAsiaTheme="minorEastAsia" w:hAnsiTheme="minorHAnsi" w:cstheme="minorBidi"/>
          <w:szCs w:val="22"/>
        </w:rPr>
      </w:pPr>
      <w:r>
        <w:t>75BA.</w:t>
      </w:r>
      <w:r>
        <w:tab/>
        <w:t>Dangerous navigation of vessel occasioning grievous bodily harm</w:t>
      </w:r>
      <w:r>
        <w:tab/>
      </w:r>
      <w:r>
        <w:fldChar w:fldCharType="begin"/>
      </w:r>
      <w:r>
        <w:instrText xml:space="preserve"> PAGEREF _Toc153887536 \h </w:instrText>
      </w:r>
      <w:r>
        <w:fldChar w:fldCharType="separate"/>
      </w:r>
      <w:r>
        <w:t>71</w:t>
      </w:r>
      <w:r>
        <w:fldChar w:fldCharType="end"/>
      </w:r>
    </w:p>
    <w:p>
      <w:pPr>
        <w:pStyle w:val="TOC8"/>
        <w:rPr>
          <w:rFonts w:asciiTheme="minorHAnsi" w:eastAsiaTheme="minorEastAsia" w:hAnsiTheme="minorHAnsi" w:cstheme="minorBidi"/>
          <w:szCs w:val="22"/>
        </w:rPr>
      </w:pPr>
      <w:r>
        <w:t>75BB.</w:t>
      </w:r>
      <w:r>
        <w:tab/>
        <w:t>Dangerous navigation of vessel occasioning bodily harm</w:t>
      </w:r>
      <w:r>
        <w:tab/>
      </w:r>
      <w:r>
        <w:fldChar w:fldCharType="begin"/>
      </w:r>
      <w:r>
        <w:instrText xml:space="preserve"> PAGEREF _Toc153887537 \h </w:instrText>
      </w:r>
      <w:r>
        <w:fldChar w:fldCharType="separate"/>
      </w:r>
      <w:r>
        <w:t>73</w:t>
      </w:r>
      <w:r>
        <w:fldChar w:fldCharType="end"/>
      </w:r>
    </w:p>
    <w:p>
      <w:pPr>
        <w:pStyle w:val="TOC8"/>
        <w:rPr>
          <w:rFonts w:asciiTheme="minorHAnsi" w:eastAsiaTheme="minorEastAsia" w:hAnsiTheme="minorHAnsi" w:cstheme="minorBidi"/>
          <w:szCs w:val="22"/>
        </w:rPr>
      </w:pPr>
      <w:r>
        <w:t>75BC.</w:t>
      </w:r>
      <w:r>
        <w:tab/>
        <w:t>Careless navigation of vessel occasioning death, grievous bodily harm or bodily harm</w:t>
      </w:r>
      <w:r>
        <w:tab/>
      </w:r>
      <w:r>
        <w:fldChar w:fldCharType="begin"/>
      </w:r>
      <w:r>
        <w:instrText xml:space="preserve"> PAGEREF _Toc153887538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Reckless, dangerous and careless navigation of vessels</w:t>
      </w:r>
    </w:p>
    <w:p>
      <w:pPr>
        <w:pStyle w:val="TOC8"/>
        <w:rPr>
          <w:rFonts w:asciiTheme="minorHAnsi" w:eastAsiaTheme="minorEastAsia" w:hAnsiTheme="minorHAnsi" w:cstheme="minorBidi"/>
          <w:szCs w:val="22"/>
        </w:rPr>
      </w:pPr>
      <w:r>
        <w:t>75BD.</w:t>
      </w:r>
      <w:r>
        <w:tab/>
        <w:t>Reckless navigation of vessel</w:t>
      </w:r>
      <w:r>
        <w:tab/>
      </w:r>
      <w:r>
        <w:fldChar w:fldCharType="begin"/>
      </w:r>
      <w:r>
        <w:instrText xml:space="preserve"> PAGEREF _Toc153887540 \h </w:instrText>
      </w:r>
      <w:r>
        <w:fldChar w:fldCharType="separate"/>
      </w:r>
      <w:r>
        <w:t>76</w:t>
      </w:r>
      <w:r>
        <w:fldChar w:fldCharType="end"/>
      </w:r>
    </w:p>
    <w:p>
      <w:pPr>
        <w:pStyle w:val="TOC8"/>
        <w:rPr>
          <w:rFonts w:asciiTheme="minorHAnsi" w:eastAsiaTheme="minorEastAsia" w:hAnsiTheme="minorHAnsi" w:cstheme="minorBidi"/>
          <w:szCs w:val="22"/>
        </w:rPr>
      </w:pPr>
      <w:r>
        <w:t>75BE.</w:t>
      </w:r>
      <w:r>
        <w:tab/>
        <w:t>Dangerous navigation of vessel</w:t>
      </w:r>
      <w:r>
        <w:tab/>
      </w:r>
      <w:r>
        <w:fldChar w:fldCharType="begin"/>
      </w:r>
      <w:r>
        <w:instrText xml:space="preserve"> PAGEREF _Toc153887541 \h </w:instrText>
      </w:r>
      <w:r>
        <w:fldChar w:fldCharType="separate"/>
      </w:r>
      <w:r>
        <w:t>77</w:t>
      </w:r>
      <w:r>
        <w:fldChar w:fldCharType="end"/>
      </w:r>
    </w:p>
    <w:p>
      <w:pPr>
        <w:pStyle w:val="TOC8"/>
        <w:rPr>
          <w:rFonts w:asciiTheme="minorHAnsi" w:eastAsiaTheme="minorEastAsia" w:hAnsiTheme="minorHAnsi" w:cstheme="minorBidi"/>
          <w:szCs w:val="22"/>
        </w:rPr>
      </w:pPr>
      <w:r>
        <w:t>75BF.</w:t>
      </w:r>
      <w:r>
        <w:tab/>
        <w:t>Careless navigation of vessel</w:t>
      </w:r>
      <w:r>
        <w:tab/>
      </w:r>
      <w:r>
        <w:fldChar w:fldCharType="begin"/>
      </w:r>
      <w:r>
        <w:instrText xml:space="preserve"> PAGEREF _Toc153887542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relating to offences in Subdivisions 1 and 2</w:t>
      </w:r>
    </w:p>
    <w:p>
      <w:pPr>
        <w:pStyle w:val="TOC8"/>
        <w:rPr>
          <w:rFonts w:asciiTheme="minorHAnsi" w:eastAsiaTheme="minorEastAsia" w:hAnsiTheme="minorHAnsi" w:cstheme="minorBidi"/>
          <w:szCs w:val="22"/>
        </w:rPr>
      </w:pPr>
      <w:r>
        <w:t>75BG.</w:t>
      </w:r>
      <w:r>
        <w:tab/>
        <w:t>Application of Subdivision</w:t>
      </w:r>
      <w:r>
        <w:tab/>
      </w:r>
      <w:r>
        <w:fldChar w:fldCharType="begin"/>
      </w:r>
      <w:r>
        <w:instrText xml:space="preserve"> PAGEREF _Toc153887544 \h </w:instrText>
      </w:r>
      <w:r>
        <w:fldChar w:fldCharType="separate"/>
      </w:r>
      <w:r>
        <w:t>79</w:t>
      </w:r>
      <w:r>
        <w:fldChar w:fldCharType="end"/>
      </w:r>
    </w:p>
    <w:p>
      <w:pPr>
        <w:pStyle w:val="TOC8"/>
        <w:rPr>
          <w:rFonts w:asciiTheme="minorHAnsi" w:eastAsiaTheme="minorEastAsia" w:hAnsiTheme="minorHAnsi" w:cstheme="minorBidi"/>
          <w:szCs w:val="22"/>
        </w:rPr>
      </w:pPr>
      <w:r>
        <w:lastRenderedPageBreak/>
        <w:t>75BH.</w:t>
      </w:r>
      <w:r>
        <w:tab/>
        <w:t>Circumstances occasioning death, grievous bodily harm or bodily harm</w:t>
      </w:r>
      <w:r>
        <w:tab/>
      </w:r>
      <w:r>
        <w:fldChar w:fldCharType="begin"/>
      </w:r>
      <w:r>
        <w:instrText xml:space="preserve"> PAGEREF _Toc153887545 \h </w:instrText>
      </w:r>
      <w:r>
        <w:fldChar w:fldCharType="separate"/>
      </w:r>
      <w:r>
        <w:t>79</w:t>
      </w:r>
      <w:r>
        <w:fldChar w:fldCharType="end"/>
      </w:r>
    </w:p>
    <w:p>
      <w:pPr>
        <w:pStyle w:val="TOC8"/>
        <w:rPr>
          <w:rFonts w:asciiTheme="minorHAnsi" w:eastAsiaTheme="minorEastAsia" w:hAnsiTheme="minorHAnsi" w:cstheme="minorBidi"/>
          <w:szCs w:val="22"/>
        </w:rPr>
      </w:pPr>
      <w:r>
        <w:t>75BI.</w:t>
      </w:r>
      <w:r>
        <w:tab/>
        <w:t>Provisions for offences involving incidents occasioning death, grievous bodily harm or bodily harm</w:t>
      </w:r>
      <w:r>
        <w:tab/>
      </w:r>
      <w:r>
        <w:fldChar w:fldCharType="begin"/>
      </w:r>
      <w:r>
        <w:instrText xml:space="preserve"> PAGEREF _Toc153887546 \h </w:instrText>
      </w:r>
      <w:r>
        <w:fldChar w:fldCharType="separate"/>
      </w:r>
      <w:r>
        <w:t>81</w:t>
      </w:r>
      <w:r>
        <w:fldChar w:fldCharType="end"/>
      </w:r>
    </w:p>
    <w:p>
      <w:pPr>
        <w:pStyle w:val="TOC8"/>
        <w:rPr>
          <w:rFonts w:asciiTheme="minorHAnsi" w:eastAsiaTheme="minorEastAsia" w:hAnsiTheme="minorHAnsi" w:cstheme="minorBidi"/>
          <w:szCs w:val="22"/>
        </w:rPr>
      </w:pPr>
      <w:r>
        <w:t>75BJ.</w:t>
      </w:r>
      <w:r>
        <w:tab/>
        <w:t>Defence: death or harm not attributable to alcohol or drugs</w:t>
      </w:r>
      <w:r>
        <w:tab/>
      </w:r>
      <w:r>
        <w:fldChar w:fldCharType="begin"/>
      </w:r>
      <w:r>
        <w:instrText xml:space="preserve"> PAGEREF _Toc153887547 \h </w:instrText>
      </w:r>
      <w:r>
        <w:fldChar w:fldCharType="separate"/>
      </w:r>
      <w:r>
        <w:t>81</w:t>
      </w:r>
      <w:r>
        <w:fldChar w:fldCharType="end"/>
      </w:r>
    </w:p>
    <w:p>
      <w:pPr>
        <w:pStyle w:val="TOC8"/>
        <w:rPr>
          <w:rFonts w:asciiTheme="minorHAnsi" w:eastAsiaTheme="minorEastAsia" w:hAnsiTheme="minorHAnsi" w:cstheme="minorBidi"/>
          <w:szCs w:val="22"/>
        </w:rPr>
      </w:pPr>
      <w:r>
        <w:t>75BK.</w:t>
      </w:r>
      <w:r>
        <w:tab/>
        <w:t>Defence: death or harm not attributable to manner of operation or level of care and attention</w:t>
      </w:r>
      <w:r>
        <w:tab/>
      </w:r>
      <w:r>
        <w:fldChar w:fldCharType="begin"/>
      </w:r>
      <w:r>
        <w:instrText xml:space="preserve"> PAGEREF _Toc153887548 \h </w:instrText>
      </w:r>
      <w:r>
        <w:fldChar w:fldCharType="separate"/>
      </w:r>
      <w:r>
        <w:t>82</w:t>
      </w:r>
      <w:r>
        <w:fldChar w:fldCharType="end"/>
      </w:r>
    </w:p>
    <w:p>
      <w:pPr>
        <w:pStyle w:val="TOC8"/>
        <w:rPr>
          <w:rFonts w:asciiTheme="minorHAnsi" w:eastAsiaTheme="minorEastAsia" w:hAnsiTheme="minorHAnsi" w:cstheme="minorBidi"/>
          <w:szCs w:val="22"/>
        </w:rPr>
      </w:pPr>
      <w:r>
        <w:t>75BL.</w:t>
      </w:r>
      <w:r>
        <w:tab/>
        <w:t>Defence: inspector or police officer navigating vessel in certain circumstances</w:t>
      </w:r>
      <w:r>
        <w:tab/>
      </w:r>
      <w:r>
        <w:fldChar w:fldCharType="begin"/>
      </w:r>
      <w:r>
        <w:instrText xml:space="preserve"> PAGEREF _Toc153887549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Navigation of vessels while under the influence of alcohol or drugs or impaired by drugs</w:t>
      </w:r>
    </w:p>
    <w:p>
      <w:pPr>
        <w:pStyle w:val="TOC8"/>
        <w:rPr>
          <w:rFonts w:asciiTheme="minorHAnsi" w:eastAsiaTheme="minorEastAsia" w:hAnsiTheme="minorHAnsi" w:cstheme="minorBidi"/>
          <w:szCs w:val="22"/>
        </w:rPr>
      </w:pPr>
      <w:r>
        <w:t>75C.</w:t>
      </w:r>
      <w:r>
        <w:tab/>
        <w:t>Navigation of vessel while under influence of alcohol or drugs</w:t>
      </w:r>
      <w:r>
        <w:tab/>
      </w:r>
      <w:r>
        <w:fldChar w:fldCharType="begin"/>
      </w:r>
      <w:r>
        <w:instrText xml:space="preserve"> PAGEREF _Toc153887551 \h </w:instrText>
      </w:r>
      <w:r>
        <w:fldChar w:fldCharType="separate"/>
      </w:r>
      <w:r>
        <w:t>83</w:t>
      </w:r>
      <w:r>
        <w:fldChar w:fldCharType="end"/>
      </w:r>
    </w:p>
    <w:p>
      <w:pPr>
        <w:pStyle w:val="TOC8"/>
        <w:rPr>
          <w:rFonts w:asciiTheme="minorHAnsi" w:eastAsiaTheme="minorEastAsia" w:hAnsiTheme="minorHAnsi" w:cstheme="minorBidi"/>
          <w:szCs w:val="22"/>
        </w:rPr>
      </w:pPr>
      <w:r>
        <w:t>75CA.</w:t>
      </w:r>
      <w:r>
        <w:tab/>
        <w:t>Navigation of vessel while under influence of both alcohol and drugs</w:t>
      </w:r>
      <w:r>
        <w:tab/>
      </w:r>
      <w:r>
        <w:fldChar w:fldCharType="begin"/>
      </w:r>
      <w:r>
        <w:instrText xml:space="preserve"> PAGEREF _Toc153887552 \h </w:instrText>
      </w:r>
      <w:r>
        <w:fldChar w:fldCharType="separate"/>
      </w:r>
      <w:r>
        <w:t>86</w:t>
      </w:r>
      <w:r>
        <w:fldChar w:fldCharType="end"/>
      </w:r>
    </w:p>
    <w:p>
      <w:pPr>
        <w:pStyle w:val="TOC8"/>
        <w:rPr>
          <w:rFonts w:asciiTheme="minorHAnsi" w:eastAsiaTheme="minorEastAsia" w:hAnsiTheme="minorHAnsi" w:cstheme="minorBidi"/>
          <w:szCs w:val="22"/>
        </w:rPr>
      </w:pPr>
      <w:r>
        <w:t>75CB.</w:t>
      </w:r>
      <w:r>
        <w:tab/>
        <w:t>Defence: under influence of drug prescribed or administered for therapeutic reasons</w:t>
      </w:r>
      <w:r>
        <w:tab/>
      </w:r>
      <w:r>
        <w:fldChar w:fldCharType="begin"/>
      </w:r>
      <w:r>
        <w:instrText xml:space="preserve"> PAGEREF _Toc153887553 \h </w:instrText>
      </w:r>
      <w:r>
        <w:fldChar w:fldCharType="separate"/>
      </w:r>
      <w:r>
        <w:t>90</w:t>
      </w:r>
      <w:r>
        <w:fldChar w:fldCharType="end"/>
      </w:r>
    </w:p>
    <w:p>
      <w:pPr>
        <w:pStyle w:val="TOC8"/>
        <w:rPr>
          <w:rFonts w:asciiTheme="minorHAnsi" w:eastAsiaTheme="minorEastAsia" w:hAnsiTheme="minorHAnsi" w:cstheme="minorBidi"/>
          <w:szCs w:val="22"/>
        </w:rPr>
      </w:pPr>
      <w:r>
        <w:t>75CC.</w:t>
      </w:r>
      <w:r>
        <w:tab/>
        <w:t>Master must not permit person under influence of alcohol or drugs or both to operate vessel</w:t>
      </w:r>
      <w:r>
        <w:tab/>
      </w:r>
      <w:r>
        <w:fldChar w:fldCharType="begin"/>
      </w:r>
      <w:r>
        <w:instrText xml:space="preserve"> PAGEREF _Toc153887554 \h </w:instrText>
      </w:r>
      <w:r>
        <w:fldChar w:fldCharType="separate"/>
      </w:r>
      <w:r>
        <w:t>90</w:t>
      </w:r>
      <w:r>
        <w:fldChar w:fldCharType="end"/>
      </w:r>
    </w:p>
    <w:p>
      <w:pPr>
        <w:pStyle w:val="TOC8"/>
        <w:rPr>
          <w:rFonts w:asciiTheme="minorHAnsi" w:eastAsiaTheme="minorEastAsia" w:hAnsiTheme="minorHAnsi" w:cstheme="minorBidi"/>
          <w:szCs w:val="22"/>
        </w:rPr>
      </w:pPr>
      <w:r>
        <w:t>75CD.</w:t>
      </w:r>
      <w:r>
        <w:tab/>
        <w:t>Navigation of vessel while impaired by drugs</w:t>
      </w:r>
      <w:r>
        <w:tab/>
      </w:r>
      <w:r>
        <w:fldChar w:fldCharType="begin"/>
      </w:r>
      <w:r>
        <w:instrText xml:space="preserve"> PAGEREF _Toc153887555 \h </w:instrText>
      </w:r>
      <w:r>
        <w:fldChar w:fldCharType="separate"/>
      </w:r>
      <w:r>
        <w:t>90</w:t>
      </w:r>
      <w:r>
        <w:fldChar w:fldCharType="end"/>
      </w:r>
    </w:p>
    <w:p>
      <w:pPr>
        <w:pStyle w:val="TOC8"/>
        <w:rPr>
          <w:rFonts w:asciiTheme="minorHAnsi" w:eastAsiaTheme="minorEastAsia" w:hAnsiTheme="minorHAnsi" w:cstheme="minorBidi"/>
          <w:szCs w:val="22"/>
        </w:rPr>
      </w:pPr>
      <w:r>
        <w:t>75CE.</w:t>
      </w:r>
      <w:r>
        <w:tab/>
        <w:t>When person may be convicted of navigation of vessel while impaired by drugs offence</w:t>
      </w:r>
      <w:r>
        <w:tab/>
      </w:r>
      <w:r>
        <w:fldChar w:fldCharType="begin"/>
      </w:r>
      <w:r>
        <w:instrText xml:space="preserve"> PAGEREF _Toc153887556 \h </w:instrText>
      </w:r>
      <w:r>
        <w:fldChar w:fldCharType="separate"/>
      </w:r>
      <w:r>
        <w:t>92</w:t>
      </w:r>
      <w:r>
        <w:fldChar w:fldCharType="end"/>
      </w:r>
    </w:p>
    <w:p>
      <w:pPr>
        <w:pStyle w:val="TOC8"/>
        <w:rPr>
          <w:rFonts w:asciiTheme="minorHAnsi" w:eastAsiaTheme="minorEastAsia" w:hAnsiTheme="minorHAnsi" w:cstheme="minorBidi"/>
          <w:szCs w:val="22"/>
        </w:rPr>
      </w:pPr>
      <w:r>
        <w:t>75CF.</w:t>
      </w:r>
      <w:r>
        <w:tab/>
        <w:t>Defence: impaired by drug prescribed or administered for therapeutic reasons</w:t>
      </w:r>
      <w:r>
        <w:tab/>
      </w:r>
      <w:r>
        <w:fldChar w:fldCharType="begin"/>
      </w:r>
      <w:r>
        <w:instrText xml:space="preserve"> PAGEREF _Toc153887557 \h </w:instrText>
      </w:r>
      <w:r>
        <w:fldChar w:fldCharType="separate"/>
      </w:r>
      <w:r>
        <w:t>93</w:t>
      </w:r>
      <w:r>
        <w:fldChar w:fldCharType="end"/>
      </w:r>
    </w:p>
    <w:p>
      <w:pPr>
        <w:pStyle w:val="TOC8"/>
        <w:rPr>
          <w:rFonts w:asciiTheme="minorHAnsi" w:eastAsiaTheme="minorEastAsia" w:hAnsiTheme="minorHAnsi" w:cstheme="minorBidi"/>
          <w:szCs w:val="22"/>
        </w:rPr>
      </w:pPr>
      <w:r>
        <w:t>75CG.</w:t>
      </w:r>
      <w:r>
        <w:tab/>
        <w:t>Rights of person charged with particular offences</w:t>
      </w:r>
      <w:r>
        <w:tab/>
      </w:r>
      <w:r>
        <w:fldChar w:fldCharType="begin"/>
      </w:r>
      <w:r>
        <w:instrText xml:space="preserve"> PAGEREF _Toc153887558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4 — International Conventions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_Toc153887561 \h </w:instrText>
      </w:r>
      <w:r>
        <w:fldChar w:fldCharType="separate"/>
      </w:r>
      <w:r>
        <w:t>95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 under this Part</w:t>
      </w:r>
      <w:r>
        <w:tab/>
      </w:r>
      <w:r>
        <w:fldChar w:fldCharType="begin"/>
      </w:r>
      <w:r>
        <w:instrText xml:space="preserve"> PAGEREF _Toc153887562 \h </w:instrText>
      </w:r>
      <w:r>
        <w:fldChar w:fldCharType="separate"/>
      </w:r>
      <w:r>
        <w:t>96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Regulations giving effect to Conventions: discretion of Governor and Minister</w:t>
      </w:r>
      <w:r>
        <w:tab/>
      </w:r>
      <w:r>
        <w:fldChar w:fldCharType="begin"/>
      </w:r>
      <w:r>
        <w:instrText xml:space="preserve"> PAGEREF _Toc153887563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Prevention of Collisions Convention</w:t>
      </w:r>
    </w:p>
    <w:p>
      <w:pPr>
        <w:pStyle w:val="TOC8"/>
        <w:rPr>
          <w:rFonts w:asciiTheme="minorHAnsi" w:eastAsiaTheme="minorEastAsia" w:hAnsiTheme="minorHAnsi" w:cstheme="minorBidi"/>
          <w:szCs w:val="22"/>
        </w:rPr>
      </w:pPr>
      <w:r>
        <w:t>79</w:t>
      </w:r>
      <w:r>
        <w:rPr>
          <w:snapToGrid w:val="0"/>
        </w:rPr>
        <w:t>.</w:t>
      </w:r>
      <w:r>
        <w:rPr>
          <w:snapToGrid w:val="0"/>
        </w:rPr>
        <w:tab/>
        <w:t>Regulations giving effect to Prevention of Collisions Convention</w:t>
      </w:r>
      <w:r>
        <w:tab/>
      </w:r>
      <w:r>
        <w:fldChar w:fldCharType="begin"/>
      </w:r>
      <w:r>
        <w:instrText xml:space="preserve"> PAGEREF _Toc153887565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Container Convention</w:t>
      </w:r>
    </w:p>
    <w:p>
      <w:pPr>
        <w:pStyle w:val="TOC8"/>
        <w:rPr>
          <w:rFonts w:asciiTheme="minorHAnsi" w:eastAsiaTheme="minorEastAsia" w:hAnsiTheme="minorHAnsi" w:cstheme="minorBidi"/>
          <w:szCs w:val="22"/>
        </w:rPr>
      </w:pPr>
      <w:r>
        <w:t>80</w:t>
      </w:r>
      <w:r>
        <w:rPr>
          <w:snapToGrid w:val="0"/>
        </w:rPr>
        <w:t>.</w:t>
      </w:r>
      <w:r>
        <w:rPr>
          <w:snapToGrid w:val="0"/>
        </w:rPr>
        <w:tab/>
        <w:t>Regulations giving effect to Container Convention</w:t>
      </w:r>
      <w:r>
        <w:tab/>
      </w:r>
      <w:r>
        <w:fldChar w:fldCharType="begin"/>
      </w:r>
      <w:r>
        <w:instrText xml:space="preserve"> PAGEREF _Toc153887567 \h </w:instrText>
      </w:r>
      <w:r>
        <w:fldChar w:fldCharType="separate"/>
      </w:r>
      <w:r>
        <w:t>98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Safety requirements and tests not required or permitted by the Container Convention not to be imposed</w:t>
      </w:r>
      <w:r>
        <w:tab/>
      </w:r>
      <w:r>
        <w:fldChar w:fldCharType="begin"/>
      </w:r>
      <w:r>
        <w:instrText xml:space="preserve"> PAGEREF _Toc153887568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Limitation Convention and limitation provisions</w:t>
      </w:r>
    </w:p>
    <w:p>
      <w:pPr>
        <w:pStyle w:val="TOC8"/>
        <w:rPr>
          <w:rFonts w:asciiTheme="minorHAnsi" w:eastAsiaTheme="minorEastAsia" w:hAnsiTheme="minorHAnsi" w:cstheme="minorBidi"/>
          <w:szCs w:val="22"/>
        </w:rPr>
      </w:pPr>
      <w:r>
        <w:t>82</w:t>
      </w:r>
      <w:r>
        <w:rPr>
          <w:snapToGrid w:val="0"/>
        </w:rPr>
        <w:t>.</w:t>
      </w:r>
      <w:r>
        <w:rPr>
          <w:snapToGrid w:val="0"/>
        </w:rPr>
        <w:tab/>
        <w:t>Interpretation</w:t>
      </w:r>
      <w:r>
        <w:tab/>
      </w:r>
      <w:r>
        <w:fldChar w:fldCharType="begin"/>
      </w:r>
      <w:r>
        <w:instrText xml:space="preserve"> PAGEREF _Toc153887570 \h </w:instrText>
      </w:r>
      <w:r>
        <w:fldChar w:fldCharType="separate"/>
      </w:r>
      <w:r>
        <w:t>99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w:t>
      </w:r>
      <w:r>
        <w:tab/>
      </w:r>
      <w:r>
        <w:fldChar w:fldCharType="begin"/>
      </w:r>
      <w:r>
        <w:instrText xml:space="preserve"> PAGEREF _Toc153887571 \h </w:instrText>
      </w:r>
      <w:r>
        <w:fldChar w:fldCharType="separate"/>
      </w:r>
      <w:r>
        <w:t>99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Provisions of Limitation Convention having force of law</w:t>
      </w:r>
      <w:r>
        <w:tab/>
      </w:r>
      <w:r>
        <w:fldChar w:fldCharType="begin"/>
      </w:r>
      <w:r>
        <w:instrText xml:space="preserve"> PAGEREF _Toc153887572 \h </w:instrText>
      </w:r>
      <w:r>
        <w:fldChar w:fldCharType="separate"/>
      </w:r>
      <w:r>
        <w:t>100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Limitation in relation to non</w:t>
      </w:r>
      <w:r>
        <w:rPr>
          <w:snapToGrid w:val="0"/>
        </w:rPr>
        <w:noBreakHyphen/>
        <w:t>seagoing ferries</w:t>
      </w:r>
      <w:r>
        <w:tab/>
      </w:r>
      <w:r>
        <w:fldChar w:fldCharType="begin"/>
      </w:r>
      <w:r>
        <w:instrText xml:space="preserve"> PAGEREF _Toc153887573 \h </w:instrText>
      </w:r>
      <w:r>
        <w:fldChar w:fldCharType="separate"/>
      </w:r>
      <w:r>
        <w:t>101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Application to determine liability</w:t>
      </w:r>
      <w:r>
        <w:tab/>
      </w:r>
      <w:r>
        <w:fldChar w:fldCharType="begin"/>
      </w:r>
      <w:r>
        <w:instrText xml:space="preserve"> PAGEREF _Toc153887574 \h </w:instrText>
      </w:r>
      <w:r>
        <w:fldChar w:fldCharType="separate"/>
      </w:r>
      <w:r>
        <w:t>101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Regulations giving effect to Limitation Convention</w:t>
      </w:r>
      <w:r>
        <w:tab/>
      </w:r>
      <w:r>
        <w:fldChar w:fldCharType="begin"/>
      </w:r>
      <w:r>
        <w:instrText xml:space="preserve"> PAGEREF _Toc153887575 \h </w:instrText>
      </w:r>
      <w:r>
        <w:fldChar w:fldCharType="separate"/>
      </w:r>
      <w:r>
        <w:t>102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Ship owner not to be liable in certain cases of loss of, or damage to, goods</w:t>
      </w:r>
      <w:r>
        <w:tab/>
      </w:r>
      <w:r>
        <w:fldChar w:fldCharType="begin"/>
      </w:r>
      <w:r>
        <w:instrText xml:space="preserve"> PAGEREF _Toc153887576 \h </w:instrText>
      </w:r>
      <w:r>
        <w:fldChar w:fldCharType="separate"/>
      </w:r>
      <w:r>
        <w:t>103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Ship owner not entitled to limit liability in respect of claims by crew etc.</w:t>
      </w:r>
      <w:r>
        <w:tab/>
      </w:r>
      <w:r>
        <w:fldChar w:fldCharType="begin"/>
      </w:r>
      <w:r>
        <w:instrText xml:space="preserve"> PAGEREF _Toc153887577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Safety Convention</w:t>
      </w:r>
    </w:p>
    <w:p>
      <w:pPr>
        <w:pStyle w:val="TOC8"/>
        <w:rPr>
          <w:rFonts w:asciiTheme="minorHAnsi" w:eastAsiaTheme="minorEastAsia" w:hAnsiTheme="minorHAnsi" w:cstheme="minorBidi"/>
          <w:szCs w:val="22"/>
        </w:rPr>
      </w:pPr>
      <w:r>
        <w:t>90</w:t>
      </w:r>
      <w:r>
        <w:rPr>
          <w:snapToGrid w:val="0"/>
        </w:rPr>
        <w:t>.</w:t>
      </w:r>
      <w:r>
        <w:rPr>
          <w:snapToGrid w:val="0"/>
        </w:rPr>
        <w:tab/>
        <w:t>Regulations giving effect to Safety Convention</w:t>
      </w:r>
      <w:r>
        <w:tab/>
      </w:r>
      <w:r>
        <w:fldChar w:fldCharType="begin"/>
      </w:r>
      <w:r>
        <w:instrText xml:space="preserve"> PAGEREF _Toc153887579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5 — Carriage of dangerous goods</w:t>
      </w:r>
    </w:p>
    <w:p>
      <w:pPr>
        <w:pStyle w:val="TOC8"/>
        <w:rPr>
          <w:rFonts w:asciiTheme="minorHAnsi" w:eastAsiaTheme="minorEastAsia" w:hAnsiTheme="minorHAnsi" w:cstheme="minorBidi"/>
          <w:szCs w:val="22"/>
        </w:rPr>
      </w:pPr>
      <w:r>
        <w:t>91</w:t>
      </w:r>
      <w:r>
        <w:rPr>
          <w:snapToGrid w:val="0"/>
        </w:rPr>
        <w:t>.</w:t>
      </w:r>
      <w:r>
        <w:rPr>
          <w:snapToGrid w:val="0"/>
        </w:rPr>
        <w:tab/>
        <w:t>Restriction on carriage of dangerous goods</w:t>
      </w:r>
      <w:r>
        <w:tab/>
      </w:r>
      <w:r>
        <w:fldChar w:fldCharType="begin"/>
      </w:r>
      <w:r>
        <w:instrText xml:space="preserve"> PAGEREF _Toc153887581 \h </w:instrText>
      </w:r>
      <w:r>
        <w:fldChar w:fldCharType="separate"/>
      </w:r>
      <w:r>
        <w:t>106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Penalty for misdescription of goods and sender</w:t>
      </w:r>
      <w:r>
        <w:tab/>
      </w:r>
      <w:r>
        <w:fldChar w:fldCharType="begin"/>
      </w:r>
      <w:r>
        <w:instrText xml:space="preserve"> PAGEREF _Toc153887582 \h </w:instrText>
      </w:r>
      <w:r>
        <w:fldChar w:fldCharType="separate"/>
      </w:r>
      <w:r>
        <w:t>106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Powers of owner or master as to dangerous goods</w:t>
      </w:r>
      <w:r>
        <w:tab/>
      </w:r>
      <w:r>
        <w:fldChar w:fldCharType="begin"/>
      </w:r>
      <w:r>
        <w:instrText xml:space="preserve"> PAGEREF _Toc153887583 \h </w:instrText>
      </w:r>
      <w:r>
        <w:fldChar w:fldCharType="separate"/>
      </w:r>
      <w:r>
        <w:t>107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Forfeiture of dangerous goods</w:t>
      </w:r>
      <w:r>
        <w:tab/>
      </w:r>
      <w:r>
        <w:fldChar w:fldCharType="begin"/>
      </w:r>
      <w:r>
        <w:instrText xml:space="preserve"> PAGEREF _Toc153887584 \h </w:instrText>
      </w:r>
      <w:r>
        <w:fldChar w:fldCharType="separate"/>
      </w:r>
      <w:r>
        <w:t>107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Minister may prohibit carriage of cargo</w:t>
      </w:r>
      <w:r>
        <w:tab/>
      </w:r>
      <w:r>
        <w:fldChar w:fldCharType="begin"/>
      </w:r>
      <w:r>
        <w:instrText xml:space="preserve"> PAGEREF _Toc153887585 \h </w:instrText>
      </w:r>
      <w:r>
        <w:fldChar w:fldCharType="separate"/>
      </w:r>
      <w:r>
        <w:t>108</w:t>
      </w:r>
      <w:r>
        <w:fldChar w:fldCharType="end"/>
      </w:r>
    </w:p>
    <w:p>
      <w:pPr>
        <w:pStyle w:val="TOC8"/>
        <w:rPr>
          <w:rFonts w:asciiTheme="minorHAnsi" w:eastAsiaTheme="minorEastAsia" w:hAnsiTheme="minorHAnsi" w:cstheme="minorBidi"/>
          <w:szCs w:val="22"/>
        </w:rPr>
      </w:pPr>
      <w:r>
        <w:t>96.</w:t>
      </w:r>
      <w:r>
        <w:tab/>
        <w:t>Regulations as to dangerous goods</w:t>
      </w:r>
      <w:r>
        <w:tab/>
      </w:r>
      <w:r>
        <w:fldChar w:fldCharType="begin"/>
      </w:r>
      <w:r>
        <w:instrText xml:space="preserve"> PAGEREF _Toc153887586 \h </w:instrText>
      </w:r>
      <w:r>
        <w:fldChar w:fldCharType="separate"/>
      </w:r>
      <w:r>
        <w:t>108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Explosives on passenger vessels</w:t>
      </w:r>
      <w:r>
        <w:tab/>
      </w:r>
      <w:r>
        <w:fldChar w:fldCharType="begin"/>
      </w:r>
      <w:r>
        <w:instrText xml:space="preserve"> PAGEREF _Toc153887587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VI — Pleasure vessels</w:t>
      </w:r>
    </w:p>
    <w:p>
      <w:pPr>
        <w:pStyle w:val="TOC8"/>
        <w:rPr>
          <w:rFonts w:asciiTheme="minorHAnsi" w:eastAsiaTheme="minorEastAsia" w:hAnsiTheme="minorHAnsi" w:cstheme="minorBidi"/>
          <w:szCs w:val="22"/>
        </w:rPr>
      </w:pPr>
      <w:r>
        <w:t>98</w:t>
      </w:r>
      <w:r>
        <w:rPr>
          <w:snapToGrid w:val="0"/>
        </w:rPr>
        <w:t>.</w:t>
      </w:r>
      <w:r>
        <w:rPr>
          <w:snapToGrid w:val="0"/>
        </w:rPr>
        <w:tab/>
        <w:t>Terms used</w:t>
      </w:r>
      <w:r>
        <w:tab/>
      </w:r>
      <w:r>
        <w:fldChar w:fldCharType="begin"/>
      </w:r>
      <w:r>
        <w:instrText xml:space="preserve"> PAGEREF _Toc153887589 \h </w:instrText>
      </w:r>
      <w:r>
        <w:fldChar w:fldCharType="separate"/>
      </w:r>
      <w:r>
        <w:t>110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Regulations in respect of pleasure vessels</w:t>
      </w:r>
      <w:r>
        <w:tab/>
      </w:r>
      <w:r>
        <w:fldChar w:fldCharType="begin"/>
      </w:r>
      <w:r>
        <w:instrText xml:space="preserve"> PAGEREF _Toc153887590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VII — Investigations and inquiries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100</w:t>
      </w:r>
      <w:r>
        <w:rPr>
          <w:snapToGrid w:val="0"/>
        </w:rPr>
        <w:t>.</w:t>
      </w:r>
      <w:r>
        <w:rPr>
          <w:snapToGrid w:val="0"/>
        </w:rPr>
        <w:tab/>
        <w:t>Application</w:t>
      </w:r>
      <w:r>
        <w:tab/>
      </w:r>
      <w:r>
        <w:fldChar w:fldCharType="begin"/>
      </w:r>
      <w:r>
        <w:instrText xml:space="preserve"> PAGEREF _Toc153887593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Preliminary investigations and powers</w:t>
      </w:r>
    </w:p>
    <w:p>
      <w:pPr>
        <w:pStyle w:val="TOC8"/>
        <w:rPr>
          <w:rFonts w:asciiTheme="minorHAnsi" w:eastAsiaTheme="minorEastAsia" w:hAnsiTheme="minorHAnsi" w:cstheme="minorBidi"/>
          <w:szCs w:val="22"/>
        </w:rPr>
      </w:pPr>
      <w:r>
        <w:t>101</w:t>
      </w:r>
      <w:r>
        <w:rPr>
          <w:snapToGrid w:val="0"/>
        </w:rPr>
        <w:t>.</w:t>
      </w:r>
      <w:r>
        <w:rPr>
          <w:snapToGrid w:val="0"/>
        </w:rPr>
        <w:tab/>
        <w:t>Preliminary inquiries and reports</w:t>
      </w:r>
      <w:r>
        <w:tab/>
      </w:r>
      <w:r>
        <w:fldChar w:fldCharType="begin"/>
      </w:r>
      <w:r>
        <w:instrText xml:space="preserve"> PAGEREF _Toc153887595 \h </w:instrText>
      </w:r>
      <w:r>
        <w:fldChar w:fldCharType="separate"/>
      </w:r>
      <w:r>
        <w:t>113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Powers of investigators and inspectors</w:t>
      </w:r>
      <w:r>
        <w:tab/>
      </w:r>
      <w:r>
        <w:fldChar w:fldCharType="begin"/>
      </w:r>
      <w:r>
        <w:instrText xml:space="preserve"> PAGEREF _Toc153887596 \h </w:instrText>
      </w:r>
      <w:r>
        <w:fldChar w:fldCharType="separate"/>
      </w:r>
      <w:r>
        <w:t>114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Formal investigation by Court</w:t>
      </w:r>
      <w:r>
        <w:tab/>
      </w:r>
      <w:r>
        <w:fldChar w:fldCharType="begin"/>
      </w:r>
      <w:r>
        <w:instrText xml:space="preserve"> PAGEREF _Toc153887597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Courts of Marine Inquiry</w:t>
      </w:r>
    </w:p>
    <w:p>
      <w:pPr>
        <w:pStyle w:val="TOC8"/>
        <w:rPr>
          <w:rFonts w:asciiTheme="minorHAnsi" w:eastAsiaTheme="minorEastAsia" w:hAnsiTheme="minorHAnsi" w:cstheme="minorBidi"/>
          <w:szCs w:val="22"/>
        </w:rPr>
      </w:pPr>
      <w:r>
        <w:rPr>
          <w:snapToGrid w:val="0"/>
        </w:rPr>
        <w:t>104.</w:t>
      </w:r>
      <w:r>
        <w:rPr>
          <w:snapToGrid w:val="0"/>
        </w:rPr>
        <w:tab/>
        <w:t>Governor may establish Court of Marine Inquiry</w:t>
      </w:r>
      <w:r>
        <w:tab/>
      </w:r>
      <w:r>
        <w:fldChar w:fldCharType="begin"/>
      </w:r>
      <w:r>
        <w:instrText xml:space="preserve"> PAGEREF _Toc153887599 \h </w:instrText>
      </w:r>
      <w:r>
        <w:fldChar w:fldCharType="separate"/>
      </w:r>
      <w:r>
        <w:t>115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Magistrates and assessors to sit</w:t>
      </w:r>
      <w:r>
        <w:tab/>
      </w:r>
      <w:r>
        <w:fldChar w:fldCharType="begin"/>
      </w:r>
      <w:r>
        <w:instrText xml:space="preserve"> PAGEREF _Toc153887600 \h </w:instrText>
      </w:r>
      <w:r>
        <w:fldChar w:fldCharType="separate"/>
      </w:r>
      <w:r>
        <w:t>116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Assessors</w:t>
      </w:r>
      <w:r>
        <w:tab/>
      </w:r>
      <w:r>
        <w:fldChar w:fldCharType="begin"/>
      </w:r>
      <w:r>
        <w:instrText xml:space="preserve"> PAGEREF _Toc153887601 \h </w:instrText>
      </w:r>
      <w:r>
        <w:fldChar w:fldCharType="separate"/>
      </w:r>
      <w:r>
        <w:t>116</w:t>
      </w:r>
      <w:r>
        <w:fldChar w:fldCharType="end"/>
      </w:r>
    </w:p>
    <w:p>
      <w:pPr>
        <w:pStyle w:val="TOC8"/>
        <w:rPr>
          <w:rFonts w:asciiTheme="minorHAnsi" w:eastAsiaTheme="minorEastAsia" w:hAnsiTheme="minorHAnsi" w:cstheme="minorBidi"/>
          <w:szCs w:val="22"/>
        </w:rPr>
      </w:pPr>
      <w:r>
        <w:t>107</w:t>
      </w:r>
      <w:r>
        <w:rPr>
          <w:snapToGrid w:val="0"/>
        </w:rPr>
        <w:t>.</w:t>
      </w:r>
      <w:r>
        <w:tab/>
      </w:r>
      <w:r>
        <w:rPr>
          <w:snapToGrid w:val="0"/>
        </w:rPr>
        <w:t>Officers of Court of Marine Inquiry</w:t>
      </w:r>
      <w:r>
        <w:tab/>
      </w:r>
      <w:r>
        <w:fldChar w:fldCharType="begin"/>
      </w:r>
      <w:r>
        <w:instrText xml:space="preserve"> PAGEREF _Toc153887602 \h </w:instrText>
      </w:r>
      <w:r>
        <w:fldChar w:fldCharType="separate"/>
      </w:r>
      <w:r>
        <w:t>117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Rules of Court</w:t>
      </w:r>
      <w:r>
        <w:tab/>
      </w:r>
      <w:r>
        <w:fldChar w:fldCharType="begin"/>
      </w:r>
      <w:r>
        <w:instrText xml:space="preserve"> PAGEREF _Toc153887603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The powers and duties of Courts of Marine Inquiry</w:t>
      </w:r>
    </w:p>
    <w:p>
      <w:pPr>
        <w:pStyle w:val="TOC8"/>
        <w:rPr>
          <w:rFonts w:asciiTheme="minorHAnsi" w:eastAsiaTheme="minorEastAsia" w:hAnsiTheme="minorHAnsi" w:cstheme="minorBidi"/>
          <w:szCs w:val="22"/>
        </w:rPr>
      </w:pPr>
      <w:r>
        <w:t>109</w:t>
      </w:r>
      <w:r>
        <w:rPr>
          <w:snapToGrid w:val="0"/>
        </w:rPr>
        <w:t>.</w:t>
      </w:r>
      <w:r>
        <w:rPr>
          <w:snapToGrid w:val="0"/>
        </w:rPr>
        <w:tab/>
        <w:t>Functions of Court of Marine Inquiry</w:t>
      </w:r>
      <w:r>
        <w:tab/>
      </w:r>
      <w:r>
        <w:fldChar w:fldCharType="begin"/>
      </w:r>
      <w:r>
        <w:instrText xml:space="preserve"> PAGEREF _Toc153887605 \h </w:instrText>
      </w:r>
      <w:r>
        <w:fldChar w:fldCharType="separate"/>
      </w:r>
      <w:r>
        <w:t>118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Powers and duties in respect of unsafe ships</w:t>
      </w:r>
      <w:r>
        <w:tab/>
      </w:r>
      <w:r>
        <w:fldChar w:fldCharType="begin"/>
      </w:r>
      <w:r>
        <w:instrText xml:space="preserve"> PAGEREF _Toc153887606 \h </w:instrText>
      </w:r>
      <w:r>
        <w:fldChar w:fldCharType="separate"/>
      </w:r>
      <w:r>
        <w:t>119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Presiding magistrate and procedure</w:t>
      </w:r>
      <w:r>
        <w:tab/>
      </w:r>
      <w:r>
        <w:fldChar w:fldCharType="begin"/>
      </w:r>
      <w:r>
        <w:instrText xml:space="preserve"> PAGEREF _Toc153887607 \h </w:instrText>
      </w:r>
      <w:r>
        <w:fldChar w:fldCharType="separate"/>
      </w:r>
      <w:r>
        <w:t>119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Power of Court to suspend or cancel certificate</w:t>
      </w:r>
      <w:r>
        <w:tab/>
      </w:r>
      <w:r>
        <w:fldChar w:fldCharType="begin"/>
      </w:r>
      <w:r>
        <w:instrText xml:space="preserve"> PAGEREF _Toc153887608 \h </w:instrText>
      </w:r>
      <w:r>
        <w:fldChar w:fldCharType="separate"/>
      </w:r>
      <w:r>
        <w:t>120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Rehearing</w:t>
      </w:r>
      <w:r>
        <w:tab/>
      </w:r>
      <w:r>
        <w:fldChar w:fldCharType="begin"/>
      </w:r>
      <w:r>
        <w:instrText xml:space="preserve"> PAGEREF _Toc153887609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8 — Supplementary and administrative provisions</w:t>
      </w:r>
    </w:p>
    <w:p>
      <w:pPr>
        <w:pStyle w:val="TOC8"/>
        <w:rPr>
          <w:rFonts w:asciiTheme="minorHAnsi" w:eastAsiaTheme="minorEastAsia" w:hAnsiTheme="minorHAnsi" w:cstheme="minorBidi"/>
          <w:szCs w:val="22"/>
        </w:rPr>
      </w:pPr>
      <w:r>
        <w:t>114</w:t>
      </w:r>
      <w:r>
        <w:rPr>
          <w:snapToGrid w:val="0"/>
        </w:rPr>
        <w:t>.</w:t>
      </w:r>
      <w:r>
        <w:rPr>
          <w:snapToGrid w:val="0"/>
        </w:rPr>
        <w:tab/>
        <w:t>Powers in relation to regulations</w:t>
      </w:r>
      <w:r>
        <w:tab/>
      </w:r>
      <w:r>
        <w:fldChar w:fldCharType="begin"/>
      </w:r>
      <w:r>
        <w:instrText xml:space="preserve"> PAGEREF _Toc153887611 \h </w:instrText>
      </w:r>
      <w:r>
        <w:fldChar w:fldCharType="separate"/>
      </w:r>
      <w:r>
        <w:t>122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Regulations may adopt codes etc.</w:t>
      </w:r>
      <w:r>
        <w:tab/>
      </w:r>
      <w:r>
        <w:fldChar w:fldCharType="begin"/>
      </w:r>
      <w:r>
        <w:instrText xml:space="preserve"> PAGEREF _Toc153887612 \h </w:instrText>
      </w:r>
      <w:r>
        <w:fldChar w:fldCharType="separate"/>
      </w:r>
      <w:r>
        <w:t>124</w:t>
      </w:r>
      <w:r>
        <w:fldChar w:fldCharType="end"/>
      </w:r>
    </w:p>
    <w:p>
      <w:pPr>
        <w:pStyle w:val="TOC8"/>
        <w:rPr>
          <w:rFonts w:asciiTheme="minorHAnsi" w:eastAsiaTheme="minorEastAsia" w:hAnsiTheme="minorHAnsi" w:cstheme="minorBidi"/>
          <w:szCs w:val="22"/>
        </w:rPr>
      </w:pPr>
      <w:r>
        <w:t>115A</w:t>
      </w:r>
      <w:r>
        <w:rPr>
          <w:snapToGrid w:val="0"/>
        </w:rPr>
        <w:t>.</w:t>
      </w:r>
      <w:r>
        <w:rPr>
          <w:snapToGrid w:val="0"/>
        </w:rPr>
        <w:tab/>
        <w:t>Exemptions and equivalents</w:t>
      </w:r>
      <w:r>
        <w:tab/>
      </w:r>
      <w:r>
        <w:fldChar w:fldCharType="begin"/>
      </w:r>
      <w:r>
        <w:instrText xml:space="preserve"> PAGEREF _Toc153887613 \h </w:instrText>
      </w:r>
      <w:r>
        <w:fldChar w:fldCharType="separate"/>
      </w:r>
      <w:r>
        <w:t>125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Minister may delegate</w:t>
      </w:r>
      <w:r>
        <w:tab/>
      </w:r>
      <w:r>
        <w:fldChar w:fldCharType="begin"/>
      </w:r>
      <w:r>
        <w:instrText xml:space="preserve"> PAGEREF _Toc153887614 \h </w:instrText>
      </w:r>
      <w:r>
        <w:fldChar w:fldCharType="separate"/>
      </w:r>
      <w:r>
        <w:t>127</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Appointment of inspectors and authorised officers</w:t>
      </w:r>
      <w:r>
        <w:tab/>
      </w:r>
      <w:r>
        <w:fldChar w:fldCharType="begin"/>
      </w:r>
      <w:r>
        <w:instrText xml:space="preserve"> PAGEREF _Toc153887615 \h </w:instrText>
      </w:r>
      <w:r>
        <w:fldChar w:fldCharType="separate"/>
      </w:r>
      <w:r>
        <w:t>128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Certificate of appointment</w:t>
      </w:r>
      <w:r>
        <w:tab/>
      </w:r>
      <w:r>
        <w:fldChar w:fldCharType="begin"/>
      </w:r>
      <w:r>
        <w:instrText xml:space="preserve"> PAGEREF _Toc153887616 \h </w:instrText>
      </w:r>
      <w:r>
        <w:fldChar w:fldCharType="separate"/>
      </w:r>
      <w:r>
        <w:t>128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Penalty for obstruction</w:t>
      </w:r>
      <w:r>
        <w:tab/>
      </w:r>
      <w:r>
        <w:fldChar w:fldCharType="begin"/>
      </w:r>
      <w:r>
        <w:instrText xml:space="preserve"> PAGEREF _Toc153887617 \h </w:instrText>
      </w:r>
      <w:r>
        <w:fldChar w:fldCharType="separate"/>
      </w:r>
      <w:r>
        <w:t>129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Penalty for false declarations etc.</w:t>
      </w:r>
      <w:r>
        <w:tab/>
      </w:r>
      <w:r>
        <w:fldChar w:fldCharType="begin"/>
      </w:r>
      <w:r>
        <w:instrText xml:space="preserve"> PAGEREF _Toc153887618 \h </w:instrText>
      </w:r>
      <w:r>
        <w:fldChar w:fldCharType="separate"/>
      </w:r>
      <w:r>
        <w:t>129</w:t>
      </w:r>
      <w:r>
        <w:fldChar w:fldCharType="end"/>
      </w:r>
    </w:p>
    <w:p>
      <w:pPr>
        <w:pStyle w:val="TOC8"/>
        <w:rPr>
          <w:rFonts w:asciiTheme="minorHAnsi" w:eastAsiaTheme="minorEastAsia" w:hAnsiTheme="minorHAnsi" w:cstheme="minorBidi"/>
          <w:szCs w:val="22"/>
        </w:rPr>
      </w:pPr>
      <w:r>
        <w:t>120A.</w:t>
      </w:r>
      <w:r>
        <w:tab/>
        <w:t>Inspector may request details</w:t>
      </w:r>
      <w:r>
        <w:tab/>
      </w:r>
      <w:r>
        <w:fldChar w:fldCharType="begin"/>
      </w:r>
      <w:r>
        <w:instrText xml:space="preserve"> PAGEREF _Toc153887619 \h </w:instrText>
      </w:r>
      <w:r>
        <w:fldChar w:fldCharType="separate"/>
      </w:r>
      <w:r>
        <w:t>129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Offences in connection with certificates, licences etc.</w:t>
      </w:r>
      <w:r>
        <w:tab/>
      </w:r>
      <w:r>
        <w:fldChar w:fldCharType="begin"/>
      </w:r>
      <w:r>
        <w:instrText xml:space="preserve"> PAGEREF _Toc153887620 \h </w:instrText>
      </w:r>
      <w:r>
        <w:fldChar w:fldCharType="separate"/>
      </w:r>
      <w:r>
        <w:t>130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Liability of chief executive officer and owner for costs and compensation</w:t>
      </w:r>
      <w:r>
        <w:tab/>
      </w:r>
      <w:r>
        <w:fldChar w:fldCharType="begin"/>
      </w:r>
      <w:r>
        <w:instrText xml:space="preserve"> PAGEREF _Toc153887621 \h </w:instrText>
      </w:r>
      <w:r>
        <w:fldChar w:fldCharType="separate"/>
      </w:r>
      <w:r>
        <w:t>131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Complainant may be ordered to give security</w:t>
      </w:r>
      <w:r>
        <w:tab/>
      </w:r>
      <w:r>
        <w:fldChar w:fldCharType="begin"/>
      </w:r>
      <w:r>
        <w:instrText xml:space="preserve"> PAGEREF _Toc153887622 \h </w:instrText>
      </w:r>
      <w:r>
        <w:fldChar w:fldCharType="separate"/>
      </w:r>
      <w:r>
        <w:t>132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Immunity of Minister and officials</w:t>
      </w:r>
      <w:r>
        <w:tab/>
      </w:r>
      <w:r>
        <w:fldChar w:fldCharType="begin"/>
      </w:r>
      <w:r>
        <w:instrText xml:space="preserve"> PAGEREF _Toc153887623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8A — Disqualification from holding or obtaining WA marine qualification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124G.</w:t>
      </w:r>
      <w:r>
        <w:tab/>
        <w:t>Terms used</w:t>
      </w:r>
      <w:r>
        <w:tab/>
      </w:r>
      <w:r>
        <w:fldChar w:fldCharType="begin"/>
      </w:r>
      <w:r>
        <w:instrText xml:space="preserve"> PAGEREF _Toc153887626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 — Provisions relating to disqualification orders by court</w:t>
      </w:r>
    </w:p>
    <w:p>
      <w:pPr>
        <w:pStyle w:val="TOC8"/>
        <w:rPr>
          <w:rFonts w:asciiTheme="minorHAnsi" w:eastAsiaTheme="minorEastAsia" w:hAnsiTheme="minorHAnsi" w:cstheme="minorBidi"/>
          <w:szCs w:val="22"/>
        </w:rPr>
      </w:pPr>
      <w:r>
        <w:t>124GK.</w:t>
      </w:r>
      <w:r>
        <w:tab/>
        <w:t>Application of Division</w:t>
      </w:r>
      <w:r>
        <w:tab/>
      </w:r>
      <w:r>
        <w:fldChar w:fldCharType="begin"/>
      </w:r>
      <w:r>
        <w:instrText xml:space="preserve"> PAGEREF _Toc153887628 \h </w:instrText>
      </w:r>
      <w:r>
        <w:fldChar w:fldCharType="separate"/>
      </w:r>
      <w:r>
        <w:t>134</w:t>
      </w:r>
      <w:r>
        <w:fldChar w:fldCharType="end"/>
      </w:r>
    </w:p>
    <w:p>
      <w:pPr>
        <w:pStyle w:val="TOC8"/>
        <w:rPr>
          <w:rFonts w:asciiTheme="minorHAnsi" w:eastAsiaTheme="minorEastAsia" w:hAnsiTheme="minorHAnsi" w:cstheme="minorBidi"/>
          <w:szCs w:val="22"/>
        </w:rPr>
      </w:pPr>
      <w:r>
        <w:t>124GL.</w:t>
      </w:r>
      <w:r>
        <w:tab/>
        <w:t>Notifying chief executive officer of disqualification order</w:t>
      </w:r>
      <w:r>
        <w:tab/>
      </w:r>
      <w:r>
        <w:fldChar w:fldCharType="begin"/>
      </w:r>
      <w:r>
        <w:instrText xml:space="preserve"> PAGEREF _Toc153887629 \h </w:instrText>
      </w:r>
      <w:r>
        <w:fldChar w:fldCharType="separate"/>
      </w:r>
      <w:r>
        <w:t>135</w:t>
      </w:r>
      <w:r>
        <w:fldChar w:fldCharType="end"/>
      </w:r>
    </w:p>
    <w:p>
      <w:pPr>
        <w:pStyle w:val="TOC8"/>
        <w:rPr>
          <w:rFonts w:asciiTheme="minorHAnsi" w:eastAsiaTheme="minorEastAsia" w:hAnsiTheme="minorHAnsi" w:cstheme="minorBidi"/>
          <w:szCs w:val="22"/>
        </w:rPr>
      </w:pPr>
      <w:r>
        <w:t>124GM.</w:t>
      </w:r>
      <w:r>
        <w:tab/>
        <w:t>Removal of disqualification</w:t>
      </w:r>
      <w:r>
        <w:tab/>
      </w:r>
      <w:r>
        <w:fldChar w:fldCharType="begin"/>
      </w:r>
      <w:r>
        <w:instrText xml:space="preserve"> PAGEREF _Toc153887630 \h </w:instrText>
      </w:r>
      <w:r>
        <w:fldChar w:fldCharType="separate"/>
      </w:r>
      <w:r>
        <w:t>135</w:t>
      </w:r>
      <w:r>
        <w:fldChar w:fldCharType="end"/>
      </w:r>
    </w:p>
    <w:p>
      <w:pPr>
        <w:pStyle w:val="TOC8"/>
        <w:rPr>
          <w:rFonts w:asciiTheme="minorHAnsi" w:eastAsiaTheme="minorEastAsia" w:hAnsiTheme="minorHAnsi" w:cstheme="minorBidi"/>
          <w:szCs w:val="22"/>
        </w:rPr>
      </w:pPr>
      <w:r>
        <w:t>124GN.</w:t>
      </w:r>
      <w:r>
        <w:tab/>
        <w:t>Removal of disqualification: additional provisions</w:t>
      </w:r>
      <w:r>
        <w:tab/>
      </w:r>
      <w:r>
        <w:fldChar w:fldCharType="begin"/>
      </w:r>
      <w:r>
        <w:instrText xml:space="preserve"> PAGEREF _Toc153887631 \h </w:instrText>
      </w:r>
      <w:r>
        <w:fldChar w:fldCharType="separate"/>
      </w:r>
      <w:r>
        <w:t>136</w:t>
      </w:r>
      <w:r>
        <w:fldChar w:fldCharType="end"/>
      </w:r>
    </w:p>
    <w:p>
      <w:pPr>
        <w:pStyle w:val="TOC8"/>
        <w:rPr>
          <w:rFonts w:asciiTheme="minorHAnsi" w:eastAsiaTheme="minorEastAsia" w:hAnsiTheme="minorHAnsi" w:cstheme="minorBidi"/>
          <w:szCs w:val="22"/>
        </w:rPr>
      </w:pPr>
      <w:r>
        <w:t>124GO.</w:t>
      </w:r>
      <w:r>
        <w:tab/>
        <w:t>Notifying chief executive officer of disqualification order</w:t>
      </w:r>
      <w:r>
        <w:tab/>
      </w:r>
      <w:r>
        <w:fldChar w:fldCharType="begin"/>
      </w:r>
      <w:r>
        <w:instrText xml:space="preserve"> PAGEREF _Toc153887632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4 — Effect of disqualifications and other matters</w:t>
      </w:r>
    </w:p>
    <w:p>
      <w:pPr>
        <w:pStyle w:val="TOC8"/>
        <w:rPr>
          <w:rFonts w:asciiTheme="minorHAnsi" w:eastAsiaTheme="minorEastAsia" w:hAnsiTheme="minorHAnsi" w:cstheme="minorBidi"/>
          <w:szCs w:val="22"/>
        </w:rPr>
      </w:pPr>
      <w:r>
        <w:t>124GP.</w:t>
      </w:r>
      <w:r>
        <w:tab/>
        <w:t>Effect of disqualification</w:t>
      </w:r>
      <w:r>
        <w:tab/>
      </w:r>
      <w:r>
        <w:fldChar w:fldCharType="begin"/>
      </w:r>
      <w:r>
        <w:instrText xml:space="preserve"> PAGEREF _Toc153887634 \h </w:instrText>
      </w:r>
      <w:r>
        <w:fldChar w:fldCharType="separate"/>
      </w:r>
      <w:r>
        <w:t>137</w:t>
      </w:r>
      <w:r>
        <w:fldChar w:fldCharType="end"/>
      </w:r>
    </w:p>
    <w:p>
      <w:pPr>
        <w:pStyle w:val="TOC8"/>
        <w:rPr>
          <w:rFonts w:asciiTheme="minorHAnsi" w:eastAsiaTheme="minorEastAsia" w:hAnsiTheme="minorHAnsi" w:cstheme="minorBidi"/>
          <w:szCs w:val="22"/>
        </w:rPr>
      </w:pPr>
      <w:r>
        <w:t>124GQ.</w:t>
      </w:r>
      <w:r>
        <w:tab/>
        <w:t>Other effects of disqualification</w:t>
      </w:r>
      <w:r>
        <w:tab/>
      </w:r>
      <w:r>
        <w:fldChar w:fldCharType="begin"/>
      </w:r>
      <w:r>
        <w:instrText xml:space="preserve"> PAGEREF _Toc153887635 \h </w:instrText>
      </w:r>
      <w:r>
        <w:fldChar w:fldCharType="separate"/>
      </w:r>
      <w:r>
        <w:t>137</w:t>
      </w:r>
      <w:r>
        <w:fldChar w:fldCharType="end"/>
      </w:r>
    </w:p>
    <w:p>
      <w:pPr>
        <w:pStyle w:val="TOC8"/>
        <w:rPr>
          <w:rFonts w:asciiTheme="minorHAnsi" w:eastAsiaTheme="minorEastAsia" w:hAnsiTheme="minorHAnsi" w:cstheme="minorBidi"/>
          <w:szCs w:val="22"/>
        </w:rPr>
      </w:pPr>
      <w:r>
        <w:t>124GR.</w:t>
      </w:r>
      <w:r>
        <w:tab/>
        <w:t>Calculating period of disqualification</w:t>
      </w:r>
      <w:r>
        <w:tab/>
      </w:r>
      <w:r>
        <w:fldChar w:fldCharType="begin"/>
      </w:r>
      <w:r>
        <w:instrText xml:space="preserve"> PAGEREF _Toc153887636 \h </w:instrText>
      </w:r>
      <w:r>
        <w:fldChar w:fldCharType="separate"/>
      </w:r>
      <w:r>
        <w:t>138</w:t>
      </w:r>
      <w:r>
        <w:fldChar w:fldCharType="end"/>
      </w:r>
    </w:p>
    <w:p>
      <w:pPr>
        <w:pStyle w:val="TOC8"/>
        <w:rPr>
          <w:rFonts w:asciiTheme="minorHAnsi" w:eastAsiaTheme="minorEastAsia" w:hAnsiTheme="minorHAnsi" w:cstheme="minorBidi"/>
          <w:szCs w:val="22"/>
        </w:rPr>
      </w:pPr>
      <w:r>
        <w:t>124GS.</w:t>
      </w:r>
      <w:r>
        <w:tab/>
        <w:t>Navigating certain vessels when disqualified from holding or obtaining WA marine qualification</w:t>
      </w:r>
      <w:r>
        <w:tab/>
      </w:r>
      <w:r>
        <w:fldChar w:fldCharType="begin"/>
      </w:r>
      <w:r>
        <w:instrText xml:space="preserve"> PAGEREF _Toc153887637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9 — Legal proceedings</w:t>
      </w:r>
    </w:p>
    <w:p>
      <w:pPr>
        <w:pStyle w:val="TOC4"/>
        <w:tabs>
          <w:tab w:val="right" w:leader="dot" w:pos="7077"/>
        </w:tabs>
        <w:rPr>
          <w:rFonts w:asciiTheme="minorHAnsi" w:eastAsiaTheme="minorEastAsia" w:hAnsiTheme="minorHAnsi" w:cstheme="minorBidi"/>
          <w:b w:val="0"/>
          <w:szCs w:val="22"/>
        </w:rPr>
      </w:pPr>
      <w:r>
        <w:t>Division 2 — Provisions relating to sentencing for dangerous navigation and alcohol and drug related offences</w:t>
      </w:r>
    </w:p>
    <w:p>
      <w:pPr>
        <w:pStyle w:val="TOC8"/>
        <w:rPr>
          <w:rFonts w:asciiTheme="minorHAnsi" w:eastAsiaTheme="minorEastAsia" w:hAnsiTheme="minorHAnsi" w:cstheme="minorBidi"/>
          <w:szCs w:val="22"/>
        </w:rPr>
      </w:pPr>
      <w:r>
        <w:t>124I.</w:t>
      </w:r>
      <w:r>
        <w:tab/>
        <w:t>Term used: young person</w:t>
      </w:r>
      <w:r>
        <w:tab/>
      </w:r>
      <w:r>
        <w:fldChar w:fldCharType="begin"/>
      </w:r>
      <w:r>
        <w:instrText xml:space="preserve"> PAGEREF _Toc153887640 \h </w:instrText>
      </w:r>
      <w:r>
        <w:fldChar w:fldCharType="separate"/>
      </w:r>
      <w:r>
        <w:t>140</w:t>
      </w:r>
      <w:r>
        <w:fldChar w:fldCharType="end"/>
      </w:r>
    </w:p>
    <w:p>
      <w:pPr>
        <w:pStyle w:val="TOC8"/>
        <w:rPr>
          <w:rFonts w:asciiTheme="minorHAnsi" w:eastAsiaTheme="minorEastAsia" w:hAnsiTheme="minorHAnsi" w:cstheme="minorBidi"/>
          <w:szCs w:val="22"/>
        </w:rPr>
      </w:pPr>
      <w:r>
        <w:t>124IA.</w:t>
      </w:r>
      <w:r>
        <w:tab/>
        <w:t>Limitation on period for which previous offences taken into account</w:t>
      </w:r>
      <w:r>
        <w:tab/>
      </w:r>
      <w:r>
        <w:fldChar w:fldCharType="begin"/>
      </w:r>
      <w:r>
        <w:instrText xml:space="preserve"> PAGEREF _Toc153887641 \h </w:instrText>
      </w:r>
      <w:r>
        <w:fldChar w:fldCharType="separate"/>
      </w:r>
      <w:r>
        <w:t>140</w:t>
      </w:r>
      <w:r>
        <w:fldChar w:fldCharType="end"/>
      </w:r>
    </w:p>
    <w:p>
      <w:pPr>
        <w:pStyle w:val="TOC8"/>
        <w:rPr>
          <w:rFonts w:asciiTheme="minorHAnsi" w:eastAsiaTheme="minorEastAsia" w:hAnsiTheme="minorHAnsi" w:cstheme="minorBidi"/>
          <w:szCs w:val="22"/>
        </w:rPr>
      </w:pPr>
      <w:r>
        <w:t>124IB.</w:t>
      </w:r>
      <w:r>
        <w:tab/>
        <w:t>Sentencing for particular offences: option for community based order or youth community based order</w:t>
      </w:r>
      <w:r>
        <w:tab/>
      </w:r>
      <w:r>
        <w:fldChar w:fldCharType="begin"/>
      </w:r>
      <w:r>
        <w:instrText xml:space="preserve"> PAGEREF _Toc153887642 \h </w:instrText>
      </w:r>
      <w:r>
        <w:fldChar w:fldCharType="separate"/>
      </w:r>
      <w:r>
        <w:t>140</w:t>
      </w:r>
      <w:r>
        <w:fldChar w:fldCharType="end"/>
      </w:r>
    </w:p>
    <w:p>
      <w:pPr>
        <w:pStyle w:val="TOC8"/>
        <w:rPr>
          <w:rFonts w:asciiTheme="minorHAnsi" w:eastAsiaTheme="minorEastAsia" w:hAnsiTheme="minorHAnsi" w:cstheme="minorBidi"/>
          <w:szCs w:val="22"/>
        </w:rPr>
      </w:pPr>
      <w:r>
        <w:t>124IC.</w:t>
      </w:r>
      <w:r>
        <w:tab/>
        <w:t>Sentencing for particular offences if community based order or intensive supervision order imposed</w:t>
      </w:r>
      <w:r>
        <w:tab/>
      </w:r>
      <w:r>
        <w:fldChar w:fldCharType="begin"/>
      </w:r>
      <w:r>
        <w:instrText xml:space="preserve"> PAGEREF _Toc153887643 \h </w:instrText>
      </w:r>
      <w:r>
        <w:fldChar w:fldCharType="separate"/>
      </w:r>
      <w:r>
        <w:t>142</w:t>
      </w:r>
      <w:r>
        <w:fldChar w:fldCharType="end"/>
      </w:r>
    </w:p>
    <w:p>
      <w:pPr>
        <w:pStyle w:val="TOC8"/>
        <w:rPr>
          <w:rFonts w:asciiTheme="minorHAnsi" w:eastAsiaTheme="minorEastAsia" w:hAnsiTheme="minorHAnsi" w:cstheme="minorBidi"/>
          <w:szCs w:val="22"/>
        </w:rPr>
      </w:pPr>
      <w:r>
        <w:t>124ID.</w:t>
      </w:r>
      <w:r>
        <w:tab/>
        <w:t>Pre</w:t>
      </w:r>
      <w:r>
        <w:noBreakHyphen/>
        <w:t>sentence report required for sentencing for navigation while impaired by drugs</w:t>
      </w:r>
      <w:r>
        <w:tab/>
      </w:r>
      <w:r>
        <w:fldChar w:fldCharType="begin"/>
      </w:r>
      <w:r>
        <w:instrText xml:space="preserve"> PAGEREF _Toc153887644 \h </w:instrText>
      </w:r>
      <w:r>
        <w:fldChar w:fldCharType="separate"/>
      </w:r>
      <w:r>
        <w:t>144</w:t>
      </w:r>
      <w:r>
        <w:fldChar w:fldCharType="end"/>
      </w:r>
    </w:p>
    <w:p>
      <w:pPr>
        <w:pStyle w:val="TOC8"/>
        <w:rPr>
          <w:rFonts w:asciiTheme="minorHAnsi" w:eastAsiaTheme="minorEastAsia" w:hAnsiTheme="minorHAnsi" w:cstheme="minorBidi"/>
          <w:szCs w:val="22"/>
        </w:rPr>
      </w:pPr>
      <w:r>
        <w:lastRenderedPageBreak/>
        <w:t>124IE.</w:t>
      </w:r>
      <w:r>
        <w:tab/>
        <w:t>Sentencing for first offence of navigation while impaired by drugs or failure to comply with drug impairment assessment</w:t>
      </w:r>
      <w:r>
        <w:tab/>
      </w:r>
      <w:r>
        <w:fldChar w:fldCharType="begin"/>
      </w:r>
      <w:r>
        <w:instrText xml:space="preserve"> PAGEREF _Toc153887645 \h </w:instrText>
      </w:r>
      <w:r>
        <w:fldChar w:fldCharType="separate"/>
      </w:r>
      <w:r>
        <w:t>144</w:t>
      </w:r>
      <w:r>
        <w:fldChar w:fldCharType="end"/>
      </w:r>
    </w:p>
    <w:p>
      <w:pPr>
        <w:pStyle w:val="TOC8"/>
        <w:rPr>
          <w:rFonts w:asciiTheme="minorHAnsi" w:eastAsiaTheme="minorEastAsia" w:hAnsiTheme="minorHAnsi" w:cstheme="minorBidi"/>
          <w:szCs w:val="22"/>
        </w:rPr>
      </w:pPr>
      <w:r>
        <w:t>124IF.</w:t>
      </w:r>
      <w:r>
        <w:tab/>
        <w:t>Sentencing for second or subsequent offence of navigation while impaired by drugs or failure to comply with drug impairment assessment</w:t>
      </w:r>
      <w:r>
        <w:tab/>
      </w:r>
      <w:r>
        <w:fldChar w:fldCharType="begin"/>
      </w:r>
      <w:r>
        <w:instrText xml:space="preserve"> PAGEREF _Toc153887646 \h </w:instrText>
      </w:r>
      <w:r>
        <w:fldChar w:fldCharType="separate"/>
      </w:r>
      <w:r>
        <w:t>145</w:t>
      </w:r>
      <w:r>
        <w:fldChar w:fldCharType="end"/>
      </w:r>
    </w:p>
    <w:p>
      <w:pPr>
        <w:pStyle w:val="TOC8"/>
        <w:rPr>
          <w:rFonts w:asciiTheme="minorHAnsi" w:eastAsiaTheme="minorEastAsia" w:hAnsiTheme="minorHAnsi" w:cstheme="minorBidi"/>
          <w:szCs w:val="22"/>
        </w:rPr>
      </w:pPr>
      <w:r>
        <w:t>124IG.</w:t>
      </w:r>
      <w:r>
        <w:tab/>
        <w:t>Mandatory disqualification</w:t>
      </w:r>
      <w:r>
        <w:tab/>
      </w:r>
      <w:r>
        <w:fldChar w:fldCharType="begin"/>
      </w:r>
      <w:r>
        <w:instrText xml:space="preserve"> PAGEREF _Toc153887647 \h </w:instrText>
      </w:r>
      <w:r>
        <w:fldChar w:fldCharType="separate"/>
      </w:r>
      <w:r>
        <w:t>146</w:t>
      </w:r>
      <w:r>
        <w:fldChar w:fldCharType="end"/>
      </w:r>
    </w:p>
    <w:p>
      <w:pPr>
        <w:pStyle w:val="TOC8"/>
        <w:rPr>
          <w:rFonts w:asciiTheme="minorHAnsi" w:eastAsiaTheme="minorEastAsia" w:hAnsiTheme="minorHAnsi" w:cstheme="minorBidi"/>
          <w:szCs w:val="22"/>
        </w:rPr>
      </w:pPr>
      <w:r>
        <w:t>124IH.</w:t>
      </w:r>
      <w:r>
        <w:tab/>
        <w:t>Minimum fines</w:t>
      </w:r>
      <w:r>
        <w:tab/>
      </w:r>
      <w:r>
        <w:fldChar w:fldCharType="begin"/>
      </w:r>
      <w:r>
        <w:instrText xml:space="preserve"> PAGEREF _Toc153887648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125</w:t>
      </w:r>
      <w:r>
        <w:rPr>
          <w:snapToGrid w:val="0"/>
        </w:rPr>
        <w:t>.</w:t>
      </w:r>
      <w:r>
        <w:rPr>
          <w:snapToGrid w:val="0"/>
        </w:rPr>
        <w:tab/>
        <w:t>Evidence of documents and proof of signature</w:t>
      </w:r>
      <w:r>
        <w:tab/>
      </w:r>
      <w:r>
        <w:fldChar w:fldCharType="begin"/>
      </w:r>
      <w:r>
        <w:instrText xml:space="preserve"> PAGEREF _Toc153887650 \h </w:instrText>
      </w:r>
      <w:r>
        <w:fldChar w:fldCharType="separate"/>
      </w:r>
      <w:r>
        <w:t>147</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Limitation period for prosecutions</w:t>
      </w:r>
      <w:r>
        <w:tab/>
      </w:r>
      <w:r>
        <w:fldChar w:fldCharType="begin"/>
      </w:r>
      <w:r>
        <w:instrText xml:space="preserve"> PAGEREF _Toc153887651 \h </w:instrText>
      </w:r>
      <w:r>
        <w:fldChar w:fldCharType="separate"/>
      </w:r>
      <w:r>
        <w:t>147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Admissibility of documents in evidence</w:t>
      </w:r>
      <w:r>
        <w:tab/>
      </w:r>
      <w:r>
        <w:fldChar w:fldCharType="begin"/>
      </w:r>
      <w:r>
        <w:instrText xml:space="preserve"> PAGEREF _Toc153887652 \h </w:instrText>
      </w:r>
      <w:r>
        <w:fldChar w:fldCharType="separate"/>
      </w:r>
      <w:r>
        <w:t>148</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summons and process</w:t>
      </w:r>
      <w:r>
        <w:tab/>
      </w:r>
      <w:r>
        <w:fldChar w:fldCharType="begin"/>
      </w:r>
      <w:r>
        <w:instrText xml:space="preserve"> PAGEREF _Toc153887653 \h </w:instrText>
      </w:r>
      <w:r>
        <w:fldChar w:fldCharType="separate"/>
      </w:r>
      <w:r>
        <w:t>148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Service of notice where no master</w:t>
      </w:r>
      <w:r>
        <w:tab/>
      </w:r>
      <w:r>
        <w:fldChar w:fldCharType="begin"/>
      </w:r>
      <w:r>
        <w:instrText xml:space="preserve"> PAGEREF _Toc153887654 \h </w:instrText>
      </w:r>
      <w:r>
        <w:fldChar w:fldCharType="separate"/>
      </w:r>
      <w:r>
        <w:t>149</w:t>
      </w:r>
      <w:r>
        <w:fldChar w:fldCharType="end"/>
      </w:r>
    </w:p>
    <w:p>
      <w:pPr>
        <w:pStyle w:val="TOC8"/>
        <w:rPr>
          <w:rFonts w:asciiTheme="minorHAnsi" w:eastAsiaTheme="minorEastAsia" w:hAnsiTheme="minorHAnsi" w:cstheme="minorBidi"/>
          <w:szCs w:val="22"/>
        </w:rPr>
      </w:pPr>
      <w:r>
        <w:t>129.</w:t>
      </w:r>
      <w:r>
        <w:tab/>
        <w:t>Averments relating to vessels</w:t>
      </w:r>
      <w:r>
        <w:tab/>
      </w:r>
      <w:r>
        <w:fldChar w:fldCharType="begin"/>
      </w:r>
      <w:r>
        <w:instrText xml:space="preserve"> PAGEREF _Toc153887655 \h </w:instrText>
      </w:r>
      <w:r>
        <w:fldChar w:fldCharType="separate"/>
      </w:r>
      <w:r>
        <w:t>149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r>
      <w:r>
        <w:t>Averment relating to qualifications of crew</w:t>
      </w:r>
      <w:r>
        <w:tab/>
      </w:r>
      <w:r>
        <w:fldChar w:fldCharType="begin"/>
      </w:r>
      <w:r>
        <w:instrText xml:space="preserve"> PAGEREF _Toc153887656 \h </w:instrText>
      </w:r>
      <w:r>
        <w:fldChar w:fldCharType="separate"/>
      </w:r>
      <w:r>
        <w:t>150</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Place where act committed</w:t>
      </w:r>
      <w:r>
        <w:tab/>
      </w:r>
      <w:r>
        <w:fldChar w:fldCharType="begin"/>
      </w:r>
      <w:r>
        <w:instrText xml:space="preserve"> PAGEREF _Toc153887657 \h </w:instrText>
      </w:r>
      <w:r>
        <w:fldChar w:fldCharType="separate"/>
      </w:r>
      <w:r>
        <w:t>150</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Proceedings by way of infringement notice</w:t>
      </w:r>
      <w:r>
        <w:tab/>
      </w:r>
      <w:r>
        <w:fldChar w:fldCharType="begin"/>
      </w:r>
      <w:r>
        <w:instrText xml:space="preserve"> PAGEREF _Toc153887658 \h </w:instrText>
      </w:r>
      <w:r>
        <w:fldChar w:fldCharType="separate"/>
      </w:r>
      <w:r>
        <w:t>150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Onus on owner to identify person in charge of vessel</w:t>
      </w:r>
      <w:r>
        <w:tab/>
      </w:r>
      <w:r>
        <w:fldChar w:fldCharType="begin"/>
      </w:r>
      <w:r>
        <w:instrText xml:space="preserve"> PAGEREF _Toc153887659 \h </w:instrText>
      </w:r>
      <w:r>
        <w:fldChar w:fldCharType="separate"/>
      </w:r>
      <w:r>
        <w:t>153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Production of proof of identity by authorised person</w:t>
      </w:r>
      <w:r>
        <w:tab/>
      </w:r>
      <w:r>
        <w:fldChar w:fldCharType="begin"/>
      </w:r>
      <w:r>
        <w:instrText xml:space="preserve"> PAGEREF _Toc153887660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10 — Repeal and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Western Australian Marine Act 1982</w:t>
      </w:r>
    </w:p>
    <w:p>
      <w:pPr>
        <w:pStyle w:val="TOC8"/>
        <w:rPr>
          <w:rFonts w:asciiTheme="minorHAnsi" w:eastAsiaTheme="minorEastAsia" w:hAnsiTheme="minorHAnsi" w:cstheme="minorBidi"/>
          <w:szCs w:val="22"/>
        </w:rPr>
      </w:pPr>
      <w:r>
        <w:t>135</w:t>
      </w:r>
      <w:r>
        <w:rPr>
          <w:snapToGrid w:val="0"/>
        </w:rPr>
        <w:t>.</w:t>
      </w:r>
      <w:r>
        <w:rPr>
          <w:snapToGrid w:val="0"/>
        </w:rPr>
        <w:tab/>
        <w:t>Repeals</w:t>
      </w:r>
      <w:r>
        <w:tab/>
      </w:r>
      <w:r>
        <w:fldChar w:fldCharType="begin"/>
      </w:r>
      <w:r>
        <w:instrText xml:space="preserve"> PAGEREF _Toc153887663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Marine Safety (Domestic Commercial Vessel National Law Application) Act 2023</w:t>
      </w:r>
    </w:p>
    <w:p>
      <w:pPr>
        <w:pStyle w:val="TOC8"/>
        <w:rPr>
          <w:rFonts w:asciiTheme="minorHAnsi" w:eastAsiaTheme="minorEastAsia" w:hAnsiTheme="minorHAnsi" w:cstheme="minorBidi"/>
          <w:szCs w:val="22"/>
        </w:rPr>
      </w:pPr>
      <w:r>
        <w:t>136.</w:t>
      </w:r>
      <w:r>
        <w:tab/>
        <w:t>Certain orders, notices, exemptions and certificates</w:t>
      </w:r>
      <w:r>
        <w:tab/>
      </w:r>
      <w:r>
        <w:fldChar w:fldCharType="begin"/>
      </w:r>
      <w:r>
        <w:instrText xml:space="preserve"> PAGEREF _Toc153887665 \h </w:instrText>
      </w:r>
      <w:r>
        <w:fldChar w:fldCharType="separate"/>
      </w:r>
      <w:r>
        <w:t>157</w:t>
      </w:r>
      <w:r>
        <w:fldChar w:fldCharType="end"/>
      </w:r>
    </w:p>
    <w:p>
      <w:pPr>
        <w:pStyle w:val="TOC8"/>
        <w:rPr>
          <w:rFonts w:asciiTheme="minorHAnsi" w:eastAsiaTheme="minorEastAsia" w:hAnsiTheme="minorHAnsi" w:cstheme="minorBidi"/>
          <w:szCs w:val="22"/>
        </w:rPr>
      </w:pPr>
      <w:r>
        <w:t>137.</w:t>
      </w:r>
      <w:r>
        <w:tab/>
        <w:t>Transitional regulations</w:t>
      </w:r>
      <w:r>
        <w:tab/>
      </w:r>
      <w:r>
        <w:fldChar w:fldCharType="begin"/>
      </w:r>
      <w:r>
        <w:instrText xml:space="preserve"> PAGEREF _Toc153887666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Western Australian Marine Amendment Act 2023</w:t>
      </w:r>
    </w:p>
    <w:p>
      <w:pPr>
        <w:pStyle w:val="TOC8"/>
        <w:rPr>
          <w:rFonts w:asciiTheme="minorHAnsi" w:eastAsiaTheme="minorEastAsia" w:hAnsiTheme="minorHAnsi" w:cstheme="minorBidi"/>
          <w:szCs w:val="22"/>
        </w:rPr>
      </w:pPr>
      <w:r>
        <w:t>138.</w:t>
      </w:r>
      <w:r>
        <w:tab/>
        <w:t>Offences against repealed section 59</w:t>
      </w:r>
      <w:r>
        <w:tab/>
      </w:r>
      <w:r>
        <w:fldChar w:fldCharType="begin"/>
      </w:r>
      <w:r>
        <w:instrText xml:space="preserve"> PAGEREF _Toc153887668 \h </w:instrText>
      </w:r>
      <w:r>
        <w:fldChar w:fldCharType="separate"/>
      </w:r>
      <w:r>
        <w:t>159</w:t>
      </w:r>
      <w:r>
        <w:fldChar w:fldCharType="end"/>
      </w:r>
    </w:p>
    <w:p>
      <w:pPr>
        <w:pStyle w:val="TOC8"/>
        <w:rPr>
          <w:rFonts w:asciiTheme="minorHAnsi" w:eastAsiaTheme="minorEastAsia" w:hAnsiTheme="minorHAnsi" w:cstheme="minorBidi"/>
          <w:szCs w:val="22"/>
        </w:rPr>
      </w:pPr>
      <w:r>
        <w:t>139.</w:t>
      </w:r>
      <w:r>
        <w:tab/>
        <w:t>Transitional regulations</w:t>
      </w:r>
      <w:r>
        <w:tab/>
      </w:r>
      <w:r>
        <w:fldChar w:fldCharType="begin"/>
      </w:r>
      <w:r>
        <w:instrText xml:space="preserve"> PAGEREF _Toc153887669 \h </w:instrText>
      </w:r>
      <w:r>
        <w:fldChar w:fldCharType="separate"/>
      </w:r>
      <w:r>
        <w:t>160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Container Convention</w:t>
      </w:r>
    </w:p>
    <w:p>
      <w:pPr>
        <w:pStyle w:val="TOC2"/>
        <w:tabs>
          <w:tab w:val="right" w:leader="dot" w:pos="7077"/>
        </w:tabs>
        <w:rPr>
          <w:rFonts w:asciiTheme="minorHAnsi" w:eastAsiaTheme="minorEastAsia" w:hAnsiTheme="minorHAnsi" w:cstheme="minorBidi"/>
          <w:b w:val="0"/>
          <w:sz w:val="22"/>
          <w:szCs w:val="22"/>
        </w:rPr>
      </w:pPr>
      <w:r>
        <w:lastRenderedPageBreak/>
        <w:t>Schedule 2 — Limitation Convention</w:t>
      </w:r>
    </w:p>
    <w:p>
      <w:pPr>
        <w:pStyle w:val="TOC2"/>
        <w:tabs>
          <w:tab w:val="right" w:leader="dot" w:pos="7077"/>
        </w:tabs>
        <w:rPr>
          <w:rFonts w:asciiTheme="minorHAnsi" w:eastAsiaTheme="minorEastAsia" w:hAnsiTheme="minorHAnsi" w:cstheme="minorBidi"/>
          <w:b w:val="0"/>
          <w:sz w:val="22"/>
          <w:szCs w:val="22"/>
        </w:rPr>
      </w:pPr>
      <w:r>
        <w:t>Schedule 3 — Prevention of Collisions Convention</w:t>
      </w:r>
    </w:p>
    <w:p>
      <w:pPr>
        <w:pStyle w:val="TOC2"/>
        <w:tabs>
          <w:tab w:val="right" w:leader="dot" w:pos="7077"/>
        </w:tabs>
        <w:rPr>
          <w:rFonts w:asciiTheme="minorHAnsi" w:eastAsiaTheme="minorEastAsia" w:hAnsiTheme="minorHAnsi" w:cstheme="minorBidi"/>
          <w:b w:val="0"/>
          <w:sz w:val="22"/>
          <w:szCs w:val="22"/>
        </w:rPr>
      </w:pPr>
      <w:r>
        <w:t>Schedule 4 — Safety Convention</w:t>
      </w:r>
    </w:p>
    <w:p>
      <w:pPr>
        <w:pStyle w:val="TOC2"/>
        <w:tabs>
          <w:tab w:val="right" w:leader="dot" w:pos="7077"/>
        </w:tabs>
        <w:rPr>
          <w:rFonts w:asciiTheme="minorHAnsi" w:eastAsiaTheme="minorEastAsia" w:hAnsiTheme="minorHAnsi" w:cstheme="minorBidi"/>
          <w:b w:val="0"/>
          <w:sz w:val="22"/>
          <w:szCs w:val="22"/>
        </w:rPr>
      </w:pPr>
      <w:r>
        <w:t>Schedule 5 — 1978 Protocol relating to Safety Convention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_Toc153887676 \h </w:instrText>
      </w:r>
      <w:r>
        <w:fldChar w:fldCharType="separate"/>
      </w:r>
      <w:r>
        <w:t>273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_Toc153887677 \h </w:instrText>
      </w:r>
      <w:r>
        <w:fldChar w:fldCharType="separate"/>
      </w:r>
      <w:r>
        <w:t>275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_Toc153887678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Western Australian Marine Act 1982</w:t>
      </w:r>
    </w:p>
    <w:p>
      <w:pPr>
        <w:pStyle w:val="LongTitle"/>
        <w:outlineLvl w:val="0"/>
        <w:rPr>
          <w:snapToGrid w:val="0"/>
        </w:rPr>
      </w:pPr>
      <w:r>
        <w:rPr>
          <w:snapToGrid w:val="0"/>
        </w:rPr>
        <w:t xml:space="preserve">An Act to regulate navigation of, and to provide for the safe use of, waters in or relating to the State, and </w:t>
      </w:r>
      <w:r>
        <w:t>for related purposes</w:t>
      </w:r>
      <w:r>
        <w:rPr>
          <w:snapToGrid w:val="0"/>
        </w:rPr>
        <w:t>.</w:t>
      </w:r>
    </w:p>
    <w:p>
      <w:pPr>
        <w:pStyle w:val="Footnotelongtitle"/>
      </w:pPr>
      <w:r>
        <w:tab/>
        <w:t>[Long Title inserted: No. 24 of 2023 s. 37.]</w:t>
      </w:r>
    </w:p>
    <w:p>
      <w:pPr>
        <w:pStyle w:val="Heading2"/>
      </w:pPr>
      <w:bookmarkStart w:id="2" w:name="_Toc153377199"/>
      <w:bookmarkStart w:id="3" w:name="_Toc153544688"/>
      <w:bookmarkStart w:id="4" w:name="_Toc153796291"/>
      <w:bookmarkStart w:id="5" w:name="_Toc153887439"/>
      <w:r>
        <w:rPr>
          <w:rStyle w:val="CharPartNo"/>
        </w:rPr>
        <w:lastRenderedPageBreak/>
        <w:t>Part 1</w:t>
      </w:r>
      <w:r>
        <w:rPr>
          <w:szCs w:val="30"/>
        </w:rPr>
        <w:t> —</w:t>
      </w:r>
      <w:r>
        <w:rPr>
          <w:rStyle w:val="CharDivText"/>
        </w:rPr>
        <w:t> </w:t>
      </w:r>
      <w:r>
        <w:rPr>
          <w:rStyle w:val="CharPartText"/>
        </w:rPr>
        <w:t>Preliminary</w:t>
      </w:r>
      <w:bookmarkEnd w:id="2"/>
      <w:bookmarkEnd w:id="3"/>
      <w:bookmarkEnd w:id="4"/>
      <w:bookmarkEnd w:id="5"/>
    </w:p>
    <w:p>
      <w:pPr>
        <w:pStyle w:val="Footnoteheading"/>
      </w:pPr>
      <w:r>
        <w:tab/>
        <w:t>[Heading amended: No. 24 of 2023 s. 38.]</w:t>
      </w:r>
    </w:p>
    <w:p>
      <w:pPr>
        <w:pStyle w:val="Heading5"/>
        <w:rPr>
          <w:snapToGrid w:val="0"/>
        </w:rPr>
      </w:pPr>
      <w:bookmarkStart w:id="6" w:name="_Toc153887440"/>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rPr>
        <w:t>.</w:t>
      </w:r>
    </w:p>
    <w:p>
      <w:pPr>
        <w:pStyle w:val="Heading5"/>
        <w:rPr>
          <w:snapToGrid w:val="0"/>
        </w:rPr>
      </w:pPr>
      <w:bookmarkStart w:id="7" w:name="_Toc153887441"/>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p>
    <w:p>
      <w:pPr>
        <w:pStyle w:val="Heading5"/>
        <w:rPr>
          <w:snapToGrid w:val="0"/>
        </w:rPr>
      </w:pPr>
      <w:bookmarkStart w:id="8" w:name="_Toc153887442"/>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tab/>
      </w:r>
      <w:r>
        <w:rPr>
          <w:rStyle w:val="CharDefText"/>
        </w:rPr>
        <w:t>alcohol or drug testing requirement</w:t>
      </w:r>
      <w:r>
        <w:t>, in relation to a person, means a requirement imposed on the person under Part 3B Division 2 or 3;</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rPr>
          <w:vertAlign w:val="superscript"/>
        </w:rPr>
        <w:t> 1</w:t>
      </w:r>
      <w:r>
        <w:t xml:space="preserve"> of the Commonwealth is in force;</w:t>
      </w:r>
    </w:p>
    <w:p>
      <w:pPr>
        <w:pStyle w:val="Defstart"/>
      </w:pPr>
      <w:r>
        <w:rPr>
          <w:b/>
        </w:rPr>
        <w:lastRenderedPageBreak/>
        <w:tab/>
      </w:r>
      <w:r>
        <w:rPr>
          <w:rStyle w:val="CharDefText"/>
        </w:rPr>
        <w:t>Australian ship</w:t>
      </w:r>
      <w:r>
        <w:t xml:space="preserve"> has the same meaning as in the </w:t>
      </w:r>
      <w:r>
        <w:rPr>
          <w:i/>
        </w:rPr>
        <w:t>Shipping Registration Act 1981</w:t>
      </w:r>
      <w:r>
        <w:t xml:space="preserve"> of the Commonwealth;</w:t>
      </w:r>
    </w:p>
    <w:p>
      <w:pPr>
        <w:pStyle w:val="Defstart"/>
      </w:pPr>
      <w:r>
        <w:tab/>
      </w:r>
      <w:r>
        <w:rPr>
          <w:rStyle w:val="CharDefText"/>
        </w:rPr>
        <w:t>authorised person</w:t>
      </w:r>
      <w:r>
        <w:t xml:space="preserve"> means a person designated under section 117(1) as an authorised person for the purposes of the provision in which the term is used;</w:t>
      </w:r>
    </w:p>
    <w:p>
      <w:pPr>
        <w:pStyle w:val="Defstart"/>
      </w:pPr>
      <w:r>
        <w:tab/>
      </w:r>
      <w:r>
        <w:rPr>
          <w:rStyle w:val="CharDefText"/>
        </w:rPr>
        <w:t>BAC</w:t>
      </w:r>
      <w:r>
        <w:t>, in relation to a person, means the concentration of alcohol in the person’s blood, expressed in grams of alcohol per 100 mL of blood;</w:t>
      </w:r>
    </w:p>
    <w:p>
      <w:pPr>
        <w:pStyle w:val="PermNoteHeading"/>
      </w:pPr>
      <w:r>
        <w:tab/>
        <w:t>Example for this definition:</w:t>
      </w:r>
    </w:p>
    <w:p>
      <w:pPr>
        <w:pStyle w:val="PermNoteText"/>
      </w:pPr>
      <w:r>
        <w:tab/>
      </w:r>
      <w:r>
        <w:tab/>
        <w:t>A BAC of 0.08 g is a concentration of 0.08 g of alcohol per 100 mL of blood.</w:t>
      </w:r>
    </w:p>
    <w:p>
      <w:pPr>
        <w:pStyle w:val="Defstart"/>
      </w:pPr>
      <w:r>
        <w:tab/>
      </w:r>
      <w:r>
        <w:rPr>
          <w:rStyle w:val="CharDefText"/>
        </w:rPr>
        <w:t>bodily harm</w:t>
      </w:r>
      <w:r>
        <w:t xml:space="preserve"> has the meaning given in </w:t>
      </w:r>
      <w:r>
        <w:rPr>
          <w:i/>
        </w:rPr>
        <w:t>The Criminal Code</w:t>
      </w:r>
      <w:r>
        <w:t xml:space="preserve"> section 1(1);</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tab/>
      </w:r>
      <w:r>
        <w:rPr>
          <w:rStyle w:val="CharDefText"/>
        </w:rPr>
        <w:t>Chemistry Centre (WA)</w:t>
      </w:r>
      <w:r>
        <w:t xml:space="preserve"> means the body established by the </w:t>
      </w:r>
      <w:r>
        <w:rPr>
          <w:i/>
        </w:rPr>
        <w:t>Chemistry Centre (WA) Act 2007</w:t>
      </w:r>
      <w:r>
        <w:t xml:space="preserve"> section 4(1);</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lastRenderedPageBreak/>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tab/>
      </w:r>
      <w:r>
        <w:rPr>
          <w:rStyle w:val="CharDefText"/>
        </w:rPr>
        <w:t>dentist</w:t>
      </w:r>
      <w:r>
        <w:t xml:space="preserve"> means a person — </w:t>
      </w:r>
    </w:p>
    <w:p>
      <w:pPr>
        <w:pStyle w:val="Defpara"/>
      </w:pPr>
      <w:r>
        <w:tab/>
        <w:t>(a)</w:t>
      </w:r>
      <w:r>
        <w:tab/>
        <w:t xml:space="preserve">registered under the </w:t>
      </w:r>
      <w:r>
        <w:rPr>
          <w:i/>
        </w:rPr>
        <w:t>Health Practitioner Regulation National Law (Western Australia)</w:t>
      </w:r>
      <w:r>
        <w:t xml:space="preserve"> in the dental profession; and </w:t>
      </w:r>
    </w:p>
    <w:p>
      <w:pPr>
        <w:pStyle w:val="Defpara"/>
      </w:pPr>
      <w:r>
        <w:tab/>
        <w:t>(b)</w:t>
      </w:r>
      <w:r>
        <w:tab/>
        <w:t>whose name is entered on the dentists division of the Register of Dental Practitioners kept under that Law;</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detained vessel</w:t>
      </w:r>
      <w:r>
        <w:t xml:space="preserve"> means a vessel detained under section 61;</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tab/>
      </w:r>
      <w:r>
        <w:rPr>
          <w:rStyle w:val="CharDefText"/>
        </w:rPr>
        <w:t>domestic commercial vessel</w:t>
      </w:r>
      <w:r>
        <w:t xml:space="preserve"> has the meaning given in the Scheduled Domestic Commercial Vessel National Law section 7;</w:t>
      </w:r>
    </w:p>
    <w:p>
      <w:pPr>
        <w:pStyle w:val="Defstart"/>
      </w:pPr>
      <w:r>
        <w:tab/>
      </w:r>
      <w:r>
        <w:rPr>
          <w:rStyle w:val="CharDefText"/>
        </w:rPr>
        <w:t>drug</w:t>
      </w:r>
      <w:r>
        <w:t xml:space="preserve"> has the meaning given in the </w:t>
      </w:r>
      <w:r>
        <w:rPr>
          <w:i/>
        </w:rPr>
        <w:t>Road Traffic Act 1974</w:t>
      </w:r>
      <w:r>
        <w:t xml:space="preserve"> section 65;</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rPr>
          <w:b/>
        </w:rPr>
        <w:tab/>
      </w:r>
      <w:r>
        <w:rPr>
          <w:rStyle w:val="CharDefText"/>
        </w:rPr>
        <w:t>equipment</w:t>
      </w:r>
      <w:r>
        <w:t xml:space="preserve"> in relation to a vessel, includes every thing or article belonging to or to be used in connection with, or necessary for the navigation and safety of, the vessel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 xml:space="preserve">sounding devices, </w:t>
      </w:r>
      <w:r>
        <w:lastRenderedPageBreak/>
        <w:t>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tab/>
      </w:r>
      <w:r>
        <w:rPr>
          <w:rStyle w:val="CharDefText"/>
        </w:rPr>
        <w:t>foreign vessel</w:t>
      </w:r>
      <w:r>
        <w:t xml:space="preserve"> has the meaning given in the </w:t>
      </w:r>
      <w:r>
        <w:rPr>
          <w:i/>
        </w:rPr>
        <w:t>Navigation Act 2012</w:t>
      </w:r>
      <w:r>
        <w:t xml:space="preserve"> (Commonwealth) section 14(1);</w:t>
      </w:r>
    </w:p>
    <w:p>
      <w:pPr>
        <w:pStyle w:val="Defstart"/>
      </w:pPr>
      <w:r>
        <w:tab/>
      </w:r>
      <w:r>
        <w:rPr>
          <w:rStyle w:val="CharDefText"/>
        </w:rPr>
        <w:t>former Navigation Act</w:t>
      </w:r>
      <w:r>
        <w:t xml:space="preserve"> means the </w:t>
      </w:r>
      <w:r>
        <w:rPr>
          <w:i/>
        </w:rPr>
        <w:t>Navigation Act 1912</w:t>
      </w:r>
      <w:r>
        <w:t xml:space="preserve"> (Commonwealth) as in force before it was repealed;</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 or</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tab/>
      </w:r>
      <w:r>
        <w:rPr>
          <w:rStyle w:val="CharDefText"/>
        </w:rPr>
        <w:t>grievous bodily harm</w:t>
      </w:r>
      <w:r>
        <w:t xml:space="preserve"> has the meaning given in </w:t>
      </w:r>
      <w:r>
        <w:rPr>
          <w:i/>
        </w:rPr>
        <w:t>The Criminal Code</w:t>
      </w:r>
      <w:r>
        <w:t xml:space="preserve"> section 1(1);</w:t>
      </w:r>
    </w:p>
    <w:p>
      <w:pPr>
        <w:pStyle w:val="Defstart"/>
      </w:pPr>
      <w:r>
        <w:lastRenderedPageBreak/>
        <w:tab/>
      </w:r>
      <w:r>
        <w:rPr>
          <w:rStyle w:val="CharDefText"/>
        </w:rPr>
        <w:t>identity card</w:t>
      </w:r>
      <w:r>
        <w:t xml:space="preserve"> means an identity card issued under section 118;</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pPr>
      <w:r>
        <w:tab/>
      </w:r>
      <w:r>
        <w:rPr>
          <w:rStyle w:val="CharDefText"/>
        </w:rPr>
        <w:t>infringement notice</w:t>
      </w:r>
      <w:r>
        <w:t xml:space="preserve"> has the meaning given in section 132(1);</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tab/>
      </w:r>
      <w:r>
        <w:rPr>
          <w:rStyle w:val="CharDefText"/>
        </w:rPr>
        <w:t>inspector</w:t>
      </w:r>
      <w:r>
        <w:t xml:space="preserve"> means — </w:t>
      </w:r>
    </w:p>
    <w:p>
      <w:pPr>
        <w:pStyle w:val="Defpara"/>
      </w:pPr>
      <w:r>
        <w:tab/>
        <w:t>(a)</w:t>
      </w:r>
      <w:r>
        <w:tab/>
        <w:t>a person designated under section 117(1) as an inspector for the purposes of the provision in which the term is used; or</w:t>
      </w:r>
    </w:p>
    <w:p>
      <w:pPr>
        <w:pStyle w:val="Defpara"/>
      </w:pPr>
      <w:r>
        <w:tab/>
        <w:t>(b)</w:t>
      </w:r>
      <w:r>
        <w:tab/>
        <w:t>a member of a class of police officer designated under section 117(2) as inspectors for the purposes of the provision in which the term is used;</w:t>
      </w:r>
    </w:p>
    <w:p>
      <w:pPr>
        <w:pStyle w:val="Defstart"/>
      </w:pPr>
      <w:r>
        <w:tab/>
      </w:r>
      <w:r>
        <w:rPr>
          <w:rStyle w:val="CharDefText"/>
        </w:rPr>
        <w:t>leave vessel, accompany officer or wait requirement</w:t>
      </w:r>
      <w:r>
        <w:t>, in relation to a person, means a requirement imposed on the person under section 75G;</w:t>
      </w:r>
    </w:p>
    <w:p>
      <w:pPr>
        <w:pStyle w:val="Defstart"/>
      </w:pPr>
      <w:r>
        <w:rPr>
          <w:b/>
        </w:rPr>
        <w:tab/>
      </w:r>
      <w:r>
        <w:rPr>
          <w:rStyle w:val="CharDefText"/>
        </w:rPr>
        <w:t>Manning Committee</w:t>
      </w:r>
      <w:r>
        <w:t xml:space="preserve"> means the Western Australia Marine Manning Committee established by section 15;</w:t>
      </w:r>
    </w:p>
    <w:p>
      <w:pPr>
        <w:pStyle w:val="Defstart"/>
      </w:pPr>
      <w:r>
        <w:tab/>
      </w:r>
      <w:r>
        <w:rPr>
          <w:rStyle w:val="CharDefText"/>
        </w:rPr>
        <w:t>marine qualification</w:t>
      </w:r>
      <w:r>
        <w:t xml:space="preserve"> means — </w:t>
      </w:r>
    </w:p>
    <w:p>
      <w:pPr>
        <w:pStyle w:val="Defpara"/>
      </w:pPr>
      <w:r>
        <w:tab/>
        <w:t>(a)</w:t>
      </w:r>
      <w:r>
        <w:tab/>
        <w:t xml:space="preserve">a WA marine qualification; or </w:t>
      </w:r>
    </w:p>
    <w:p>
      <w:pPr>
        <w:pStyle w:val="Defpara"/>
      </w:pPr>
      <w:r>
        <w:tab/>
        <w:t>(b)</w:t>
      </w:r>
      <w:r>
        <w:tab/>
        <w:t xml:space="preserve">a qualification, permit, licence or certificate (however described) issued to a person — </w:t>
      </w:r>
    </w:p>
    <w:p>
      <w:pPr>
        <w:pStyle w:val="Defsubpara"/>
      </w:pPr>
      <w:r>
        <w:tab/>
        <w:t>(i)</w:t>
      </w:r>
      <w:r>
        <w:tab/>
        <w:t>in relation to navigating or operating a vessel (as those terms are defined in section 75AA(1) and (2)), or required by crew of a vessel; and</w:t>
      </w:r>
    </w:p>
    <w:p>
      <w:pPr>
        <w:pStyle w:val="Defsubpara"/>
      </w:pPr>
      <w:r>
        <w:lastRenderedPageBreak/>
        <w:tab/>
        <w:t>(ii)</w:t>
      </w:r>
      <w:r>
        <w:tab/>
        <w:t>under a law of another Australian jurisdiction or an overseas jurisdiction;</w:t>
      </w:r>
    </w:p>
    <w:p>
      <w:pPr>
        <w:pStyle w:val="Defstart"/>
      </w:pPr>
      <w:r>
        <w:tab/>
      </w:r>
      <w:r>
        <w:rPr>
          <w:rStyle w:val="CharDefText"/>
        </w:rPr>
        <w:t>marine qualification information</w:t>
      </w:r>
      <w:r>
        <w:t xml:space="preserve"> has the meaning given in section 107;</w:t>
      </w:r>
    </w:p>
    <w:p>
      <w:pPr>
        <w:pStyle w:val="Defstart"/>
      </w:pPr>
      <w:r>
        <w:tab/>
      </w:r>
      <w:r>
        <w:rPr>
          <w:rStyle w:val="CharDefText"/>
        </w:rPr>
        <w:t>master</w:t>
      </w:r>
      <w:r>
        <w:t>, of a vessel —</w:t>
      </w:r>
    </w:p>
    <w:p>
      <w:pPr>
        <w:pStyle w:val="Defpara"/>
      </w:pPr>
      <w:r>
        <w:tab/>
        <w:t>(a)</w:t>
      </w:r>
      <w:r>
        <w:tab/>
        <w:t xml:space="preserve">means the person who has command or charge of the vessel; but </w:t>
      </w:r>
    </w:p>
    <w:p>
      <w:pPr>
        <w:pStyle w:val="Defpara"/>
      </w:pPr>
      <w:r>
        <w:tab/>
        <w:t>(b)</w:t>
      </w:r>
      <w:r>
        <w:tab/>
        <w:t>does not include a pilot;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tab/>
      </w:r>
      <w:bookmarkStart w:id="9" w:name="_Hlk153521171"/>
      <w:r>
        <w:rPr>
          <w:rStyle w:val="CharDefText"/>
        </w:rPr>
        <w:t>mooring information</w:t>
      </w:r>
      <w:r>
        <w:t xml:space="preserve"> has the meaning given in section 107;</w:t>
      </w:r>
      <w:bookmarkEnd w:id="9"/>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officer</w:t>
      </w:r>
      <w:r>
        <w:t xml:space="preserve"> — </w:t>
      </w:r>
    </w:p>
    <w:p>
      <w:pPr>
        <w:pStyle w:val="Defpara"/>
      </w:pPr>
      <w:r>
        <w:tab/>
        <w:t>(a)</w:t>
      </w:r>
      <w:r>
        <w:tab/>
        <w:t xml:space="preserve">of a body corporate — has the meaning given in the </w:t>
      </w:r>
      <w:r>
        <w:rPr>
          <w:i/>
        </w:rPr>
        <w:t>Corporations Act 2001</w:t>
      </w:r>
      <w:r>
        <w:t xml:space="preserve"> (Commonwealth) section 9; and</w:t>
      </w:r>
    </w:p>
    <w:p>
      <w:pPr>
        <w:pStyle w:val="Defpara"/>
      </w:pPr>
      <w:r>
        <w:tab/>
        <w:t>(b)</w:t>
      </w:r>
      <w:r>
        <w:tab/>
        <w:t>of the Department — means a public service officer in the Department;</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spacing w:before="60"/>
      </w:pPr>
      <w:r>
        <w:tab/>
        <w:t>(a)</w:t>
      </w:r>
      <w:r>
        <w:tab/>
        <w:t>operations within a limit of 200 nautical miles to seaward of the coast; or</w:t>
      </w:r>
    </w:p>
    <w:p>
      <w:pPr>
        <w:pStyle w:val="Defpara"/>
        <w:spacing w:before="60"/>
      </w:pPr>
      <w:r>
        <w:lastRenderedPageBreak/>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their own behalf or on behalf of another and includes a person who is the owner jointly with any other person or persons and an officer of a body corporate;</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spacing w:before="60"/>
      </w:pPr>
      <w:r>
        <w:tab/>
        <w:t>(a)</w:t>
      </w:r>
      <w:r>
        <w:tab/>
        <w:t>the master, members of the crew, other persons employed or engaged in any capacity on board the vessel in the business of that vessel; and</w:t>
      </w:r>
    </w:p>
    <w:p>
      <w:pPr>
        <w:pStyle w:val="Defpara"/>
        <w:spacing w:before="60"/>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tab/>
      </w:r>
      <w:r>
        <w:rPr>
          <w:rStyle w:val="CharDefText"/>
        </w:rPr>
        <w:t>personal watercraft</w:t>
      </w:r>
      <w:r>
        <w:t xml:space="preserve"> — </w:t>
      </w:r>
    </w:p>
    <w:p>
      <w:pPr>
        <w:pStyle w:val="Defpara"/>
      </w:pPr>
      <w:r>
        <w:tab/>
        <w:t>(a)</w:t>
      </w:r>
      <w:r>
        <w:tab/>
        <w:t xml:space="preserve">means a craft that is — </w:t>
      </w:r>
    </w:p>
    <w:p>
      <w:pPr>
        <w:pStyle w:val="Defsubpara"/>
      </w:pPr>
      <w:r>
        <w:tab/>
        <w:t>(i)</w:t>
      </w:r>
      <w:r>
        <w:tab/>
        <w:t>powered by a motor; and</w:t>
      </w:r>
    </w:p>
    <w:p>
      <w:pPr>
        <w:pStyle w:val="Defsubpara"/>
      </w:pPr>
      <w:r>
        <w:tab/>
        <w:t>(ii)</w:t>
      </w:r>
      <w:r>
        <w:tab/>
        <w:t>designed (whether or not exclusively) to be operated by a person on or astride the hull and not within it;</w:t>
      </w:r>
    </w:p>
    <w:p>
      <w:pPr>
        <w:pStyle w:val="Defpara"/>
      </w:pPr>
      <w:r>
        <w:tab/>
      </w:r>
      <w:r>
        <w:tab/>
        <w:t>and</w:t>
      </w:r>
    </w:p>
    <w:p>
      <w:pPr>
        <w:pStyle w:val="Defpara"/>
      </w:pPr>
      <w:r>
        <w:tab/>
        <w:t>(b)</w:t>
      </w:r>
      <w:r>
        <w:tab/>
        <w:t xml:space="preserve">includes a craft that was designed (whether or not exclusively) as a personal watercraft but which has been — </w:t>
      </w:r>
    </w:p>
    <w:p>
      <w:pPr>
        <w:pStyle w:val="Defsubpara"/>
      </w:pPr>
      <w:r>
        <w:tab/>
        <w:t>(i)</w:t>
      </w:r>
      <w:r>
        <w:tab/>
        <w:t>modified; or</w:t>
      </w:r>
    </w:p>
    <w:p>
      <w:pPr>
        <w:pStyle w:val="Defsubpara"/>
      </w:pPr>
      <w:r>
        <w:tab/>
        <w:t>(ii)</w:t>
      </w:r>
      <w:r>
        <w:tab/>
        <w:t>transformed into some other sort of vessel;</w:t>
      </w:r>
    </w:p>
    <w:p>
      <w:pPr>
        <w:pStyle w:val="Defstart"/>
      </w:pPr>
      <w:r>
        <w:tab/>
      </w:r>
      <w:r>
        <w:rPr>
          <w:rStyle w:val="CharDefText"/>
        </w:rPr>
        <w:t>pilot</w:t>
      </w:r>
      <w:r>
        <w:t xml:space="preserve"> means a person who does not belong to, but has the conduct of, a vessel;</w:t>
      </w:r>
    </w:p>
    <w:p>
      <w:pPr>
        <w:pStyle w:val="Defstart"/>
        <w:keepNext/>
      </w:pPr>
      <w:r>
        <w:lastRenderedPageBreak/>
        <w:tab/>
      </w:r>
      <w:r>
        <w:rPr>
          <w:rStyle w:val="CharDefText"/>
        </w:rPr>
        <w:t>pleasure vessel</w:t>
      </w:r>
      <w:r>
        <w:t xml:space="preserve"> — </w:t>
      </w:r>
    </w:p>
    <w:p>
      <w:pPr>
        <w:pStyle w:val="Defpara"/>
      </w:pPr>
      <w:r>
        <w:tab/>
        <w:t>(a)</w:t>
      </w:r>
      <w:r>
        <w:tab/>
        <w:t>means a vessel held wholly for the purpose of recreational or sporting activities and not for hire or reward; but</w:t>
      </w:r>
    </w:p>
    <w:p>
      <w:pPr>
        <w:pStyle w:val="Defpara"/>
      </w:pPr>
      <w:r>
        <w:tab/>
        <w:t>(b)</w:t>
      </w:r>
      <w:r>
        <w:tab/>
        <w:t>does not include a domestic commercial vessel;</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tab/>
      </w:r>
      <w:r>
        <w:rPr>
          <w:rStyle w:val="CharDefText"/>
        </w:rPr>
        <w:t>prescribed</w:t>
      </w:r>
      <w:r>
        <w:t xml:space="preserve"> means prescribed by regulations made under this Act;</w:t>
      </w:r>
    </w:p>
    <w:p>
      <w:pPr>
        <w:pStyle w:val="Defstart"/>
      </w:pPr>
      <w:r>
        <w:tab/>
      </w:r>
      <w:r>
        <w:rPr>
          <w:rStyle w:val="CharDefText"/>
        </w:rPr>
        <w:t>prescribed illicit drug</w:t>
      </w:r>
      <w:r>
        <w:t xml:space="preserve"> means a drug that is — </w:t>
      </w:r>
    </w:p>
    <w:p>
      <w:pPr>
        <w:pStyle w:val="Defpara"/>
      </w:pPr>
      <w:r>
        <w:tab/>
        <w:t>(a)</w:t>
      </w:r>
      <w:r>
        <w:tab/>
        <w:t xml:space="preserve">a prescribed illicit drug as defined in the </w:t>
      </w:r>
      <w:r>
        <w:rPr>
          <w:i/>
        </w:rPr>
        <w:t>Road Traffic Act 1974</w:t>
      </w:r>
      <w:r>
        <w:t xml:space="preserve"> section 65; or</w:t>
      </w:r>
    </w:p>
    <w:p>
      <w:pPr>
        <w:pStyle w:val="Defpara"/>
      </w:pPr>
      <w:r>
        <w:tab/>
        <w:t>(b)</w:t>
      </w:r>
      <w:r>
        <w:tab/>
        <w:t>a drug prescribed for the purposes of this definition;</w:t>
      </w:r>
    </w:p>
    <w:p>
      <w:pPr>
        <w:pStyle w:val="Defstart"/>
      </w:pPr>
      <w:r>
        <w:tab/>
      </w:r>
      <w:r>
        <w:rPr>
          <w:rStyle w:val="CharDefText"/>
        </w:rPr>
        <w:t>prescribed vessel</w:t>
      </w:r>
      <w:r>
        <w:t xml:space="preserve"> means a vessel that is prescribed, or in a class of vessel prescribed, for the purposes of this definition, other than a regulated Australian vessel, a foreign vessel, a domestic commercial vessel or a pleasure vessel;</w:t>
      </w:r>
    </w:p>
    <w:p>
      <w:pPr>
        <w:pStyle w:val="Defstart"/>
      </w:pPr>
      <w:r>
        <w:tab/>
      </w:r>
      <w:r>
        <w:rPr>
          <w:rStyle w:val="CharDefText"/>
        </w:rPr>
        <w:t>regulated Australian vessel</w:t>
      </w:r>
      <w:r>
        <w:t xml:space="preserve"> has the meaning given in the </w:t>
      </w:r>
      <w:r>
        <w:rPr>
          <w:i/>
        </w:rPr>
        <w:t>Navigation Act 2012</w:t>
      </w:r>
      <w:r>
        <w:t xml:space="preserve"> (Commonwealth) section 15;</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lastRenderedPageBreak/>
        <w:tab/>
      </w:r>
      <w:r>
        <w:rPr>
          <w:rStyle w:val="CharDefText"/>
        </w:rPr>
        <w:t>safety manning</w:t>
      </w:r>
      <w:r>
        <w:t xml:space="preserve"> in relation to a vessel, means the number of certificated and uncertificated persons required to safely navigate that vessel;</w:t>
      </w:r>
    </w:p>
    <w:p>
      <w:pPr>
        <w:pStyle w:val="Defstart"/>
      </w:pPr>
      <w:r>
        <w:tab/>
      </w:r>
      <w:r>
        <w:rPr>
          <w:rStyle w:val="CharDefText"/>
        </w:rPr>
        <w:t>Scheduled Domestic Commercial Vessel National Law</w:t>
      </w:r>
      <w:r>
        <w:t xml:space="preserve"> means the Marine Safety (Domestic Commercial Vessel) National Law set out in the </w:t>
      </w:r>
      <w:r>
        <w:rPr>
          <w:i/>
        </w:rPr>
        <w:t>Marine Safety (Domestic Commercial Vessel) National Law Act 2012</w:t>
      </w:r>
      <w:r>
        <w:t xml:space="preserve"> (Commonwealth) Schedule 1;</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tab/>
      </w:r>
      <w:r>
        <w:rPr>
          <w:rStyle w:val="CharDefText"/>
        </w:rPr>
        <w:t>specified</w:t>
      </w:r>
      <w:r>
        <w:t>, in relation to a direction (whether or not in writing), order, notice, regulation or other instrument or document under this Act, means specified in the direction, order, notice, regulation, instrument or document;</w:t>
      </w:r>
    </w:p>
    <w:p>
      <w:pPr>
        <w:pStyle w:val="Defstart"/>
      </w:pPr>
      <w:r>
        <w:tab/>
      </w:r>
      <w:r>
        <w:rPr>
          <w:rStyle w:val="CharDefText"/>
        </w:rPr>
        <w:t>State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Defstart"/>
      </w:pPr>
      <w:r>
        <w:rPr>
          <w:b/>
        </w:rPr>
        <w:lastRenderedPageBreak/>
        <w:tab/>
      </w:r>
      <w:r>
        <w:rPr>
          <w:rStyle w:val="CharDefText"/>
        </w:rPr>
        <w:t>surveyor</w:t>
      </w:r>
      <w:r>
        <w:t xml:space="preserve"> means a surveyor designated under section 117 for the purposes of this Act;</w:t>
      </w:r>
    </w:p>
    <w:p>
      <w:pPr>
        <w:pStyle w:val="Defstart"/>
      </w:pPr>
      <w:r>
        <w:tab/>
      </w:r>
      <w:r>
        <w:rPr>
          <w:rStyle w:val="CharDefText"/>
        </w:rPr>
        <w:t>territorial sea</w:t>
      </w:r>
      <w:r>
        <w:t xml:space="preserve"> has the meaning given in the </w:t>
      </w:r>
      <w:r>
        <w:rPr>
          <w:i/>
        </w:rPr>
        <w:t>Seas and Submerged Lands Act 1973</w:t>
      </w:r>
      <w:r>
        <w:t xml:space="preserve"> (Commonwealth) section 3(1);</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tab/>
      </w:r>
      <w:r>
        <w:rPr>
          <w:rStyle w:val="CharDefText"/>
        </w:rPr>
        <w:t>vessel</w:t>
      </w:r>
      <w:r>
        <w:t>, subject to subsection (2) —</w:t>
      </w:r>
    </w:p>
    <w:p>
      <w:pPr>
        <w:pStyle w:val="Defpara"/>
      </w:pPr>
      <w:r>
        <w:tab/>
        <w:t>(a)</w:t>
      </w:r>
      <w:r>
        <w:tab/>
        <w:t xml:space="preserve">means, a craft for use, or that is capable of being used, in navigation by water, however propelled or moved; and </w:t>
      </w:r>
    </w:p>
    <w:p>
      <w:pPr>
        <w:pStyle w:val="Defpara"/>
      </w:pPr>
      <w:r>
        <w:tab/>
        <w:t>(b)</w:t>
      </w:r>
      <w:r>
        <w:tab/>
        <w:t>includes an air</w:t>
      </w:r>
      <w:r>
        <w:noBreakHyphen/>
        <w:t>cushion vehicle, a barge, a personal watercraft, a submersible and a wing</w:t>
      </w:r>
      <w:r>
        <w:noBreakHyphen/>
        <w:t>in</w:t>
      </w:r>
      <w:r>
        <w:noBreakHyphen/>
        <w:t>ground effect craft;</w:t>
      </w:r>
    </w:p>
    <w:p>
      <w:pPr>
        <w:pStyle w:val="Defstart"/>
      </w:pPr>
      <w:r>
        <w:tab/>
      </w:r>
      <w:r>
        <w:rPr>
          <w:rStyle w:val="CharDefText"/>
        </w:rPr>
        <w:t>vessel information</w:t>
      </w:r>
      <w:r>
        <w:t xml:space="preserve"> has the meaning given in section 107.</w:t>
      </w:r>
    </w:p>
    <w:p>
      <w:pPr>
        <w:pStyle w:val="Defstart"/>
      </w:pPr>
      <w:r>
        <w:rPr>
          <w:b/>
        </w:rPr>
        <w:tab/>
      </w:r>
      <w:r>
        <w:rPr>
          <w:rStyle w:val="CharDefText"/>
        </w:rPr>
        <w:t>wages</w:t>
      </w:r>
      <w:r>
        <w:t xml:space="preserve"> includes emoluments of any kind;</w:t>
      </w:r>
    </w:p>
    <w:p>
      <w:pPr>
        <w:pStyle w:val="Defstart"/>
      </w:pPr>
      <w:r>
        <w:tab/>
      </w:r>
      <w:r>
        <w:rPr>
          <w:rStyle w:val="CharDefText"/>
        </w:rPr>
        <w:t>WA marine qualification</w:t>
      </w:r>
      <w:r>
        <w:t xml:space="preserve"> means a qualification, including a licence, issued to a person under this Act that authorises the person to navigate a vessel (as defined in section 75AA(2)).</w:t>
      </w:r>
    </w:p>
    <w:p>
      <w:pPr>
        <w:pStyle w:val="Subsection"/>
      </w:pPr>
      <w:r>
        <w:tab/>
        <w:t>(2)</w:t>
      </w:r>
      <w:r>
        <w:tab/>
        <w:t xml:space="preserve">The regulations may specify that a prescribed class of thing is or is not a class of vessel for the purposes of the definition of </w:t>
      </w:r>
      <w:r>
        <w:rPr>
          <w:b/>
          <w:i/>
        </w:rPr>
        <w:t>vessel</w:t>
      </w:r>
      <w:r>
        <w:t xml:space="preserve"> in subsection (1).</w:t>
      </w:r>
    </w:p>
    <w:p>
      <w:pPr>
        <w:pStyle w:val="Footnotesection"/>
      </w:pPr>
      <w:r>
        <w:tab/>
        <w:t>[Section 3 amended: No. 35 of 1990 s. 4 and 21; No. 47 of 1993 s. 33(1); No. 57 of 1997 s. 130(1); No. 7 of 2004 s. 70; No. 55 of 2004 s. 1309; No. 24 of 2023 s. 39(2)</w:t>
      </w:r>
      <w:r>
        <w:noBreakHyphen/>
        <w:t>(7); No. 31 of 2023 s. 4.]</w:t>
      </w:r>
    </w:p>
    <w:p>
      <w:pPr>
        <w:pStyle w:val="Heading5"/>
      </w:pPr>
      <w:bookmarkStart w:id="10" w:name="_Toc149055654"/>
      <w:bookmarkStart w:id="11" w:name="_Toc153887443"/>
      <w:r>
        <w:rPr>
          <w:rStyle w:val="CharSectno"/>
        </w:rPr>
        <w:lastRenderedPageBreak/>
        <w:t>3A</w:t>
      </w:r>
      <w:r>
        <w:t>.</w:t>
      </w:r>
      <w:r>
        <w:tab/>
        <w:t>Vessels and crew to which Act applies</w:t>
      </w:r>
      <w:bookmarkEnd w:id="10"/>
      <w:bookmarkEnd w:id="11"/>
    </w:p>
    <w:p>
      <w:pPr>
        <w:pStyle w:val="Subsection"/>
      </w:pPr>
      <w:r>
        <w:tab/>
        <w:t>(1)</w:t>
      </w:r>
      <w:r>
        <w:tab/>
        <w:t xml:space="preserve">Except as expressly provided otherwise in this Act, this Act applies to and in relation to the following vessels and their owners, masters, pilots and crew — </w:t>
      </w:r>
    </w:p>
    <w:p>
      <w:pPr>
        <w:pStyle w:val="Indenta"/>
      </w:pPr>
      <w:r>
        <w:tab/>
        <w:t>(a)</w:t>
      </w:r>
      <w:r>
        <w:tab/>
        <w:t>a vessel in State waters;</w:t>
      </w:r>
    </w:p>
    <w:p>
      <w:pPr>
        <w:pStyle w:val="Indenta"/>
      </w:pPr>
      <w:r>
        <w:tab/>
        <w:t>(b)</w:t>
      </w:r>
      <w:r>
        <w:tab/>
        <w:t>a vessel connected with the State, wherever it may be, other than a pleasure vessel or prescribed vessel while it is in the waters of another State or a Territory of the Commonwealth.</w:t>
      </w:r>
    </w:p>
    <w:p>
      <w:pPr>
        <w:pStyle w:val="Subsection"/>
      </w:pPr>
      <w:r>
        <w:tab/>
        <w:t>(2)</w:t>
      </w:r>
      <w:r>
        <w:tab/>
        <w:t xml:space="preserve">For the purposes of this section, a vessel connected with the State includes a vessel that is — </w:t>
      </w:r>
    </w:p>
    <w:p>
      <w:pPr>
        <w:pStyle w:val="Indenta"/>
      </w:pPr>
      <w:r>
        <w:tab/>
        <w:t>(a)</w:t>
      </w:r>
      <w:r>
        <w:tab/>
        <w:t>registered, or required to be registered, under this Act; or</w:t>
      </w:r>
    </w:p>
    <w:p>
      <w:pPr>
        <w:pStyle w:val="Indenta"/>
      </w:pPr>
      <w:r>
        <w:tab/>
        <w:t>(b)</w:t>
      </w:r>
      <w:r>
        <w:tab/>
        <w:t xml:space="preserve">registered under the </w:t>
      </w:r>
      <w:r>
        <w:rPr>
          <w:i/>
        </w:rPr>
        <w:t>Shipping Registration Act 1981</w:t>
      </w:r>
      <w:r>
        <w:t xml:space="preserve"> (Commonwealth), with a home port in the State; or</w:t>
      </w:r>
    </w:p>
    <w:p>
      <w:pPr>
        <w:pStyle w:val="Indenta"/>
      </w:pPr>
      <w:r>
        <w:tab/>
        <w:t>(c)</w:t>
      </w:r>
      <w:r>
        <w:tab/>
        <w:t>owned by a person who is ordinarily resident in the State; or</w:t>
      </w:r>
    </w:p>
    <w:p>
      <w:pPr>
        <w:pStyle w:val="Indenta"/>
      </w:pPr>
      <w:r>
        <w:tab/>
        <w:t>(d)</w:t>
      </w:r>
      <w:r>
        <w:tab/>
        <w:t>owned by a person whose place of business, or principal place of business, is in the State; or</w:t>
      </w:r>
    </w:p>
    <w:p>
      <w:pPr>
        <w:pStyle w:val="Indenta"/>
      </w:pPr>
      <w:r>
        <w:tab/>
        <w:t>(e)</w:t>
      </w:r>
      <w:r>
        <w:tab/>
        <w:t>owned by a person whose principal place of business for managing the vessel’s operations is in the State; or</w:t>
      </w:r>
    </w:p>
    <w:p>
      <w:pPr>
        <w:pStyle w:val="Indenta"/>
      </w:pPr>
      <w:r>
        <w:tab/>
        <w:t>(f)</w:t>
      </w:r>
      <w:r>
        <w:tab/>
        <w:t>declared by the regulations to be a vessel connected with the State.</w:t>
      </w:r>
    </w:p>
    <w:p>
      <w:pPr>
        <w:pStyle w:val="Footnotesection"/>
      </w:pPr>
      <w:r>
        <w:tab/>
        <w:t>[Section 3A inserted: No. 24 of 2023 s 40; amended: No 31 of 2023 s. 5.]</w:t>
      </w:r>
    </w:p>
    <w:p>
      <w:pPr>
        <w:pStyle w:val="Heading5"/>
      </w:pPr>
      <w:bookmarkStart w:id="12" w:name="_Toc149055655"/>
      <w:bookmarkStart w:id="13" w:name="_Toc153887444"/>
      <w:r>
        <w:rPr>
          <w:rStyle w:val="CharSectno"/>
        </w:rPr>
        <w:t>3B</w:t>
      </w:r>
      <w:r>
        <w:t>.</w:t>
      </w:r>
      <w:r>
        <w:tab/>
        <w:t>Relationship to Domestic Commercial Vessel National Law</w:t>
      </w:r>
      <w:bookmarkEnd w:id="12"/>
      <w:bookmarkEnd w:id="13"/>
    </w:p>
    <w:p>
      <w:pPr>
        <w:pStyle w:val="Subsection"/>
      </w:pPr>
      <w:r>
        <w:tab/>
        <w:t>(1)</w:t>
      </w:r>
      <w:r>
        <w:tab/>
        <w:t xml:space="preserve">In this section — </w:t>
      </w:r>
    </w:p>
    <w:p>
      <w:pPr>
        <w:pStyle w:val="Defstart"/>
      </w:pPr>
      <w:r>
        <w:tab/>
      </w:r>
      <w:r>
        <w:rPr>
          <w:rStyle w:val="CharDefText"/>
        </w:rPr>
        <w:t>applied provisions</w:t>
      </w:r>
      <w:r>
        <w:t xml:space="preserve"> has the meaning given in the </w:t>
      </w:r>
      <w:r>
        <w:rPr>
          <w:i/>
        </w:rPr>
        <w:t>Marine Safety (Domestic Commercial Vessel National Law Application) Act 2023</w:t>
      </w:r>
      <w:r>
        <w:t xml:space="preserve"> section 4(1);</w:t>
      </w:r>
    </w:p>
    <w:p>
      <w:pPr>
        <w:pStyle w:val="Defstart"/>
      </w:pPr>
      <w:r>
        <w:lastRenderedPageBreak/>
        <w:tab/>
      </w:r>
      <w:r>
        <w:rPr>
          <w:rStyle w:val="CharDefText"/>
        </w:rPr>
        <w:t>Commonwealth domestic commercial vessel national law</w:t>
      </w:r>
      <w:r>
        <w:t xml:space="preserve"> has the meaning given in the </w:t>
      </w:r>
      <w:r>
        <w:rPr>
          <w:i/>
        </w:rPr>
        <w:t>Marine Safety (Domestic Commercial Vessel National Law Application) Act 2023</w:t>
      </w:r>
      <w:r>
        <w:t xml:space="preserve"> section 4(1);</w:t>
      </w:r>
    </w:p>
    <w:p>
      <w:pPr>
        <w:pStyle w:val="Defstart"/>
      </w:pPr>
      <w:r>
        <w:tab/>
      </w:r>
      <w:r>
        <w:rPr>
          <w:rStyle w:val="CharDefText"/>
        </w:rPr>
        <w:t>Domestic Commercial Vessel National Law</w:t>
      </w:r>
      <w:r>
        <w:t xml:space="preserve"> means — </w:t>
      </w:r>
    </w:p>
    <w:p>
      <w:pPr>
        <w:pStyle w:val="Defpara"/>
      </w:pPr>
      <w:r>
        <w:tab/>
        <w:t>(a)</w:t>
      </w:r>
      <w:r>
        <w:tab/>
        <w:t>the Commonwealth domestic commercial vessel national law; and</w:t>
      </w:r>
    </w:p>
    <w:p>
      <w:pPr>
        <w:pStyle w:val="Defpara"/>
      </w:pPr>
      <w:r>
        <w:tab/>
        <w:t>(b)</w:t>
      </w:r>
      <w:r>
        <w:tab/>
        <w:t>the applied provisions.</w:t>
      </w:r>
    </w:p>
    <w:p>
      <w:pPr>
        <w:pStyle w:val="Subsection"/>
      </w:pPr>
      <w:r>
        <w:tab/>
        <w:t>(2)</w:t>
      </w:r>
      <w:r>
        <w:tab/>
        <w:t>The Domestic Commercial Vessel National Law prevails over this Act to the extent of any inconsistency.</w:t>
      </w:r>
    </w:p>
    <w:p>
      <w:pPr>
        <w:pStyle w:val="Footnotesection"/>
      </w:pPr>
      <w:r>
        <w:tab/>
        <w:t>[Section 3B inserted: No. 24 of 2023 s. 40.]</w:t>
      </w:r>
    </w:p>
    <w:p>
      <w:pPr>
        <w:pStyle w:val="Heading5"/>
        <w:rPr>
          <w:snapToGrid w:val="0"/>
        </w:rPr>
      </w:pPr>
      <w:bookmarkStart w:id="14" w:name="_Toc153887445"/>
      <w:r>
        <w:rPr>
          <w:rStyle w:val="CharSectno"/>
        </w:rPr>
        <w:t>4</w:t>
      </w:r>
      <w:r>
        <w:rPr>
          <w:snapToGrid w:val="0"/>
        </w:rPr>
        <w:t>.</w:t>
      </w:r>
      <w:r>
        <w:rPr>
          <w:snapToGrid w:val="0"/>
        </w:rPr>
        <w:tab/>
        <w:t>Act not to apply to naval ships etc.</w:t>
      </w:r>
      <w:bookmarkEnd w:id="14"/>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15" w:name="_Toc153887446"/>
      <w:r>
        <w:rPr>
          <w:rStyle w:val="CharSectno"/>
        </w:rPr>
        <w:t>5</w:t>
      </w:r>
      <w:r>
        <w:rPr>
          <w:snapToGrid w:val="0"/>
        </w:rPr>
        <w:t>.</w:t>
      </w:r>
      <w:r>
        <w:rPr>
          <w:snapToGrid w:val="0"/>
        </w:rPr>
        <w:tab/>
        <w:t>Application to Crown</w:t>
      </w:r>
      <w:bookmarkEnd w:id="15"/>
    </w:p>
    <w:p>
      <w:pPr>
        <w:pStyle w:val="Subsection"/>
        <w:rPr>
          <w:snapToGrid w:val="0"/>
        </w:rPr>
      </w:pPr>
      <w:r>
        <w:rPr>
          <w:snapToGrid w:val="0"/>
        </w:rPr>
        <w:tab/>
      </w:r>
      <w:r>
        <w:rPr>
          <w:snapToGrid w:val="0"/>
        </w:rPr>
        <w:tab/>
        <w:t>This Act binds the Crown.</w:t>
      </w:r>
    </w:p>
    <w:p>
      <w:pPr>
        <w:pStyle w:val="Heading2"/>
      </w:pPr>
      <w:bookmarkStart w:id="16" w:name="_Toc149055658"/>
      <w:bookmarkStart w:id="17" w:name="_Toc153544696"/>
      <w:bookmarkStart w:id="18" w:name="_Toc153796299"/>
      <w:bookmarkStart w:id="19" w:name="_Toc153887447"/>
      <w:bookmarkStart w:id="20" w:name="_Toc153377206"/>
      <w:r>
        <w:rPr>
          <w:rStyle w:val="CharPartNo"/>
        </w:rPr>
        <w:lastRenderedPageBreak/>
        <w:t>Part 2</w:t>
      </w:r>
      <w:r>
        <w:t> — </w:t>
      </w:r>
      <w:r>
        <w:rPr>
          <w:rStyle w:val="CharPartText"/>
        </w:rPr>
        <w:t>Powers of inspectors</w:t>
      </w:r>
      <w:bookmarkEnd w:id="16"/>
      <w:bookmarkEnd w:id="17"/>
      <w:bookmarkEnd w:id="18"/>
      <w:bookmarkEnd w:id="19"/>
    </w:p>
    <w:p>
      <w:pPr>
        <w:pStyle w:val="Footnoteheading"/>
      </w:pPr>
      <w:r>
        <w:tab/>
        <w:t>[Heading inserted: No. 24 of 2023 s. 42.]</w:t>
      </w:r>
    </w:p>
    <w:p>
      <w:pPr>
        <w:pStyle w:val="Heading3"/>
      </w:pPr>
      <w:bookmarkStart w:id="21" w:name="_Toc149055659"/>
      <w:bookmarkStart w:id="22" w:name="_Toc153544697"/>
      <w:bookmarkStart w:id="23" w:name="_Toc153796300"/>
      <w:bookmarkStart w:id="24" w:name="_Toc153887448"/>
      <w:r>
        <w:rPr>
          <w:rStyle w:val="CharDivNo"/>
        </w:rPr>
        <w:t>Division 1</w:t>
      </w:r>
      <w:r>
        <w:t> — </w:t>
      </w:r>
      <w:r>
        <w:rPr>
          <w:rStyle w:val="CharDivText"/>
        </w:rPr>
        <w:t>Preliminary</w:t>
      </w:r>
      <w:bookmarkEnd w:id="21"/>
      <w:bookmarkEnd w:id="22"/>
      <w:bookmarkEnd w:id="23"/>
      <w:bookmarkEnd w:id="24"/>
    </w:p>
    <w:p>
      <w:pPr>
        <w:pStyle w:val="Footnoteheading"/>
      </w:pPr>
      <w:r>
        <w:tab/>
        <w:t>[Heading inserted: No. 24 of 2023 s. 42.]</w:t>
      </w:r>
    </w:p>
    <w:p>
      <w:pPr>
        <w:pStyle w:val="Heading5"/>
      </w:pPr>
      <w:bookmarkStart w:id="25" w:name="_Toc149055660"/>
      <w:bookmarkStart w:id="26" w:name="_Toc153887449"/>
      <w:r>
        <w:rPr>
          <w:rStyle w:val="CharSectno"/>
        </w:rPr>
        <w:t>6</w:t>
      </w:r>
      <w:r>
        <w:t>.</w:t>
      </w:r>
      <w:r>
        <w:tab/>
        <w:t>Terms used</w:t>
      </w:r>
      <w:bookmarkEnd w:id="25"/>
      <w:bookmarkEnd w:id="26"/>
    </w:p>
    <w:p>
      <w:pPr>
        <w:pStyle w:val="Subsection"/>
      </w:pPr>
      <w:r>
        <w:tab/>
        <w:t>(1)</w:t>
      </w:r>
      <w:r>
        <w:tab/>
        <w:t xml:space="preserve">In this Part — </w:t>
      </w:r>
    </w:p>
    <w:p>
      <w:pPr>
        <w:pStyle w:val="Defstart"/>
      </w:pPr>
      <w:r>
        <w:tab/>
      </w:r>
      <w:r>
        <w:rPr>
          <w:rStyle w:val="CharDefText"/>
        </w:rPr>
        <w:t>evidential material</w:t>
      </w:r>
      <w:r>
        <w:t xml:space="preserve"> means a thing that is relevant to an offence (within the meaning of subsection (2)) under this Act;</w:t>
      </w:r>
    </w:p>
    <w:p>
      <w:pPr>
        <w:pStyle w:val="Defstart"/>
      </w:pPr>
      <w:r>
        <w:tab/>
      </w:r>
      <w:r>
        <w:rPr>
          <w:rStyle w:val="CharDefText"/>
        </w:rPr>
        <w:t>judicial officer</w:t>
      </w:r>
      <w:r>
        <w:t xml:space="preserve"> means a magistrate;</w:t>
      </w:r>
    </w:p>
    <w:p>
      <w:pPr>
        <w:pStyle w:val="Defstart"/>
      </w:pPr>
      <w:r>
        <w:tab/>
      </w:r>
      <w:r>
        <w:rPr>
          <w:rStyle w:val="CharDefText"/>
        </w:rPr>
        <w:t>occupier</w:t>
      </w:r>
      <w:r>
        <w:t xml:space="preserve">, in relation to premises, includes — </w:t>
      </w:r>
    </w:p>
    <w:p>
      <w:pPr>
        <w:pStyle w:val="Defpara"/>
      </w:pPr>
      <w:r>
        <w:tab/>
        <w:t>(a)</w:t>
      </w:r>
      <w:r>
        <w:tab/>
        <w:t>a person who apparently represents the occupier of the premises; and</w:t>
      </w:r>
    </w:p>
    <w:p>
      <w:pPr>
        <w:pStyle w:val="Defpara"/>
      </w:pPr>
      <w:r>
        <w:tab/>
        <w:t>(b)</w:t>
      </w:r>
      <w:r>
        <w:tab/>
        <w:t>if the premises are a vessel — the master of the vessel;</w:t>
      </w:r>
    </w:p>
    <w:p>
      <w:pPr>
        <w:pStyle w:val="Defstart"/>
      </w:pPr>
      <w: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 and</w:t>
      </w:r>
    </w:p>
    <w:p>
      <w:pPr>
        <w:pStyle w:val="Defpara"/>
      </w:pPr>
      <w:r>
        <w:tab/>
        <w:t>(b)</w:t>
      </w:r>
      <w:r>
        <w:tab/>
        <w:t>of an inspector — means the inspector’s full name and official title;</w:t>
      </w:r>
    </w:p>
    <w:p>
      <w:pPr>
        <w:pStyle w:val="Defstart"/>
      </w:pPr>
      <w:r>
        <w:tab/>
      </w:r>
      <w:r>
        <w:rPr>
          <w:rStyle w:val="CharDefText"/>
        </w:rPr>
        <w:t>premises</w:t>
      </w:r>
      <w:r>
        <w:t xml:space="preserve"> includes — </w:t>
      </w:r>
    </w:p>
    <w:p>
      <w:pPr>
        <w:pStyle w:val="Defpara"/>
      </w:pPr>
      <w:r>
        <w:tab/>
        <w:t>(a)</w:t>
      </w:r>
      <w:r>
        <w:tab/>
        <w:t>a structure, building, vehicle, vessel or aircraft; and</w:t>
      </w:r>
    </w:p>
    <w:p>
      <w:pPr>
        <w:pStyle w:val="Defpara"/>
      </w:pPr>
      <w:r>
        <w:tab/>
        <w:t>(b)</w:t>
      </w:r>
      <w:r>
        <w:tab/>
        <w:t>a place (whether or not enclosed or built on); and</w:t>
      </w:r>
    </w:p>
    <w:p>
      <w:pPr>
        <w:pStyle w:val="Defpara"/>
      </w:pPr>
      <w:r>
        <w:tab/>
        <w:t>(c)</w:t>
      </w:r>
      <w:r>
        <w:tab/>
        <w:t>a part of a thing referred to in paragraph (a) or (b);</w:t>
      </w:r>
    </w:p>
    <w:p>
      <w:pPr>
        <w:pStyle w:val="Defstart"/>
      </w:pPr>
      <w:r>
        <w:tab/>
      </w:r>
      <w:r>
        <w:rPr>
          <w:rStyle w:val="CharDefText"/>
        </w:rPr>
        <w:t>remote communication</w:t>
      </w:r>
      <w:r>
        <w:t xml:space="preserve"> means any way of communicating at a distance, including by telephone, email and radio;</w:t>
      </w:r>
    </w:p>
    <w:p>
      <w:pPr>
        <w:pStyle w:val="Defstart"/>
      </w:pPr>
      <w:r>
        <w:tab/>
      </w:r>
      <w:r>
        <w:rPr>
          <w:rStyle w:val="CharDefText"/>
        </w:rPr>
        <w:t>warrant</w:t>
      </w:r>
      <w:r>
        <w:t xml:space="preserve"> means a warrant issued under section 26.</w:t>
      </w:r>
    </w:p>
    <w:p>
      <w:pPr>
        <w:pStyle w:val="Subsection"/>
      </w:pPr>
      <w:r>
        <w:lastRenderedPageBreak/>
        <w:tab/>
        <w:t>(2)</w:t>
      </w:r>
      <w:r>
        <w:tab/>
        <w:t xml:space="preserve">For the purposes of the definition of </w:t>
      </w:r>
      <w:r>
        <w:rPr>
          <w:b/>
          <w:i/>
        </w:rPr>
        <w:t>evidential material</w:t>
      </w:r>
      <w:r>
        <w:t xml:space="preserve">, a thing is relevant to an offence if it is relevant to an offence as described in the </w:t>
      </w:r>
      <w:r>
        <w:rPr>
          <w:i/>
        </w:rPr>
        <w:t>Criminal Investigation Act 2006</w:t>
      </w:r>
      <w:r>
        <w:t xml:space="preserve"> section 5.</w:t>
      </w:r>
    </w:p>
    <w:p>
      <w:pPr>
        <w:pStyle w:val="Footnotesection"/>
      </w:pPr>
      <w:r>
        <w:tab/>
        <w:t>[Section 6 inserted: No. 24 of 2023 s. 42; amended: No. 31 of 2023 s. 6.]</w:t>
      </w:r>
    </w:p>
    <w:p>
      <w:pPr>
        <w:pStyle w:val="Heading3"/>
      </w:pPr>
      <w:bookmarkStart w:id="27" w:name="_Toc149055661"/>
      <w:bookmarkStart w:id="28" w:name="_Toc153544699"/>
      <w:bookmarkStart w:id="29" w:name="_Toc153796302"/>
      <w:bookmarkStart w:id="30" w:name="_Toc153887450"/>
      <w:r>
        <w:rPr>
          <w:rStyle w:val="CharDivNo"/>
        </w:rPr>
        <w:t>Division 2</w:t>
      </w:r>
      <w:r>
        <w:t> — </w:t>
      </w:r>
      <w:r>
        <w:rPr>
          <w:rStyle w:val="CharDivText"/>
        </w:rPr>
        <w:t>General powers</w:t>
      </w:r>
      <w:bookmarkEnd w:id="27"/>
      <w:bookmarkEnd w:id="28"/>
      <w:bookmarkEnd w:id="29"/>
      <w:bookmarkEnd w:id="30"/>
    </w:p>
    <w:p>
      <w:pPr>
        <w:pStyle w:val="Footnoteheading"/>
      </w:pPr>
      <w:r>
        <w:tab/>
        <w:t>[Heading inserted: No. 24 of 2023 s. 42.]</w:t>
      </w:r>
    </w:p>
    <w:p>
      <w:pPr>
        <w:pStyle w:val="Heading4"/>
      </w:pPr>
      <w:bookmarkStart w:id="31" w:name="_Toc149055662"/>
      <w:bookmarkStart w:id="32" w:name="_Toc153544700"/>
      <w:bookmarkStart w:id="33" w:name="_Toc153796303"/>
      <w:bookmarkStart w:id="34" w:name="_Toc153887451"/>
      <w:r>
        <w:t>Subdivision 1 — Powers relating to vessels, exercisable without consent or warrant</w:t>
      </w:r>
      <w:bookmarkEnd w:id="31"/>
      <w:bookmarkEnd w:id="32"/>
      <w:bookmarkEnd w:id="33"/>
      <w:bookmarkEnd w:id="34"/>
    </w:p>
    <w:p>
      <w:pPr>
        <w:pStyle w:val="Footnoteheading"/>
      </w:pPr>
      <w:r>
        <w:tab/>
        <w:t>[Heading inserted: No. 24 of 2023 s. 42.]</w:t>
      </w:r>
    </w:p>
    <w:p>
      <w:pPr>
        <w:pStyle w:val="Heading5"/>
      </w:pPr>
      <w:bookmarkStart w:id="35" w:name="_Toc149055663"/>
      <w:bookmarkStart w:id="36" w:name="_Toc153887452"/>
      <w:r>
        <w:rPr>
          <w:rStyle w:val="CharSectno"/>
        </w:rPr>
        <w:t>7</w:t>
      </w:r>
      <w:r>
        <w:t>.</w:t>
      </w:r>
      <w:r>
        <w:tab/>
        <w:t>Boarding vessels</w:t>
      </w:r>
      <w:bookmarkEnd w:id="35"/>
      <w:bookmarkEnd w:id="36"/>
    </w:p>
    <w:p>
      <w:pPr>
        <w:pStyle w:val="Subsection"/>
      </w:pPr>
      <w:r>
        <w:tab/>
        <w:t>(1)</w:t>
      </w:r>
      <w:r>
        <w:tab/>
        <w:t xml:space="preserve">An inspector may board a vessel, whether or not the vessel is underway, for 1 or both of the following purposes — </w:t>
      </w:r>
    </w:p>
    <w:p>
      <w:pPr>
        <w:pStyle w:val="Indenta"/>
      </w:pPr>
      <w:r>
        <w:tab/>
        <w:t>(a)</w:t>
      </w:r>
      <w:r>
        <w:tab/>
        <w:t>determining whether this Act is being or has been complied with;</w:t>
      </w:r>
    </w:p>
    <w:p>
      <w:pPr>
        <w:pStyle w:val="Indenta"/>
      </w:pPr>
      <w:r>
        <w:tab/>
        <w:t>(b)</w:t>
      </w:r>
      <w:r>
        <w:tab/>
        <w:t>exercising any of the powers under this Act that the inspector may exercise in relation to the vessel.</w:t>
      </w:r>
    </w:p>
    <w:p>
      <w:pPr>
        <w:pStyle w:val="Subsection"/>
      </w:pPr>
      <w:r>
        <w:tab/>
        <w:t>(2)</w:t>
      </w:r>
      <w:r>
        <w:tab/>
        <w:t>The master of a vessel that an inspector proposes to board must take reasonable steps to facilitate the boarding if required by the inspector to do so.</w:t>
      </w:r>
    </w:p>
    <w:p>
      <w:pPr>
        <w:pStyle w:val="Penstart"/>
      </w:pPr>
      <w:r>
        <w:tab/>
        <w:t>Penalty for this subsection: a fine of $2 000.</w:t>
      </w:r>
    </w:p>
    <w:p>
      <w:pPr>
        <w:pStyle w:val="Subsection"/>
      </w:pPr>
      <w:r>
        <w:tab/>
        <w:t>(3)</w:t>
      </w:r>
      <w:r>
        <w:tab/>
        <w:t>An inspector proposing to board a vessel may enter any premises that are not used as a residence to gain access to the vessel.</w:t>
      </w:r>
    </w:p>
    <w:p>
      <w:pPr>
        <w:pStyle w:val="Subsection"/>
        <w:keepNext/>
      </w:pPr>
      <w:r>
        <w:tab/>
        <w:t>(4)</w:t>
      </w:r>
      <w:r>
        <w:tab/>
        <w:t xml:space="preserve">If an inspector who boards a vessel or enters premises under this section fails to produce their identity card, or evidence that they are a police officer (if not in uniform), when requested to do so </w:t>
      </w:r>
      <w:r>
        <w:lastRenderedPageBreak/>
        <w:t xml:space="preserve">by the master of the vessel or by the occupier of the premises, the inspector — </w:t>
      </w:r>
    </w:p>
    <w:p>
      <w:pPr>
        <w:pStyle w:val="Indenta"/>
      </w:pPr>
      <w:r>
        <w:tab/>
        <w:t>(a)</w:t>
      </w:r>
      <w:r>
        <w:tab/>
        <w:t>must leave the vessel or premises; and</w:t>
      </w:r>
    </w:p>
    <w:p>
      <w:pPr>
        <w:pStyle w:val="Indenta"/>
      </w:pPr>
      <w:r>
        <w:tab/>
        <w:t>(b)</w:t>
      </w:r>
      <w:r>
        <w:tab/>
        <w:t>must not board the vessel or enter the premises again without producing their identity card or evidence that they are a police officer (if not in uniform).</w:t>
      </w:r>
    </w:p>
    <w:p>
      <w:pPr>
        <w:pStyle w:val="Footnotesection"/>
      </w:pPr>
      <w:r>
        <w:tab/>
        <w:t>[Section 7 inserted: No. 24 of 2023 s. 42.]</w:t>
      </w:r>
    </w:p>
    <w:p>
      <w:pPr>
        <w:pStyle w:val="Heading5"/>
      </w:pPr>
      <w:bookmarkStart w:id="37" w:name="_Toc149055664"/>
      <w:bookmarkStart w:id="38" w:name="_Toc153887453"/>
      <w:r>
        <w:rPr>
          <w:rStyle w:val="CharSectno"/>
        </w:rPr>
        <w:t>8</w:t>
      </w:r>
      <w:r>
        <w:t>.</w:t>
      </w:r>
      <w:r>
        <w:tab/>
        <w:t>Requiring master of vessel to answer questions about vessel’s nature or operations</w:t>
      </w:r>
      <w:bookmarkEnd w:id="37"/>
      <w:bookmarkEnd w:id="38"/>
    </w:p>
    <w:p>
      <w:pPr>
        <w:pStyle w:val="Subsection"/>
      </w:pPr>
      <w:r>
        <w:tab/>
        <w:t>(1)</w:t>
      </w:r>
      <w:r>
        <w:tab/>
        <w:t xml:space="preserve">An inspector may require the master of a vessel — </w:t>
      </w:r>
    </w:p>
    <w:p>
      <w:pPr>
        <w:pStyle w:val="Indenta"/>
      </w:pPr>
      <w:r>
        <w:tab/>
        <w:t>(a)</w:t>
      </w:r>
      <w:r>
        <w:tab/>
        <w:t>to answer questions put by the inspector about the nature or operations of the vessel; and</w:t>
      </w:r>
    </w:p>
    <w:p>
      <w:pPr>
        <w:pStyle w:val="Indenta"/>
      </w:pPr>
      <w:r>
        <w:tab/>
        <w:t>(b)</w:t>
      </w:r>
      <w:r>
        <w:tab/>
        <w:t>to produce for inspection any books, records or other documents about the nature or operations of the vessel requested by the inspector.</w:t>
      </w:r>
    </w:p>
    <w:p>
      <w:pPr>
        <w:pStyle w:val="Subsection"/>
      </w:pPr>
      <w:r>
        <w:tab/>
        <w:t>(2)</w:t>
      </w:r>
      <w:r>
        <w:tab/>
        <w:t>A person who, without reasonable excuse, fails to comply with a requirement under subsection (1) commits an offence.</w:t>
      </w:r>
    </w:p>
    <w:p>
      <w:pPr>
        <w:pStyle w:val="Penstart"/>
      </w:pPr>
      <w:r>
        <w:tab/>
        <w:t>Penalty for this subsection: a fine of $2 000.</w:t>
      </w:r>
    </w:p>
    <w:p>
      <w:pPr>
        <w:pStyle w:val="Footnotesection"/>
      </w:pPr>
      <w:r>
        <w:tab/>
        <w:t>[Section 8 inserted: No. 24 of 2023 s. 42.]</w:t>
      </w:r>
    </w:p>
    <w:p>
      <w:pPr>
        <w:pStyle w:val="Heading5"/>
      </w:pPr>
      <w:bookmarkStart w:id="39" w:name="_Toc149055665"/>
      <w:bookmarkStart w:id="40" w:name="_Toc153887454"/>
      <w:r>
        <w:rPr>
          <w:rStyle w:val="CharSectno"/>
        </w:rPr>
        <w:t>9</w:t>
      </w:r>
      <w:r>
        <w:t>.</w:t>
      </w:r>
      <w:r>
        <w:tab/>
        <w:t>Powers in relation to vessels</w:t>
      </w:r>
      <w:bookmarkEnd w:id="39"/>
      <w:bookmarkEnd w:id="40"/>
    </w:p>
    <w:p>
      <w:pPr>
        <w:pStyle w:val="Subsection"/>
      </w:pPr>
      <w:r>
        <w:tab/>
        <w:t>(1)</w:t>
      </w:r>
      <w:r>
        <w:tab/>
        <w:t>An inspector may exercise the powers under this section in relation to a vessel for the purposes of determining whether this Act is being or has been complied with.</w:t>
      </w:r>
    </w:p>
    <w:p>
      <w:pPr>
        <w:pStyle w:val="Subsection"/>
      </w:pPr>
      <w:r>
        <w:tab/>
        <w:t>(2)</w:t>
      </w:r>
      <w:r>
        <w:tab/>
        <w:t xml:space="preserve">The inspector may, in relation to the vessel, do 1 or more of the following — </w:t>
      </w:r>
    </w:p>
    <w:p>
      <w:pPr>
        <w:pStyle w:val="Indenta"/>
      </w:pPr>
      <w:r>
        <w:tab/>
        <w:t>(a)</w:t>
      </w:r>
      <w:r>
        <w:tab/>
        <w:t>search the vessel or anything on the vessel;</w:t>
      </w:r>
    </w:p>
    <w:p>
      <w:pPr>
        <w:pStyle w:val="Indenta"/>
      </w:pPr>
      <w:r>
        <w:tab/>
        <w:t>(b)</w:t>
      </w:r>
      <w:r>
        <w:tab/>
        <w:t>examine or observe any activity conducted on the vessel;</w:t>
      </w:r>
    </w:p>
    <w:p>
      <w:pPr>
        <w:pStyle w:val="Indenta"/>
      </w:pPr>
      <w:r>
        <w:tab/>
        <w:t>(c)</w:t>
      </w:r>
      <w:r>
        <w:tab/>
        <w:t>inspect, examine, take measurements of or conduct tests on the vessel or anything on or belonging to the vessel;</w:t>
      </w:r>
    </w:p>
    <w:p>
      <w:pPr>
        <w:pStyle w:val="Indenta"/>
      </w:pPr>
      <w:r>
        <w:lastRenderedPageBreak/>
        <w:tab/>
        <w:t>(d)</w:t>
      </w:r>
      <w:r>
        <w:tab/>
        <w:t>take photographs, video recordings or other recordings of the vessel or anything on the vessel;</w:t>
      </w:r>
    </w:p>
    <w:p>
      <w:pPr>
        <w:pStyle w:val="Indenta"/>
      </w:pPr>
      <w:r>
        <w:tab/>
        <w:t>(e)</w:t>
      </w:r>
      <w:r>
        <w:tab/>
        <w:t>without limiting section 18, require the production for inspection of any document on the vessel or issued or required to be held under this Act in relation to the vessel;</w:t>
      </w:r>
    </w:p>
    <w:p>
      <w:pPr>
        <w:pStyle w:val="Indenta"/>
      </w:pPr>
      <w:r>
        <w:tab/>
        <w:t>(f)</w:t>
      </w:r>
      <w:r>
        <w:tab/>
        <w:t>take extracts from, or make copies of, any document produced under paragraph (e);</w:t>
      </w:r>
    </w:p>
    <w:p>
      <w:pPr>
        <w:pStyle w:val="Indenta"/>
      </w:pPr>
      <w:r>
        <w:tab/>
        <w:t>(g)</w:t>
      </w:r>
      <w:r>
        <w:tab/>
        <w:t>take onto the vessel any equipment and materials that the inspector requires for the purpose of exercising powers in relation to the vessel;</w:t>
      </w:r>
    </w:p>
    <w:p>
      <w:pPr>
        <w:pStyle w:val="Indenta"/>
      </w:pPr>
      <w:r>
        <w:tab/>
        <w:t>(h)</w:t>
      </w:r>
      <w:r>
        <w:tab/>
        <w:t>require a person on the vessel to demonstrate the operation of machinery or equipment on the vessel;</w:t>
      </w:r>
    </w:p>
    <w:p>
      <w:pPr>
        <w:pStyle w:val="Indenta"/>
      </w:pPr>
      <w:r>
        <w:tab/>
        <w:t>(i)</w:t>
      </w:r>
      <w:r>
        <w:tab/>
        <w:t xml:space="preserve">require a person on the vessel to give the inspector 1 or more of the following — </w:t>
      </w:r>
    </w:p>
    <w:p>
      <w:pPr>
        <w:pStyle w:val="Indenti"/>
      </w:pPr>
      <w:r>
        <w:tab/>
        <w:t>(i)</w:t>
      </w:r>
      <w:r>
        <w:tab/>
        <w:t>the person’s name;</w:t>
      </w:r>
    </w:p>
    <w:p>
      <w:pPr>
        <w:pStyle w:val="Indenti"/>
      </w:pPr>
      <w:r>
        <w:tab/>
        <w:t>(ii)</w:t>
      </w:r>
      <w:r>
        <w:tab/>
        <w:t>the person’s residential address;</w:t>
      </w:r>
    </w:p>
    <w:p>
      <w:pPr>
        <w:pStyle w:val="Indenti"/>
      </w:pPr>
      <w:r>
        <w:tab/>
        <w:t>(iii)</w:t>
      </w:r>
      <w:r>
        <w:tab/>
        <w:t>the person’s date of birth;</w:t>
      </w:r>
    </w:p>
    <w:p>
      <w:pPr>
        <w:pStyle w:val="Indenti"/>
      </w:pPr>
      <w:r>
        <w:tab/>
        <w:t>(iv)</w:t>
      </w:r>
      <w:r>
        <w:tab/>
        <w:t>evidence of the person’s identity;</w:t>
      </w:r>
    </w:p>
    <w:p>
      <w:pPr>
        <w:pStyle w:val="Indenta"/>
      </w:pPr>
      <w:r>
        <w:tab/>
        <w:t>(j)</w:t>
      </w:r>
      <w:r>
        <w:tab/>
        <w:t xml:space="preserve">require, by any reasonable means, the master of the vessel to do 1 or more of the following — </w:t>
      </w:r>
    </w:p>
    <w:p>
      <w:pPr>
        <w:pStyle w:val="Indenti"/>
      </w:pPr>
      <w:r>
        <w:tab/>
        <w:t>(i)</w:t>
      </w:r>
      <w:r>
        <w:tab/>
        <w:t>stop or manoeuvre the vessel;</w:t>
      </w:r>
    </w:p>
    <w:p>
      <w:pPr>
        <w:pStyle w:val="Indenti"/>
      </w:pPr>
      <w:r>
        <w:tab/>
        <w:t>(ii)</w:t>
      </w:r>
      <w:r>
        <w:tab/>
        <w:t>adopt or maintain a specified course or speed;</w:t>
      </w:r>
    </w:p>
    <w:p>
      <w:pPr>
        <w:pStyle w:val="Indenti"/>
      </w:pPr>
      <w:r>
        <w:tab/>
        <w:t>(iii)</w:t>
      </w:r>
      <w:r>
        <w:tab/>
        <w:t>take the vessel to a specified place.</w:t>
      </w:r>
    </w:p>
    <w:p>
      <w:pPr>
        <w:pStyle w:val="Subsection"/>
      </w:pPr>
      <w:r>
        <w:tab/>
        <w:t>(3)</w:t>
      </w:r>
      <w:r>
        <w:tab/>
        <w:t xml:space="preserve">The inspector may, when on board the vessel, operate electronic equipment on the vessel to determine whether the following contain information that is relevant to the purposes of this section — </w:t>
      </w:r>
    </w:p>
    <w:p>
      <w:pPr>
        <w:pStyle w:val="Indenta"/>
      </w:pPr>
      <w:r>
        <w:tab/>
        <w:t>(a)</w:t>
      </w:r>
      <w:r>
        <w:tab/>
        <w:t>the equipment;</w:t>
      </w:r>
    </w:p>
    <w:p>
      <w:pPr>
        <w:pStyle w:val="Indenta"/>
      </w:pPr>
      <w:r>
        <w:tab/>
        <w:t>(b)</w:t>
      </w:r>
      <w:r>
        <w:tab/>
        <w:t xml:space="preserve">an information storage device that — </w:t>
      </w:r>
    </w:p>
    <w:p>
      <w:pPr>
        <w:pStyle w:val="Indenti"/>
      </w:pPr>
      <w:r>
        <w:tab/>
        <w:t>(i)</w:t>
      </w:r>
      <w:r>
        <w:tab/>
        <w:t>is on the vessel; and</w:t>
      </w:r>
    </w:p>
    <w:p>
      <w:pPr>
        <w:pStyle w:val="Indenti"/>
      </w:pPr>
      <w:r>
        <w:lastRenderedPageBreak/>
        <w:tab/>
        <w:t>(ii)</w:t>
      </w:r>
      <w:r>
        <w:tab/>
        <w:t>can be used with the equipment or is associated with the equipment.</w:t>
      </w:r>
    </w:p>
    <w:p>
      <w:pPr>
        <w:pStyle w:val="Subsection"/>
      </w:pPr>
      <w:r>
        <w:tab/>
        <w:t>(4)</w:t>
      </w:r>
      <w:r>
        <w:tab/>
        <w:t xml:space="preserve">If information that is relevant to the purposes of this section is found in the exercise of a power under this section, the inspector may, when on board or leaving the vessel, do 1 or more of the following — </w:t>
      </w:r>
    </w:p>
    <w:p>
      <w:pPr>
        <w:pStyle w:val="Indenta"/>
      </w:pPr>
      <w:r>
        <w:tab/>
        <w:t>(a)</w:t>
      </w:r>
      <w:r>
        <w:tab/>
        <w:t>operate electronic equipment on the vessel to put the information in documentary form;</w:t>
      </w:r>
    </w:p>
    <w:p>
      <w:pPr>
        <w:pStyle w:val="Indenta"/>
      </w:pPr>
      <w:r>
        <w:tab/>
        <w:t>(b)</w:t>
      </w:r>
      <w:r>
        <w:tab/>
        <w:t xml:space="preserve">operate electronic equipment on the vessel to transfer the information to an information storage device that — </w:t>
      </w:r>
    </w:p>
    <w:p>
      <w:pPr>
        <w:pStyle w:val="Indenti"/>
      </w:pPr>
      <w:r>
        <w:tab/>
        <w:t>(i)</w:t>
      </w:r>
      <w:r>
        <w:tab/>
        <w:t>is brought onto the vessel for that purpose; or</w:t>
      </w:r>
    </w:p>
    <w:p>
      <w:pPr>
        <w:pStyle w:val="Indenti"/>
      </w:pPr>
      <w:r>
        <w:tab/>
        <w:t>(ii)</w:t>
      </w:r>
      <w:r>
        <w:tab/>
        <w:t>is on the vessel and the use of which for that purpose has been agreed to in writing by the master of the vessel;</w:t>
      </w:r>
    </w:p>
    <w:p>
      <w:pPr>
        <w:pStyle w:val="Indenta"/>
      </w:pPr>
      <w:r>
        <w:tab/>
        <w:t>(c)</w:t>
      </w:r>
      <w:r>
        <w:tab/>
        <w:t>remove the documents or information storage device from the vessel.</w:t>
      </w:r>
    </w:p>
    <w:p>
      <w:pPr>
        <w:pStyle w:val="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Subsection"/>
      </w:pPr>
      <w:r>
        <w:tab/>
        <w:t>(6)</w:t>
      </w:r>
      <w:r>
        <w:tab/>
        <w:t xml:space="preserve">A power under subsection (2) may be exercised whether or not the inspector — </w:t>
      </w:r>
    </w:p>
    <w:p>
      <w:pPr>
        <w:pStyle w:val="Indenta"/>
      </w:pPr>
      <w:r>
        <w:tab/>
        <w:t>(a)</w:t>
      </w:r>
      <w:r>
        <w:tab/>
        <w:t>is on board the vessel; or</w:t>
      </w:r>
    </w:p>
    <w:p>
      <w:pPr>
        <w:pStyle w:val="Indenta"/>
      </w:pPr>
      <w:r>
        <w:tab/>
        <w:t>(b)</w:t>
      </w:r>
      <w:r>
        <w:tab/>
        <w:t>has reasonable grounds for suspecting that there may be evidential material on the vessel.</w:t>
      </w:r>
    </w:p>
    <w:p>
      <w:pPr>
        <w:pStyle w:val="Footnotesection"/>
      </w:pPr>
      <w:r>
        <w:tab/>
        <w:t>[Section 9 inserted: No. 24 of 2023 s. 42.]</w:t>
      </w:r>
    </w:p>
    <w:p>
      <w:pPr>
        <w:pStyle w:val="Heading5"/>
      </w:pPr>
      <w:bookmarkStart w:id="41" w:name="_Toc149055666"/>
      <w:bookmarkStart w:id="42" w:name="_Toc153887455"/>
      <w:r>
        <w:rPr>
          <w:rStyle w:val="CharSectno"/>
        </w:rPr>
        <w:t>10</w:t>
      </w:r>
      <w:r>
        <w:t>.</w:t>
      </w:r>
      <w:r>
        <w:tab/>
        <w:t>Failing to comply with certain requirements under s. 9</w:t>
      </w:r>
      <w:bookmarkEnd w:id="41"/>
      <w:bookmarkEnd w:id="42"/>
    </w:p>
    <w:p>
      <w:pPr>
        <w:pStyle w:val="Subsection"/>
      </w:pPr>
      <w:r>
        <w:tab/>
        <w:t>(1)</w:t>
      </w:r>
      <w:r>
        <w:tab/>
        <w:t>A person who, without reasonable excuse, fails to comply with a requirement under section 9(2)(e), (h), (i) or (j) commits an offence.</w:t>
      </w:r>
    </w:p>
    <w:p>
      <w:pPr>
        <w:pStyle w:val="Penstart"/>
      </w:pPr>
      <w:r>
        <w:tab/>
        <w:t>Penalty for this subsection: a fine of $5 000.</w:t>
      </w:r>
    </w:p>
    <w:p>
      <w:pPr>
        <w:pStyle w:val="Subsection"/>
      </w:pPr>
      <w:r>
        <w:lastRenderedPageBreak/>
        <w:tab/>
        <w:t>(2)</w:t>
      </w:r>
      <w:r>
        <w:tab/>
        <w:t>A person commits an offence if, in response to a requirement made under section 9(2)(i), the person gives a false name, address or date of birth or false evidence of identity.</w:t>
      </w:r>
    </w:p>
    <w:p>
      <w:pPr>
        <w:pStyle w:val="Penstart"/>
      </w:pPr>
      <w:r>
        <w:tab/>
        <w:t>Penalty for this subsection: a fine of $5 000.</w:t>
      </w:r>
    </w:p>
    <w:p>
      <w:pPr>
        <w:pStyle w:val="Footnotesection"/>
      </w:pPr>
      <w:r>
        <w:tab/>
        <w:t>[Section 10 inserted: No. 24 of 2023 s. 42.]</w:t>
      </w:r>
    </w:p>
    <w:p>
      <w:pPr>
        <w:pStyle w:val="Heading5"/>
      </w:pPr>
      <w:bookmarkStart w:id="43" w:name="_Toc149055667"/>
      <w:bookmarkStart w:id="44" w:name="_Toc153887456"/>
      <w:r>
        <w:rPr>
          <w:rStyle w:val="CharSectno"/>
        </w:rPr>
        <w:t>11</w:t>
      </w:r>
      <w:r>
        <w:t>.</w:t>
      </w:r>
      <w:r>
        <w:tab/>
        <w:t>Sampling, securing or seizing things found</w:t>
      </w:r>
      <w:bookmarkEnd w:id="43"/>
      <w:bookmarkEnd w:id="44"/>
    </w:p>
    <w:p>
      <w:pPr>
        <w:pStyle w:val="Subsection"/>
      </w:pPr>
      <w:r>
        <w:tab/>
        <w:t>(1)</w:t>
      </w:r>
      <w:r>
        <w:tab/>
        <w:t xml:space="preserve">This section applies if — </w:t>
      </w:r>
    </w:p>
    <w:p>
      <w:pPr>
        <w:pStyle w:val="Indenta"/>
      </w:pPr>
      <w:r>
        <w:tab/>
        <w:t>(a)</w:t>
      </w:r>
      <w:r>
        <w:tab/>
        <w:t>a thing is found during the exercise of a power under section 9 in relation to a vessel; and</w:t>
      </w:r>
    </w:p>
    <w:p>
      <w:pPr>
        <w:pStyle w:val="Indenta"/>
      </w:pPr>
      <w:r>
        <w:tab/>
        <w:t>(b)</w:t>
      </w:r>
      <w:r>
        <w:tab/>
        <w:t xml:space="preserve">the inspector believes on reasonable grounds that — </w:t>
      </w:r>
    </w:p>
    <w:p>
      <w:pPr>
        <w:pStyle w:val="Indenti"/>
      </w:pPr>
      <w:r>
        <w:tab/>
        <w:t>(i)</w:t>
      </w:r>
      <w:r>
        <w:tab/>
        <w:t>the thing is evidential material; and</w:t>
      </w:r>
    </w:p>
    <w:p>
      <w:pPr>
        <w:pStyle w:val="Indenti"/>
      </w:pPr>
      <w:r>
        <w:tab/>
        <w:t>(ii)</w:t>
      </w:r>
      <w:r>
        <w:tab/>
        <w:t>1 or more of the powers under this section need to be exercised in order to prevent concealment, loss or destruction of the evidential material; and</w:t>
      </w:r>
    </w:p>
    <w:p>
      <w:pPr>
        <w:pStyle w:val="Indenti"/>
      </w:pPr>
      <w:r>
        <w:tab/>
        <w:t>(iii)</w:t>
      </w:r>
      <w:r>
        <w:tab/>
        <w:t>the power or powers need to be exercised without a warrant either because of serious and urgent circumstances or because it is not practicable to obtain a warrant.</w:t>
      </w:r>
    </w:p>
    <w:p>
      <w:pPr>
        <w:pStyle w:val="Subsection"/>
      </w:pPr>
      <w:r>
        <w:tab/>
        <w:t>(2)</w:t>
      </w:r>
      <w:r>
        <w:tab/>
        <w:t xml:space="preserve">The inspector may do 1 or more of the following — </w:t>
      </w:r>
    </w:p>
    <w:p>
      <w:pPr>
        <w:pStyle w:val="Indenta"/>
      </w:pPr>
      <w:r>
        <w:tab/>
        <w:t>(a)</w:t>
      </w:r>
      <w:r>
        <w:tab/>
        <w:t>take a sample of the thing and remove the sample from the vessel;</w:t>
      </w:r>
    </w:p>
    <w:p>
      <w:pPr>
        <w:pStyle w:val="Indenta"/>
      </w:pPr>
      <w:r>
        <w:tab/>
        <w:t>(b)</w:t>
      </w:r>
      <w:r>
        <w:tab/>
        <w:t>secure the thing for up to 72 hours;</w:t>
      </w:r>
    </w:p>
    <w:p>
      <w:pPr>
        <w:pStyle w:val="Indenta"/>
      </w:pPr>
      <w:r>
        <w:tab/>
        <w:t>(c)</w:t>
      </w:r>
      <w:r>
        <w:tab/>
        <w:t>subject to subsection (3), seize the thing.</w:t>
      </w:r>
    </w:p>
    <w:p>
      <w:pPr>
        <w:pStyle w:val="Subsection"/>
      </w:pPr>
      <w:r>
        <w:tab/>
        <w:t>(3)</w:t>
      </w:r>
      <w:r>
        <w:tab/>
        <w:t xml:space="preserve">If the thing is equipment or an information storage device that has been operated or used under section 9(3), the inspector may seize the thing only if — </w:t>
      </w:r>
    </w:p>
    <w:p>
      <w:pPr>
        <w:pStyle w:val="Indenta"/>
      </w:pPr>
      <w:r>
        <w:tab/>
        <w:t>(a)</w:t>
      </w:r>
      <w:r>
        <w:tab/>
        <w:t>it is not practicable to put all the evidential material the thing contains in documentary form as mentioned in section 9(4)(a) or to transfer all that evidential material as mentioned in section 9(4)(b); or</w:t>
      </w:r>
    </w:p>
    <w:p>
      <w:pPr>
        <w:pStyle w:val="Indenta"/>
      </w:pPr>
      <w:r>
        <w:lastRenderedPageBreak/>
        <w:tab/>
        <w:t>(b)</w:t>
      </w:r>
      <w:r>
        <w:tab/>
        <w:t>the inspector believes on reasonable grounds that possession of the equipment or the information storage device could constitute an offence against a law of the State.</w:t>
      </w:r>
    </w:p>
    <w:p>
      <w:pPr>
        <w:pStyle w:val="Subsection"/>
      </w:pPr>
      <w:r>
        <w:tab/>
        <w:t>(4)</w:t>
      </w:r>
      <w:r>
        <w:tab/>
        <w:t>In exercising a power under this section, the inspector must, as far as practicable, minimise damage to any property.</w:t>
      </w:r>
    </w:p>
    <w:p>
      <w:pPr>
        <w:pStyle w:val="Footnotesection"/>
      </w:pPr>
      <w:r>
        <w:tab/>
        <w:t>[Section 11 inserted: No. 24 of 2023 s. 42.]</w:t>
      </w:r>
    </w:p>
    <w:p>
      <w:pPr>
        <w:pStyle w:val="Heading4"/>
      </w:pPr>
      <w:bookmarkStart w:id="45" w:name="_Toc149055668"/>
      <w:bookmarkStart w:id="46" w:name="_Toc153544706"/>
      <w:bookmarkStart w:id="47" w:name="_Toc153796309"/>
      <w:bookmarkStart w:id="48" w:name="_Toc153887457"/>
      <w:r>
        <w:t>Subdivision 2 — Powers relating to premises, exercisable with consent or under warrant</w:t>
      </w:r>
      <w:bookmarkEnd w:id="45"/>
      <w:bookmarkEnd w:id="46"/>
      <w:bookmarkEnd w:id="47"/>
      <w:bookmarkEnd w:id="48"/>
    </w:p>
    <w:p>
      <w:pPr>
        <w:pStyle w:val="Footnoteheading"/>
      </w:pPr>
      <w:r>
        <w:tab/>
        <w:t>[Heading inserted: No. 24 of 2023 s. 42.]</w:t>
      </w:r>
    </w:p>
    <w:p>
      <w:pPr>
        <w:pStyle w:val="Heading5"/>
      </w:pPr>
      <w:bookmarkStart w:id="49" w:name="_Toc149055669"/>
      <w:bookmarkStart w:id="50" w:name="_Toc153887458"/>
      <w:r>
        <w:rPr>
          <w:rStyle w:val="CharSectno"/>
        </w:rPr>
        <w:t>12</w:t>
      </w:r>
      <w:r>
        <w:t>.</w:t>
      </w:r>
      <w:r>
        <w:tab/>
        <w:t>Entering premises</w:t>
      </w:r>
      <w:bookmarkEnd w:id="49"/>
      <w:bookmarkEnd w:id="50"/>
    </w:p>
    <w:p>
      <w:pPr>
        <w:pStyle w:val="Subsection"/>
      </w:pPr>
      <w:r>
        <w:tab/>
        <w:t>(1)</w:t>
      </w:r>
      <w:r>
        <w:tab/>
        <w:t>An inspector may enter any premises for the purposes of determining whether this Act is being or has been complied with.</w:t>
      </w:r>
    </w:p>
    <w:p>
      <w:pPr>
        <w:pStyle w:val="Subsection"/>
      </w:pPr>
      <w:r>
        <w:tab/>
        <w:t>(2)</w:t>
      </w:r>
      <w:r>
        <w:tab/>
        <w:t>An inspector may enter any premises if the inspector has reasonable grounds for suspecting that there may be evidential material on the premises.</w:t>
      </w:r>
    </w:p>
    <w:p>
      <w:pPr>
        <w:pStyle w:val="Subsection"/>
      </w:pPr>
      <w:r>
        <w:tab/>
        <w:t>(3)</w:t>
      </w:r>
      <w:r>
        <w:tab/>
        <w:t xml:space="preserve">Despite subsections (1) and (2), the inspector cannot enter the premises unless — </w:t>
      </w:r>
    </w:p>
    <w:p>
      <w:pPr>
        <w:pStyle w:val="Indenta"/>
      </w:pPr>
      <w:r>
        <w:tab/>
        <w:t>(a)</w:t>
      </w:r>
      <w:r>
        <w:tab/>
        <w:t>entry is in accordance with the consent of the occupier of the premises, given under section 24, and, if requested to do so by the occupier, the inspector has produced their identity card or evidence that they are a police officer (if not in uniform); or</w:t>
      </w:r>
    </w:p>
    <w:p>
      <w:pPr>
        <w:pStyle w:val="Indenta"/>
      </w:pPr>
      <w:r>
        <w:tab/>
        <w:t>(b)</w:t>
      </w:r>
      <w:r>
        <w:tab/>
        <w:t>the entry is made under a warrant.</w:t>
      </w:r>
    </w:p>
    <w:p>
      <w:pPr>
        <w:pStyle w:val="PermNoteHeading"/>
      </w:pPr>
      <w:r>
        <w:tab/>
        <w:t xml:space="preserve">Note for this subsection: </w:t>
      </w:r>
    </w:p>
    <w:p>
      <w:pPr>
        <w:pStyle w:val="PermNoteText"/>
      </w:pPr>
      <w:r>
        <w:tab/>
      </w:r>
      <w:r>
        <w:tab/>
        <w:t>Division 4 includes provisions that deal with consent to entry and matters relating to entry under a warrant.</w:t>
      </w:r>
    </w:p>
    <w:p>
      <w:pPr>
        <w:pStyle w:val="Footnotesection"/>
      </w:pPr>
      <w:r>
        <w:tab/>
        <w:t>[Section 12 inserted: No. 24 of 2023 s. 42.]</w:t>
      </w:r>
    </w:p>
    <w:p>
      <w:pPr>
        <w:pStyle w:val="Heading5"/>
      </w:pPr>
      <w:bookmarkStart w:id="51" w:name="_Toc149055670"/>
      <w:bookmarkStart w:id="52" w:name="_Toc153887459"/>
      <w:r>
        <w:rPr>
          <w:rStyle w:val="CharSectno"/>
        </w:rPr>
        <w:lastRenderedPageBreak/>
        <w:t>13</w:t>
      </w:r>
      <w:r>
        <w:t>.</w:t>
      </w:r>
      <w:r>
        <w:tab/>
        <w:t>Powers of inspectors in relation to premises</w:t>
      </w:r>
      <w:bookmarkEnd w:id="51"/>
      <w:bookmarkEnd w:id="52"/>
    </w:p>
    <w:p>
      <w:pPr>
        <w:pStyle w:val="Subsection"/>
      </w:pPr>
      <w:r>
        <w:tab/>
        <w:t>(1)</w:t>
      </w:r>
      <w:r>
        <w:tab/>
        <w:t>An inspector may exercise the powers under this section in relation to premises entered under section 12 for the purposes of determining whether this Act is being or has been complied with (whether or not the inspector has reasonable grounds for suspecting that there may be evidential material on the premises).</w:t>
      </w:r>
    </w:p>
    <w:p>
      <w:pPr>
        <w:pStyle w:val="Subsection"/>
      </w:pPr>
      <w:r>
        <w:tab/>
        <w:t>(2)</w:t>
      </w:r>
      <w:r>
        <w:tab/>
        <w:t xml:space="preserve">The inspector may, in relation to the premises, do 1 or more of the following — </w:t>
      </w:r>
    </w:p>
    <w:p>
      <w:pPr>
        <w:pStyle w:val="Indenta"/>
      </w:pPr>
      <w:r>
        <w:tab/>
        <w:t>(a)</w:t>
      </w:r>
      <w:r>
        <w:tab/>
        <w:t>search the premises or anything on the premises;</w:t>
      </w:r>
    </w:p>
    <w:p>
      <w:pPr>
        <w:pStyle w:val="Indenta"/>
      </w:pPr>
      <w:r>
        <w:tab/>
        <w:t>(b)</w:t>
      </w:r>
      <w:r>
        <w:tab/>
        <w:t>examine or observe any activity conducted on the premises;</w:t>
      </w:r>
    </w:p>
    <w:p>
      <w:pPr>
        <w:pStyle w:val="Indenta"/>
      </w:pPr>
      <w:r>
        <w:tab/>
        <w:t>(c)</w:t>
      </w:r>
      <w:r>
        <w:tab/>
        <w:t>inspect, examine, take measurements of or conduct tests on anything on the premises;</w:t>
      </w:r>
    </w:p>
    <w:p>
      <w:pPr>
        <w:pStyle w:val="Indenta"/>
      </w:pPr>
      <w:r>
        <w:tab/>
        <w:t>(d)</w:t>
      </w:r>
      <w:r>
        <w:tab/>
        <w:t>take photographs, video recordings or any other recordings of the premises or anything on the premises;</w:t>
      </w:r>
    </w:p>
    <w:p>
      <w:pPr>
        <w:pStyle w:val="Indenta"/>
      </w:pPr>
      <w:r>
        <w:tab/>
        <w:t>(e)</w:t>
      </w:r>
      <w:r>
        <w:tab/>
        <w:t>inspect any document on the premises;</w:t>
      </w:r>
    </w:p>
    <w:p>
      <w:pPr>
        <w:pStyle w:val="Indenta"/>
      </w:pPr>
      <w:r>
        <w:tab/>
        <w:t>(f)</w:t>
      </w:r>
      <w:r>
        <w:tab/>
        <w:t>take extracts from, or make copies of, any document inspected under paragraph (e);</w:t>
      </w:r>
    </w:p>
    <w:p>
      <w:pPr>
        <w:pStyle w:val="Indenta"/>
      </w:pPr>
      <w:r>
        <w:tab/>
        <w:t>(g)</w:t>
      </w:r>
      <w:r>
        <w:tab/>
        <w:t>take onto the premises any equipment and materials that the inspector requires for the purpose of exercising powers in relation to the premises.</w:t>
      </w:r>
    </w:p>
    <w:p>
      <w:pPr>
        <w:pStyle w:val="Subsection"/>
      </w:pPr>
      <w:r>
        <w:tab/>
        <w:t>(3)</w:t>
      </w:r>
      <w:r>
        <w:tab/>
        <w:t xml:space="preserve">The inspector may, when on the premises, operate electronic equipment on the premises to determine whether the following contain information that is relevant to the purposes of this section — </w:t>
      </w:r>
    </w:p>
    <w:p>
      <w:pPr>
        <w:pStyle w:val="Indenta"/>
      </w:pPr>
      <w:r>
        <w:tab/>
        <w:t>(a)</w:t>
      </w:r>
      <w:r>
        <w:tab/>
        <w:t>the equipment;</w:t>
      </w:r>
    </w:p>
    <w:p>
      <w:pPr>
        <w:pStyle w:val="Indenta"/>
      </w:pPr>
      <w:r>
        <w:tab/>
        <w:t>(b)</w:t>
      </w:r>
      <w:r>
        <w:tab/>
        <w:t xml:space="preserve">an information storage device that — </w:t>
      </w:r>
    </w:p>
    <w:p>
      <w:pPr>
        <w:pStyle w:val="Indenti"/>
      </w:pPr>
      <w:r>
        <w:tab/>
        <w:t>(i)</w:t>
      </w:r>
      <w:r>
        <w:tab/>
        <w:t>is on the premises; and</w:t>
      </w:r>
    </w:p>
    <w:p>
      <w:pPr>
        <w:pStyle w:val="Indenti"/>
      </w:pPr>
      <w:r>
        <w:tab/>
        <w:t>(ii)</w:t>
      </w:r>
      <w:r>
        <w:tab/>
        <w:t>can be used with the equipment or is associated with the equipment.</w:t>
      </w:r>
    </w:p>
    <w:p>
      <w:pPr>
        <w:pStyle w:val="Subsection"/>
      </w:pPr>
      <w:r>
        <w:lastRenderedPageBreak/>
        <w:tab/>
        <w:t>(4)</w:t>
      </w:r>
      <w:r>
        <w:tab/>
        <w:t xml:space="preserve">If information that is relevant to the purposes of this section is found in the exercise of a power under this section, the inspector may, when on or leaving the premises, do 1 or more of the following — </w:t>
      </w:r>
    </w:p>
    <w:p>
      <w:pPr>
        <w:pStyle w:val="Indenta"/>
      </w:pPr>
      <w:r>
        <w:tab/>
        <w:t>(a)</w:t>
      </w:r>
      <w:r>
        <w:tab/>
        <w:t>operate electronic equipment on the premises to put the information in documentary form;</w:t>
      </w:r>
    </w:p>
    <w:p>
      <w:pPr>
        <w:pStyle w:val="Indenta"/>
      </w:pPr>
      <w:r>
        <w:tab/>
        <w:t>(b)</w:t>
      </w:r>
      <w:r>
        <w:tab/>
        <w:t xml:space="preserve">operate electronic equipment on the premises to transfer the information to an information storage device that — </w:t>
      </w:r>
    </w:p>
    <w:p>
      <w:pPr>
        <w:pStyle w:val="Indenti"/>
      </w:pPr>
      <w:r>
        <w:tab/>
        <w:t>(i)</w:t>
      </w:r>
      <w:r>
        <w:tab/>
        <w:t>is brought to the premises for that purpose; or</w:t>
      </w:r>
    </w:p>
    <w:p>
      <w:pPr>
        <w:pStyle w:val="Indenti"/>
      </w:pPr>
      <w:r>
        <w:tab/>
        <w:t>(ii)</w:t>
      </w:r>
      <w:r>
        <w:tab/>
        <w:t>is on the premises and the use of which for that purpose has been agreed to in writing by the occupier of the premises;</w:t>
      </w:r>
    </w:p>
    <w:p>
      <w:pPr>
        <w:pStyle w:val="Indenta"/>
      </w:pPr>
      <w:r>
        <w:tab/>
        <w:t>(c)</w:t>
      </w:r>
      <w:r>
        <w:tab/>
        <w:t>remove the document or information storage device from the premises.</w:t>
      </w:r>
    </w:p>
    <w:p>
      <w:pPr>
        <w:pStyle w:val="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Subsection"/>
      </w:pPr>
      <w:r>
        <w:tab/>
        <w:t>(6)</w:t>
      </w:r>
      <w:r>
        <w:tab/>
        <w:t xml:space="preserve">The inspector may secure a thing on the premises for up to 72 hours if — </w:t>
      </w:r>
    </w:p>
    <w:p>
      <w:pPr>
        <w:pStyle w:val="Indenta"/>
      </w:pPr>
      <w:r>
        <w:tab/>
        <w:t>(a)</w:t>
      </w:r>
      <w:r>
        <w:tab/>
        <w:t>the thing is found during the exercise of a power under this section in relation to the premises; and</w:t>
      </w:r>
    </w:p>
    <w:p>
      <w:pPr>
        <w:pStyle w:val="Indenta"/>
      </w:pPr>
      <w:r>
        <w:tab/>
        <w:t>(b)</w:t>
      </w:r>
      <w:r>
        <w:tab/>
        <w:t xml:space="preserve">the inspector believes on reasonable grounds that — </w:t>
      </w:r>
    </w:p>
    <w:p>
      <w:pPr>
        <w:pStyle w:val="Indenti"/>
      </w:pPr>
      <w:r>
        <w:tab/>
        <w:t>(i)</w:t>
      </w:r>
      <w:r>
        <w:tab/>
        <w:t>the thing is evidential material; and</w:t>
      </w:r>
    </w:p>
    <w:p>
      <w:pPr>
        <w:pStyle w:val="Indenti"/>
      </w:pPr>
      <w:r>
        <w:tab/>
        <w:t>(ii)</w:t>
      </w:r>
      <w:r>
        <w:tab/>
        <w:t>it is necessary to secure the thing in order to prevent it from being concealed, lost or destroyed before a warrant to seize the thing is obtained; and</w:t>
      </w:r>
    </w:p>
    <w:p>
      <w:pPr>
        <w:pStyle w:val="Indenti"/>
      </w:pPr>
      <w:r>
        <w:tab/>
        <w:t>(iii)</w:t>
      </w:r>
      <w:r>
        <w:tab/>
        <w:t>it is necessary to secure the thing without a warrant because the circumstances are serious and urgent.</w:t>
      </w:r>
    </w:p>
    <w:p>
      <w:pPr>
        <w:pStyle w:val="Footnotesection"/>
      </w:pPr>
      <w:r>
        <w:tab/>
        <w:t>[Section 13 inserted: No. 24 of 2023 s. 42.]</w:t>
      </w:r>
    </w:p>
    <w:p>
      <w:pPr>
        <w:pStyle w:val="Heading5"/>
      </w:pPr>
      <w:bookmarkStart w:id="53" w:name="_Toc149055671"/>
      <w:bookmarkStart w:id="54" w:name="_Toc153887460"/>
      <w:r>
        <w:rPr>
          <w:rStyle w:val="CharSectno"/>
        </w:rPr>
        <w:lastRenderedPageBreak/>
        <w:t>14</w:t>
      </w:r>
      <w:r>
        <w:t>.</w:t>
      </w:r>
      <w:r>
        <w:tab/>
        <w:t>Enforcement powers</w:t>
      </w:r>
      <w:bookmarkEnd w:id="53"/>
      <w:bookmarkEnd w:id="54"/>
    </w:p>
    <w:p>
      <w:pPr>
        <w:pStyle w:val="Subsection"/>
      </w:pPr>
      <w:r>
        <w:tab/>
        <w:t>(1)</w:t>
      </w:r>
      <w:r>
        <w:tab/>
        <w:t>An inspector may exercise the powers under this section in relation to premises entered under section 12 if the inspector has reasonable grounds for suspecting that there may be evidential material on premises.</w:t>
      </w:r>
    </w:p>
    <w:p>
      <w:pPr>
        <w:pStyle w:val="Subsection"/>
      </w:pPr>
      <w:r>
        <w:tab/>
        <w:t>(2)</w:t>
      </w:r>
      <w:r>
        <w:tab/>
        <w:t xml:space="preserve">The inspector may, in relation to the premises, do 1 or more of the following — </w:t>
      </w:r>
    </w:p>
    <w:p>
      <w:pPr>
        <w:pStyle w:val="Indenta"/>
      </w:pPr>
      <w:r>
        <w:tab/>
        <w:t>(a)</w:t>
      </w:r>
      <w:r>
        <w:tab/>
        <w:t>if entry to the premises is with the occupier’s consent — search the premises and anything on the premises for evidential material;</w:t>
      </w:r>
    </w:p>
    <w:p>
      <w:pPr>
        <w:pStyle w:val="Indenta"/>
      </w:pPr>
      <w:r>
        <w:tab/>
        <w:t>(b)</w:t>
      </w:r>
      <w:r>
        <w:tab/>
        <w:t xml:space="preserve">if entry to the premises is under a warrant — </w:t>
      </w:r>
    </w:p>
    <w:p>
      <w:pPr>
        <w:pStyle w:val="Indenti"/>
      </w:pPr>
      <w:r>
        <w:tab/>
        <w:t>(i)</w:t>
      </w:r>
      <w:r>
        <w:tab/>
        <w:t>search the premises and anything on the premises for evidential material of the kind specified in the warrant; and</w:t>
      </w:r>
    </w:p>
    <w:p>
      <w:pPr>
        <w:pStyle w:val="Indenti"/>
      </w:pPr>
      <w:r>
        <w:tab/>
        <w:t>(ii)</w:t>
      </w:r>
      <w:r>
        <w:tab/>
        <w:t>seize evidential material of that kind;</w:t>
      </w:r>
    </w:p>
    <w:p>
      <w:pPr>
        <w:pStyle w:val="Indenta"/>
      </w:pPr>
      <w:r>
        <w:tab/>
        <w:t>(c)</w:t>
      </w:r>
      <w:r>
        <w:tab/>
        <w:t>inspect, examine, take measurements of, conduct tests on or take samples of evidential material referred to in paragraph (a) or (b) (whichever is relevant);</w:t>
      </w:r>
    </w:p>
    <w:p>
      <w:pPr>
        <w:pStyle w:val="Indenta"/>
      </w:pPr>
      <w:r>
        <w:tab/>
        <w:t>(d)</w:t>
      </w:r>
      <w:r>
        <w:tab/>
        <w:t>take photographs, video recordings or any other recordings of the premises or evidential material referred to in paragraph (a) or (b) (whichever is relevant);</w:t>
      </w:r>
    </w:p>
    <w:p>
      <w:pPr>
        <w:pStyle w:val="Indenta"/>
      </w:pPr>
      <w:r>
        <w:tab/>
        <w:t>(e)</w:t>
      </w:r>
      <w:r>
        <w:tab/>
        <w:t>take onto the premises any equipment and materials that the inspector requires for the purpose of exercising powers in relation to the premises;</w:t>
      </w:r>
    </w:p>
    <w:p>
      <w:pPr>
        <w:pStyle w:val="Indenta"/>
      </w:pPr>
      <w:r>
        <w:tab/>
        <w:t>(f)</w:t>
      </w:r>
      <w:r>
        <w:tab/>
        <w:t>require a person on the premises to demonstrate the operation of machinery or equipment on the premises.</w:t>
      </w:r>
    </w:p>
    <w:p>
      <w:pPr>
        <w:pStyle w:val="Subsection"/>
      </w:pPr>
      <w:r>
        <w:tab/>
        <w:t>(3)</w:t>
      </w:r>
      <w:r>
        <w:tab/>
        <w:t xml:space="preserve">The inspector may, when on the premises, operate electronic equipment on the premises to determine whether the following contain evidential material referred to in subsection (2)(a) or (b) (whichever is relevant) — </w:t>
      </w:r>
    </w:p>
    <w:p>
      <w:pPr>
        <w:pStyle w:val="Indenta"/>
      </w:pPr>
      <w:r>
        <w:tab/>
        <w:t>(a)</w:t>
      </w:r>
      <w:r>
        <w:tab/>
        <w:t>the equipment; or</w:t>
      </w:r>
    </w:p>
    <w:p>
      <w:pPr>
        <w:pStyle w:val="Indenta"/>
        <w:keepNext/>
      </w:pPr>
      <w:r>
        <w:lastRenderedPageBreak/>
        <w:tab/>
        <w:t>(b)</w:t>
      </w:r>
      <w:r>
        <w:tab/>
        <w:t xml:space="preserve">an information storage device that — </w:t>
      </w:r>
    </w:p>
    <w:p>
      <w:pPr>
        <w:pStyle w:val="Indenti"/>
      </w:pPr>
      <w:r>
        <w:tab/>
        <w:t>(i)</w:t>
      </w:r>
      <w:r>
        <w:tab/>
        <w:t>is on the premises; and</w:t>
      </w:r>
    </w:p>
    <w:p>
      <w:pPr>
        <w:pStyle w:val="Indenti"/>
      </w:pPr>
      <w:r>
        <w:tab/>
        <w:t>(ii)</w:t>
      </w:r>
      <w:r>
        <w:tab/>
        <w:t>can be used with the equipment or is associated with the equipment.</w:t>
      </w:r>
    </w:p>
    <w:p>
      <w:pPr>
        <w:pStyle w:val="Subsection"/>
      </w:pPr>
      <w:r>
        <w:tab/>
        <w:t>(4)</w:t>
      </w:r>
      <w:r>
        <w:tab/>
        <w:t xml:space="preserve">If evidential material is found in the exercise of a power under this section, the inspector may, when on or leaving the premises, do 1 or more of the following — </w:t>
      </w:r>
    </w:p>
    <w:p>
      <w:pPr>
        <w:pStyle w:val="Indenta"/>
      </w:pPr>
      <w:r>
        <w:tab/>
        <w:t>(a)</w:t>
      </w:r>
      <w:r>
        <w:tab/>
        <w:t>operate electronic equipment on the premises to put the evidential material in documentary form;</w:t>
      </w:r>
    </w:p>
    <w:p>
      <w:pPr>
        <w:pStyle w:val="Indenta"/>
      </w:pPr>
      <w:r>
        <w:tab/>
        <w:t>(b)</w:t>
      </w:r>
      <w:r>
        <w:tab/>
        <w:t xml:space="preserve">operate electronic equipment on the premises to transfer the evidential material to an information storage device that — </w:t>
      </w:r>
    </w:p>
    <w:p>
      <w:pPr>
        <w:pStyle w:val="Indenti"/>
      </w:pPr>
      <w:r>
        <w:tab/>
        <w:t>(i)</w:t>
      </w:r>
      <w:r>
        <w:tab/>
        <w:t>is brought to the premises for that purpose; or</w:t>
      </w:r>
    </w:p>
    <w:p>
      <w:pPr>
        <w:pStyle w:val="Indenti"/>
      </w:pPr>
      <w:r>
        <w:tab/>
        <w:t>(ii)</w:t>
      </w:r>
      <w:r>
        <w:tab/>
        <w:t>is on the premises and the use of which for that purpose has been agreed to in writing by the occupier of the premises;</w:t>
      </w:r>
    </w:p>
    <w:p>
      <w:pPr>
        <w:pStyle w:val="Indenta"/>
      </w:pPr>
      <w:r>
        <w:tab/>
        <w:t>(c)</w:t>
      </w:r>
      <w:r>
        <w:tab/>
        <w:t>remove the document or information storage device from the premises;</w:t>
      </w:r>
    </w:p>
    <w:p>
      <w:pPr>
        <w:pStyle w:val="Indenta"/>
      </w:pPr>
      <w:r>
        <w:tab/>
        <w:t>(d)</w:t>
      </w:r>
      <w:r>
        <w:tab/>
        <w:t>if entry to the premises is under a warrant and the equipment or information storage device referred to in subsection (3) contains evidential material — seize the equipment or information storage device.</w:t>
      </w:r>
    </w:p>
    <w:p>
      <w:pPr>
        <w:pStyle w:val="Subsection"/>
      </w:pPr>
      <w:r>
        <w:tab/>
        <w:t>(5)</w:t>
      </w:r>
      <w:r>
        <w:tab/>
        <w:t>The inspector may operate electronic equipment as mentioned in subsection (3) or (4) only if the inspector believes on reasonable grounds that the operation of the equipment can be carried out without damage to the equipment.</w:t>
      </w:r>
    </w:p>
    <w:p>
      <w:pPr>
        <w:pStyle w:val="Subsection"/>
      </w:pPr>
      <w:r>
        <w:tab/>
        <w:t>(6)</w:t>
      </w:r>
      <w:r>
        <w:tab/>
        <w:t xml:space="preserve">The inspector may seize the equipment or information storage device as mentioned in subsection (4)(d) only if — </w:t>
      </w:r>
    </w:p>
    <w:p>
      <w:pPr>
        <w:pStyle w:val="Indenta"/>
      </w:pPr>
      <w:r>
        <w:tab/>
        <w:t>(a)</w:t>
      </w:r>
      <w:r>
        <w:tab/>
        <w:t>it is not practicable to put the evidential material in documentary form as mentioned in subsection (4)(a) or to transfer the evidential material to a device as mentioned in subsection (4)(b); or</w:t>
      </w:r>
    </w:p>
    <w:p>
      <w:pPr>
        <w:pStyle w:val="Indenta"/>
      </w:pPr>
      <w:r>
        <w:lastRenderedPageBreak/>
        <w:tab/>
        <w:t>(b)</w:t>
      </w:r>
      <w:r>
        <w:tab/>
        <w:t>the inspector believes on reasonable grounds that possession of the equipment or information storage device by the occupier could constitute an offence against a law of the State.</w:t>
      </w:r>
    </w:p>
    <w:p>
      <w:pPr>
        <w:pStyle w:val="Subsection"/>
      </w:pPr>
      <w:r>
        <w:tab/>
        <w:t>(7)</w:t>
      </w:r>
      <w:r>
        <w:tab/>
        <w:t xml:space="preserve">The inspector may seize a thing if — </w:t>
      </w:r>
    </w:p>
    <w:p>
      <w:pPr>
        <w:pStyle w:val="Indenta"/>
      </w:pPr>
      <w:r>
        <w:tab/>
        <w:t>(a)</w:t>
      </w:r>
      <w:r>
        <w:tab/>
        <w:t>entry to the premises is under a warrant; and</w:t>
      </w:r>
    </w:p>
    <w:p>
      <w:pPr>
        <w:pStyle w:val="Indenta"/>
      </w:pPr>
      <w:r>
        <w:tab/>
        <w:t>(b)</w:t>
      </w:r>
      <w:r>
        <w:tab/>
        <w:t>the inspector, in the course of searching for evidential material of the kind specified in the warrant, finds the thing and the inspector believes on reasonable grounds that the thing is evidential material; and</w:t>
      </w:r>
    </w:p>
    <w:p>
      <w:pPr>
        <w:pStyle w:val="Indenta"/>
      </w:pPr>
      <w:r>
        <w:tab/>
        <w:t>(c)</w:t>
      </w:r>
      <w:r>
        <w:tab/>
        <w:t>the inspector believes on reasonable grounds that it is necessary to seize the thing in order to prevent its concealment, loss or destruction.</w:t>
      </w:r>
    </w:p>
    <w:p>
      <w:pPr>
        <w:pStyle w:val="Subsection"/>
      </w:pPr>
      <w:r>
        <w:tab/>
        <w:t>(8)</w:t>
      </w:r>
      <w:r>
        <w:tab/>
        <w:t>A person who, without reasonable excuse, fails to comply with a requirement under subsection (2)(f) commits an offence.</w:t>
      </w:r>
    </w:p>
    <w:p>
      <w:pPr>
        <w:pStyle w:val="Penstart"/>
      </w:pPr>
      <w:r>
        <w:tab/>
        <w:t>Penalty for this subsection: a fine of $5 000.</w:t>
      </w:r>
    </w:p>
    <w:p>
      <w:pPr>
        <w:pStyle w:val="Footnotesection"/>
      </w:pPr>
      <w:r>
        <w:tab/>
        <w:t>[Section 14 inserted: No. 24 of 2023 s. 42.]</w:t>
      </w:r>
    </w:p>
    <w:p>
      <w:pPr>
        <w:pStyle w:val="Heading5"/>
      </w:pPr>
      <w:bookmarkStart w:id="55" w:name="_Toc149055672"/>
      <w:bookmarkStart w:id="56" w:name="_Toc153887461"/>
      <w:r>
        <w:rPr>
          <w:rStyle w:val="CharSectno"/>
        </w:rPr>
        <w:t>15</w:t>
      </w:r>
      <w:r>
        <w:t>.</w:t>
      </w:r>
      <w:r>
        <w:tab/>
        <w:t>Failing to comply with certain requirements of inspectors</w:t>
      </w:r>
      <w:bookmarkEnd w:id="55"/>
      <w:bookmarkEnd w:id="56"/>
    </w:p>
    <w:p>
      <w:pPr>
        <w:pStyle w:val="Subsection"/>
      </w:pPr>
      <w:r>
        <w:tab/>
        <w:t>(1)</w:t>
      </w:r>
      <w:r>
        <w:tab/>
        <w:t xml:space="preserve">An inspector who is on premises that the inspector has entered under a warrant may require any person on the premises to — </w:t>
      </w:r>
    </w:p>
    <w:p>
      <w:pPr>
        <w:pStyle w:val="Indenta"/>
      </w:pPr>
      <w:r>
        <w:tab/>
        <w:t>(a)</w:t>
      </w:r>
      <w:r>
        <w:tab/>
        <w:t>answer any questions put by the inspector; and</w:t>
      </w:r>
    </w:p>
    <w:p>
      <w:pPr>
        <w:pStyle w:val="Indenta"/>
      </w:pPr>
      <w:r>
        <w:tab/>
        <w:t>(b)</w:t>
      </w:r>
      <w:r>
        <w:tab/>
        <w:t>produce for inspection any books, records or documents requested by the inspector.</w:t>
      </w:r>
    </w:p>
    <w:p>
      <w:pPr>
        <w:pStyle w:val="Subsection"/>
      </w:pPr>
      <w:r>
        <w:tab/>
        <w:t>(2)</w:t>
      </w:r>
      <w:r>
        <w:tab/>
        <w:t>A person who, without reasonable excuse, fails to comply with a requirement under subsection (1) commits an offence.</w:t>
      </w:r>
    </w:p>
    <w:p>
      <w:pPr>
        <w:pStyle w:val="Penstart"/>
      </w:pPr>
      <w:r>
        <w:tab/>
        <w:t>Penalty for this subsection: a fine of $5 000.</w:t>
      </w:r>
    </w:p>
    <w:p>
      <w:pPr>
        <w:pStyle w:val="Footnotesection"/>
      </w:pPr>
      <w:r>
        <w:tab/>
        <w:t>[Section 15 inserted: No. 24 of 2023 s. 42.]</w:t>
      </w:r>
    </w:p>
    <w:p>
      <w:pPr>
        <w:pStyle w:val="Heading5"/>
      </w:pPr>
      <w:bookmarkStart w:id="57" w:name="_Toc149055673"/>
      <w:bookmarkStart w:id="58" w:name="_Toc153887462"/>
      <w:r>
        <w:rPr>
          <w:rStyle w:val="CharSectno"/>
        </w:rPr>
        <w:lastRenderedPageBreak/>
        <w:t>16</w:t>
      </w:r>
      <w:r>
        <w:t>.</w:t>
      </w:r>
      <w:r>
        <w:tab/>
        <w:t>Using force in executing warrant</w:t>
      </w:r>
      <w:bookmarkEnd w:id="57"/>
      <w:bookmarkEnd w:id="58"/>
    </w:p>
    <w:p>
      <w:pPr>
        <w:pStyle w:val="Subsection"/>
      </w:pPr>
      <w:r>
        <w:tab/>
      </w:r>
      <w:r>
        <w:tab/>
        <w:t>In executing a warrant, an inspector may use any force against persons and things that is necessary and reasonable in the circumstances.</w:t>
      </w:r>
    </w:p>
    <w:p>
      <w:pPr>
        <w:pStyle w:val="Footnotesection"/>
      </w:pPr>
      <w:r>
        <w:tab/>
        <w:t>[Section 16 inserted: No. 24 of 2023 s. 42.]</w:t>
      </w:r>
    </w:p>
    <w:p>
      <w:pPr>
        <w:pStyle w:val="Heading5"/>
      </w:pPr>
      <w:bookmarkStart w:id="59" w:name="_Toc149055674"/>
      <w:bookmarkStart w:id="60" w:name="_Toc153887463"/>
      <w:r>
        <w:rPr>
          <w:rStyle w:val="CharSectno"/>
        </w:rPr>
        <w:t>17</w:t>
      </w:r>
      <w:r>
        <w:t>.</w:t>
      </w:r>
      <w:r>
        <w:tab/>
        <w:t>Relationship with Subdivision 1</w:t>
      </w:r>
      <w:bookmarkEnd w:id="59"/>
      <w:bookmarkEnd w:id="60"/>
    </w:p>
    <w:p>
      <w:pPr>
        <w:pStyle w:val="Subsection"/>
      </w:pPr>
      <w:r>
        <w:tab/>
        <w:t>(1)</w:t>
      </w:r>
      <w:r>
        <w:tab/>
        <w:t>This Subdivision does not limit Subdivision 1.</w:t>
      </w:r>
    </w:p>
    <w:p>
      <w:pPr>
        <w:pStyle w:val="Subsection"/>
      </w:pPr>
      <w:r>
        <w:tab/>
        <w:t>(2)</w:t>
      </w:r>
      <w:r>
        <w:tab/>
        <w:t>Subdivision 1 does not prevent this Subdivision from applying to premises that are vessels.</w:t>
      </w:r>
    </w:p>
    <w:p>
      <w:pPr>
        <w:pStyle w:val="Footnotesection"/>
      </w:pPr>
      <w:r>
        <w:tab/>
        <w:t>[Section 17 inserted: No. 24 of 2023 s. 42.]</w:t>
      </w:r>
    </w:p>
    <w:p>
      <w:pPr>
        <w:pStyle w:val="Heading4"/>
      </w:pPr>
      <w:bookmarkStart w:id="61" w:name="_Toc149055675"/>
      <w:bookmarkStart w:id="62" w:name="_Toc153544713"/>
      <w:bookmarkStart w:id="63" w:name="_Toc153796316"/>
      <w:bookmarkStart w:id="64" w:name="_Toc153887464"/>
      <w:r>
        <w:t>Subdivision 3 — Requiring certain documents under Act to be produced for inspection</w:t>
      </w:r>
      <w:bookmarkEnd w:id="61"/>
      <w:bookmarkEnd w:id="62"/>
      <w:bookmarkEnd w:id="63"/>
      <w:bookmarkEnd w:id="64"/>
    </w:p>
    <w:p>
      <w:pPr>
        <w:pStyle w:val="Footnoteheading"/>
      </w:pPr>
      <w:r>
        <w:tab/>
        <w:t>[Heading inserted: No. 24 of 2023 s. 42.]</w:t>
      </w:r>
    </w:p>
    <w:p>
      <w:pPr>
        <w:pStyle w:val="Heading5"/>
      </w:pPr>
      <w:bookmarkStart w:id="65" w:name="_Toc149055676"/>
      <w:bookmarkStart w:id="66" w:name="_Toc153887465"/>
      <w:r>
        <w:rPr>
          <w:rStyle w:val="CharSectno"/>
        </w:rPr>
        <w:t>18</w:t>
      </w:r>
      <w:r>
        <w:t>.</w:t>
      </w:r>
      <w:r>
        <w:tab/>
        <w:t>Requiring certain documents to be produced for inspection</w:t>
      </w:r>
      <w:bookmarkEnd w:id="65"/>
      <w:bookmarkEnd w:id="66"/>
    </w:p>
    <w:p>
      <w:pPr>
        <w:pStyle w:val="Subsection"/>
      </w:pPr>
      <w:r>
        <w:tab/>
        <w:t>(1)</w:t>
      </w:r>
      <w:r>
        <w:tab/>
        <w:t>An inspector may, in the exercise of a power under this Act, require a person to produce for inspection any licence, permit, certificate or other document issued to or required to be held by the person under this Act.</w:t>
      </w:r>
    </w:p>
    <w:p>
      <w:pPr>
        <w:pStyle w:val="Subsection"/>
      </w:pPr>
      <w:r>
        <w:tab/>
        <w:t>(2)</w:t>
      </w:r>
      <w:r>
        <w:tab/>
        <w:t>A person who, without reasonable excuse, fails to comply with a requirement under subsection (1) commits an offence.</w:t>
      </w:r>
    </w:p>
    <w:p>
      <w:pPr>
        <w:pStyle w:val="Penstart"/>
      </w:pPr>
      <w:r>
        <w:tab/>
        <w:t>Penalty for this subsection: a fine of $5 000.</w:t>
      </w:r>
    </w:p>
    <w:p>
      <w:pPr>
        <w:pStyle w:val="Subsection"/>
      </w:pPr>
      <w:r>
        <w:tab/>
        <w:t>(3)</w:t>
      </w:r>
      <w:r>
        <w:tab/>
        <w:t>An inspector may take an extract from, or make a copy of, a document produced under subsection (1).</w:t>
      </w:r>
    </w:p>
    <w:p>
      <w:pPr>
        <w:pStyle w:val="Footnotesection"/>
      </w:pPr>
      <w:r>
        <w:tab/>
        <w:t>[Section 18 inserted: No. 24 of 2023 s. 42.]</w:t>
      </w:r>
    </w:p>
    <w:p>
      <w:pPr>
        <w:pStyle w:val="Heading3"/>
      </w:pPr>
      <w:bookmarkStart w:id="67" w:name="_Toc149055677"/>
      <w:bookmarkStart w:id="68" w:name="_Toc153544715"/>
      <w:bookmarkStart w:id="69" w:name="_Toc153796318"/>
      <w:bookmarkStart w:id="70" w:name="_Toc153887466"/>
      <w:r>
        <w:rPr>
          <w:rStyle w:val="CharDivNo"/>
        </w:rPr>
        <w:lastRenderedPageBreak/>
        <w:t>Division 3</w:t>
      </w:r>
      <w:r>
        <w:t> — </w:t>
      </w:r>
      <w:r>
        <w:rPr>
          <w:rStyle w:val="CharDivText"/>
        </w:rPr>
        <w:t>Directions and improvement notices</w:t>
      </w:r>
      <w:bookmarkEnd w:id="67"/>
      <w:bookmarkEnd w:id="68"/>
      <w:bookmarkEnd w:id="69"/>
      <w:bookmarkEnd w:id="70"/>
    </w:p>
    <w:p>
      <w:pPr>
        <w:pStyle w:val="Footnoteheading"/>
        <w:keepNext/>
      </w:pPr>
      <w:r>
        <w:tab/>
        <w:t>[Heading inserted: No. 24 of 2023 s. 42.]</w:t>
      </w:r>
    </w:p>
    <w:p>
      <w:pPr>
        <w:pStyle w:val="Heading5"/>
      </w:pPr>
      <w:bookmarkStart w:id="71" w:name="_Toc149055678"/>
      <w:bookmarkStart w:id="72" w:name="_Toc153887467"/>
      <w:r>
        <w:rPr>
          <w:rStyle w:val="CharSectno"/>
        </w:rPr>
        <w:t>19</w:t>
      </w:r>
      <w:r>
        <w:t>.</w:t>
      </w:r>
      <w:r>
        <w:tab/>
        <w:t>Power to give directions</w:t>
      </w:r>
      <w:bookmarkEnd w:id="71"/>
      <w:bookmarkEnd w:id="72"/>
    </w:p>
    <w:p>
      <w:pPr>
        <w:pStyle w:val="Subsection"/>
      </w:pPr>
      <w:r>
        <w:tab/>
        <w:t>(1)</w:t>
      </w:r>
      <w:r>
        <w:tab/>
        <w:t xml:space="preserve">An inspector may give a person a direction requiring the person to take any action that is reasonable in the circumstances if the inspector believes on reasonable grounds that — </w:t>
      </w:r>
    </w:p>
    <w:p>
      <w:pPr>
        <w:pStyle w:val="Indenta"/>
      </w:pPr>
      <w:r>
        <w:tab/>
        <w:t>(a)</w:t>
      </w:r>
      <w:r>
        <w:tab/>
        <w:t>the person is contravening, or likely to contravene, a provision of this Act; or</w:t>
      </w:r>
    </w:p>
    <w:p>
      <w:pPr>
        <w:pStyle w:val="Indenta"/>
      </w:pPr>
      <w:r>
        <w:tab/>
        <w:t>(b)</w:t>
      </w:r>
      <w:r>
        <w:tab/>
        <w:t>it is desirable in the public interest for the inspector to give the person the direction.</w:t>
      </w:r>
    </w:p>
    <w:p>
      <w:pPr>
        <w:pStyle w:val="Subsection"/>
      </w:pPr>
      <w:r>
        <w:tab/>
        <w:t>(2)</w:t>
      </w:r>
      <w:r>
        <w:tab/>
        <w:t>An inspector may give a person a direction requiring the person to take any action that is reasonable in the circumstances if, in relation to the use of State waters or in relation to a vessel, an inspector believes on reasonable grounds that it is necessary to give the person the direction in order to protect the safety of people or to protect the environment.</w:t>
      </w:r>
    </w:p>
    <w:p>
      <w:pPr>
        <w:pStyle w:val="Subsection"/>
      </w:pPr>
      <w:r>
        <w:tab/>
        <w:t>(3)</w:t>
      </w:r>
      <w:r>
        <w:tab/>
        <w:t xml:space="preserve">Without limiting subsection (1) or (2), a direction may require the person given the direction to ensure that — </w:t>
      </w:r>
    </w:p>
    <w:p>
      <w:pPr>
        <w:pStyle w:val="Indenta"/>
      </w:pPr>
      <w:r>
        <w:tab/>
        <w:t>(a)</w:t>
      </w:r>
      <w:r>
        <w:tab/>
        <w:t>a specified vessel is not operated; or</w:t>
      </w:r>
    </w:p>
    <w:p>
      <w:pPr>
        <w:pStyle w:val="Indenta"/>
      </w:pPr>
      <w:r>
        <w:tab/>
        <w:t>(b)</w:t>
      </w:r>
      <w:r>
        <w:tab/>
        <w:t>a specified vessel is moved from, or taken to, a specified place; or</w:t>
      </w:r>
    </w:p>
    <w:p>
      <w:pPr>
        <w:pStyle w:val="Indenta"/>
      </w:pPr>
      <w:r>
        <w:tab/>
        <w:t>(c)</w:t>
      </w:r>
      <w:r>
        <w:tab/>
        <w:t>a specified activity is or is not engaged in; or</w:t>
      </w:r>
    </w:p>
    <w:p>
      <w:pPr>
        <w:pStyle w:val="Indenta"/>
      </w:pPr>
      <w:r>
        <w:tab/>
        <w:t>(d)</w:t>
      </w:r>
      <w:r>
        <w:tab/>
        <w:t>a specified activity is or is not engaged in, in a specified manner or at a specified place.</w:t>
      </w:r>
    </w:p>
    <w:p>
      <w:pPr>
        <w:pStyle w:val="Subsection"/>
      </w:pPr>
      <w:r>
        <w:tab/>
        <w:t>(4)</w:t>
      </w:r>
      <w:r>
        <w:tab/>
        <w:t>A person given a direction under subsection (1) or (2) must comply with it.</w:t>
      </w:r>
    </w:p>
    <w:p>
      <w:pPr>
        <w:pStyle w:val="Penstart"/>
      </w:pPr>
      <w:r>
        <w:tab/>
        <w:t>Penalty for this subsection: a fine of $5 000.</w:t>
      </w:r>
    </w:p>
    <w:p>
      <w:pPr>
        <w:pStyle w:val="Footnotesection"/>
      </w:pPr>
      <w:r>
        <w:tab/>
        <w:t>[Section 19 inserted: No. 24 of 2023 s. 42.]</w:t>
      </w:r>
    </w:p>
    <w:p>
      <w:pPr>
        <w:pStyle w:val="Heading5"/>
      </w:pPr>
      <w:bookmarkStart w:id="73" w:name="_Toc149055679"/>
      <w:bookmarkStart w:id="74" w:name="_Toc153887468"/>
      <w:r>
        <w:rPr>
          <w:rStyle w:val="CharSectno"/>
        </w:rPr>
        <w:lastRenderedPageBreak/>
        <w:t>20</w:t>
      </w:r>
      <w:r>
        <w:t>.</w:t>
      </w:r>
      <w:r>
        <w:tab/>
        <w:t>Directions under s. 19: procedural details</w:t>
      </w:r>
      <w:bookmarkEnd w:id="73"/>
      <w:bookmarkEnd w:id="74"/>
    </w:p>
    <w:p>
      <w:pPr>
        <w:pStyle w:val="Subsection"/>
      </w:pPr>
      <w:r>
        <w:tab/>
        <w:t>(1)</w:t>
      </w:r>
      <w:r>
        <w:tab/>
        <w:t xml:space="preserve">A direction under section 19 must — </w:t>
      </w:r>
    </w:p>
    <w:p>
      <w:pPr>
        <w:pStyle w:val="Indenta"/>
      </w:pPr>
      <w:r>
        <w:tab/>
        <w:t>(a)</w:t>
      </w:r>
      <w:r>
        <w:tab/>
        <w:t>be given in writing, unless the inspector believes on reasonable grounds that there is an urgent need to protect the safety of people or to protect the environment; and</w:t>
      </w:r>
    </w:p>
    <w:p>
      <w:pPr>
        <w:pStyle w:val="Indenta"/>
      </w:pPr>
      <w:r>
        <w:tab/>
        <w:t>(b)</w:t>
      </w:r>
      <w:r>
        <w:tab/>
        <w:t>specify the period within which the action must be taken; and</w:t>
      </w:r>
    </w:p>
    <w:p>
      <w:pPr>
        <w:pStyle w:val="Indenta"/>
      </w:pPr>
      <w:r>
        <w:tab/>
        <w:t>(c)</w:t>
      </w:r>
      <w:r>
        <w:tab/>
        <w:t>include the inspector’s reasons for giving the direction.</w:t>
      </w:r>
    </w:p>
    <w:p>
      <w:pPr>
        <w:pStyle w:val="Subsection"/>
      </w:pPr>
      <w:r>
        <w:tab/>
        <w:t>(2)</w:t>
      </w:r>
      <w:r>
        <w:tab/>
        <w:t>The direction may include specified steps that the person given the direction must take to satisfy the inspector that the action required to be taken to comply with the direction has been taken.</w:t>
      </w:r>
    </w:p>
    <w:p>
      <w:pPr>
        <w:pStyle w:val="Subsection"/>
      </w:pPr>
      <w:r>
        <w:tab/>
        <w:t>(3)</w:t>
      </w:r>
      <w:r>
        <w:tab/>
        <w:t>Before the end of the period specified in a direction, an inspector may extend the period in writing and, in that case, the references in sections 19 and 21 to the period specified are references to that period as extended under this subsection.</w:t>
      </w:r>
    </w:p>
    <w:p>
      <w:pPr>
        <w:pStyle w:val="Footnotesection"/>
      </w:pPr>
      <w:r>
        <w:tab/>
        <w:t>[Section 20 inserted: No. 24 of 2023 s. 42.]</w:t>
      </w:r>
    </w:p>
    <w:p>
      <w:pPr>
        <w:pStyle w:val="Heading5"/>
      </w:pPr>
      <w:bookmarkStart w:id="75" w:name="_Toc149055680"/>
      <w:bookmarkStart w:id="76" w:name="_Toc153887469"/>
      <w:r>
        <w:rPr>
          <w:rStyle w:val="CharSectno"/>
        </w:rPr>
        <w:t>21</w:t>
      </w:r>
      <w:r>
        <w:t>.</w:t>
      </w:r>
      <w:r>
        <w:tab/>
        <w:t>Directions under s. 19: inspector may remedy failure to comply</w:t>
      </w:r>
      <w:bookmarkEnd w:id="75"/>
      <w:bookmarkEnd w:id="76"/>
    </w:p>
    <w:p>
      <w:pPr>
        <w:pStyle w:val="Subsection"/>
      </w:pPr>
      <w:r>
        <w:tab/>
        <w:t>(1)</w:t>
      </w:r>
      <w:r>
        <w:tab/>
        <w:t>If a person given a direction under section 19 does not take the action specified in the direction within the period specified, an inspector may take the action or arrange for it to be taken.</w:t>
      </w:r>
    </w:p>
    <w:p>
      <w:pPr>
        <w:pStyle w:val="Subsection"/>
      </w:pPr>
      <w:r>
        <w:tab/>
        <w:t>(2)</w:t>
      </w:r>
      <w:r>
        <w:tab/>
        <w:t>The inspector may do all things necessary for the purposes of subsection (1).</w:t>
      </w:r>
    </w:p>
    <w:p>
      <w:pPr>
        <w:pStyle w:val="Subsection"/>
      </w:pPr>
      <w:r>
        <w:tab/>
        <w:t>(3)</w:t>
      </w:r>
      <w:r>
        <w:tab/>
        <w:t>The chief executive officer may recover the reasonable costs and expenses incurred under subsection (1) from the person given the direction and may seek an order for the recovery of those costs and expenses in a court of competent jurisdiction.</w:t>
      </w:r>
    </w:p>
    <w:p>
      <w:pPr>
        <w:pStyle w:val="Footnotesection"/>
      </w:pPr>
      <w:r>
        <w:tab/>
        <w:t>[Section 21 inserted: No. 24 of 2023 s. 42.]</w:t>
      </w:r>
    </w:p>
    <w:p>
      <w:pPr>
        <w:pStyle w:val="Heading5"/>
      </w:pPr>
      <w:bookmarkStart w:id="77" w:name="_Toc149055681"/>
      <w:bookmarkStart w:id="78" w:name="_Toc153887470"/>
      <w:r>
        <w:rPr>
          <w:rStyle w:val="CharSectno"/>
        </w:rPr>
        <w:lastRenderedPageBreak/>
        <w:t>22</w:t>
      </w:r>
      <w:r>
        <w:t>.</w:t>
      </w:r>
      <w:r>
        <w:tab/>
        <w:t>Improvement notices</w:t>
      </w:r>
      <w:bookmarkEnd w:id="77"/>
      <w:bookmarkEnd w:id="78"/>
    </w:p>
    <w:p>
      <w:pPr>
        <w:pStyle w:val="Subsection"/>
      </w:pPr>
      <w:r>
        <w:tab/>
        <w:t>(1)</w:t>
      </w:r>
      <w:r>
        <w:tab/>
        <w:t xml:space="preserve">An inspector may give a notice under this section (an </w:t>
      </w:r>
      <w:r>
        <w:rPr>
          <w:rStyle w:val="CharDefText"/>
        </w:rPr>
        <w:t>improvement notice</w:t>
      </w:r>
      <w:r>
        <w:t xml:space="preserve">) to a person if the inspector believes on reasonable grounds that the person — </w:t>
      </w:r>
    </w:p>
    <w:p>
      <w:pPr>
        <w:pStyle w:val="Indenta"/>
      </w:pPr>
      <w:r>
        <w:tab/>
        <w:t>(a)</w:t>
      </w:r>
      <w:r>
        <w:tab/>
        <w:t>is contravening a provision of this Act; or</w:t>
      </w:r>
    </w:p>
    <w:p>
      <w:pPr>
        <w:pStyle w:val="Indenta"/>
      </w:pPr>
      <w:r>
        <w:tab/>
        <w:t>(b)</w:t>
      </w:r>
      <w:r>
        <w:tab/>
        <w:t>has contravened a provision of this Act and is likely to contravene that provision again.</w:t>
      </w:r>
    </w:p>
    <w:p>
      <w:pPr>
        <w:pStyle w:val="Subsection"/>
      </w:pPr>
      <w:r>
        <w:tab/>
        <w:t>(2)</w:t>
      </w:r>
      <w:r>
        <w:tab/>
        <w:t xml:space="preserve">The inspector must specify in the notice — </w:t>
      </w:r>
    </w:p>
    <w:p>
      <w:pPr>
        <w:pStyle w:val="Indenta"/>
      </w:pPr>
      <w:r>
        <w:tab/>
        <w:t>(a)</w:t>
      </w:r>
      <w:r>
        <w:tab/>
        <w:t>the provision that the inspector believes is being or is likely to be contravened; and</w:t>
      </w:r>
    </w:p>
    <w:p>
      <w:pPr>
        <w:pStyle w:val="Indenta"/>
      </w:pPr>
      <w:r>
        <w:tab/>
        <w:t>(b)</w:t>
      </w:r>
      <w:r>
        <w:tab/>
        <w:t>the reasons for that belief; and</w:t>
      </w:r>
    </w:p>
    <w:p>
      <w:pPr>
        <w:pStyle w:val="Indenta"/>
      </w:pPr>
      <w:r>
        <w:tab/>
        <w:t>(c)</w:t>
      </w:r>
      <w:r>
        <w:tab/>
        <w:t>that the person given the notice must take action to remedy or prevent the contravention; and</w:t>
      </w:r>
    </w:p>
    <w:p>
      <w:pPr>
        <w:pStyle w:val="Indenta"/>
      </w:pPr>
      <w:r>
        <w:tab/>
        <w:t>(d)</w:t>
      </w:r>
      <w:r>
        <w:tab/>
        <w:t>the period within which the person must comply with the notice.</w:t>
      </w:r>
    </w:p>
    <w:p>
      <w:pPr>
        <w:pStyle w:val="Subsection"/>
      </w:pPr>
      <w:r>
        <w:tab/>
        <w:t>(3)</w:t>
      </w:r>
      <w:r>
        <w:tab/>
        <w:t>The inspector may specify in the notice any action the person must or must not take during the period specified in the notice.</w:t>
      </w:r>
    </w:p>
    <w:p>
      <w:pPr>
        <w:pStyle w:val="Subsection"/>
      </w:pPr>
      <w:r>
        <w:tab/>
        <w:t>(4)</w:t>
      </w:r>
      <w:r>
        <w:tab/>
        <w:t>Before the end of the period specified in the notice, an inspector may extend the period in writing.</w:t>
      </w:r>
    </w:p>
    <w:p>
      <w:pPr>
        <w:pStyle w:val="Subsection"/>
      </w:pPr>
      <w:r>
        <w:tab/>
        <w:t>(5)</w:t>
      </w:r>
      <w:r>
        <w:tab/>
        <w:t>A person given an improvement notice must ensure that the notice is complied with to the extent that it relates to any matter over which the person has control.</w:t>
      </w:r>
    </w:p>
    <w:p>
      <w:pPr>
        <w:pStyle w:val="Penstart"/>
      </w:pPr>
      <w:r>
        <w:tab/>
        <w:t>Penalty for this subsection: a fine of $5 000.</w:t>
      </w:r>
    </w:p>
    <w:p>
      <w:pPr>
        <w:pStyle w:val="Footnotesection"/>
      </w:pPr>
      <w:r>
        <w:tab/>
        <w:t>[Section 22 inserted: No. 24 of 2023 s. 42.]</w:t>
      </w:r>
    </w:p>
    <w:p>
      <w:pPr>
        <w:pStyle w:val="Heading5"/>
      </w:pPr>
      <w:bookmarkStart w:id="79" w:name="_Toc149055682"/>
      <w:bookmarkStart w:id="80" w:name="_Toc153887471"/>
      <w:r>
        <w:rPr>
          <w:rStyle w:val="CharSectno"/>
        </w:rPr>
        <w:t>23</w:t>
      </w:r>
      <w:r>
        <w:t>.</w:t>
      </w:r>
      <w:r>
        <w:tab/>
        <w:t>Improvement notices given in relation to vessels</w:t>
      </w:r>
      <w:bookmarkEnd w:id="79"/>
      <w:bookmarkEnd w:id="80"/>
    </w:p>
    <w:p>
      <w:pPr>
        <w:pStyle w:val="Subsection"/>
      </w:pPr>
      <w:r>
        <w:tab/>
        <w:t>(1)</w:t>
      </w:r>
      <w:r>
        <w:tab/>
        <w:t xml:space="preserve">A person given an improvement notice under section 22(1) in relation to a vessel must ensure that a copy of the notice is displayed — </w:t>
      </w:r>
    </w:p>
    <w:p>
      <w:pPr>
        <w:pStyle w:val="Indenta"/>
      </w:pPr>
      <w:r>
        <w:tab/>
        <w:t>(a)</w:t>
      </w:r>
      <w:r>
        <w:tab/>
        <w:t>as directed by the inspector who issued the notice; or</w:t>
      </w:r>
    </w:p>
    <w:p>
      <w:pPr>
        <w:pStyle w:val="Indenta"/>
      </w:pPr>
      <w:r>
        <w:lastRenderedPageBreak/>
        <w:tab/>
        <w:t>(b)</w:t>
      </w:r>
      <w:r>
        <w:tab/>
        <w:t>if there is no such direction — in a prominent place on or near the vessel.</w:t>
      </w:r>
    </w:p>
    <w:p>
      <w:pPr>
        <w:pStyle w:val="Penstart"/>
      </w:pPr>
      <w:r>
        <w:tab/>
        <w:t>Penalty for this subsection: a fine of $2 000.</w:t>
      </w:r>
    </w:p>
    <w:p>
      <w:pPr>
        <w:pStyle w:val="Subsection"/>
      </w:pPr>
      <w:r>
        <w:tab/>
        <w:t>(2)</w:t>
      </w:r>
      <w:r>
        <w:tab/>
        <w:t xml:space="preserve">The inspector who gave the notice referred to in subsection (1) must give a copy of the notice to each of the following persons, unless the person has been given the notice under section 22(1) — </w:t>
      </w:r>
    </w:p>
    <w:p>
      <w:pPr>
        <w:pStyle w:val="Indenta"/>
      </w:pPr>
      <w:r>
        <w:tab/>
        <w:t>(a)</w:t>
      </w:r>
      <w:r>
        <w:tab/>
        <w:t>the owner of the vessel; and</w:t>
      </w:r>
    </w:p>
    <w:p>
      <w:pPr>
        <w:pStyle w:val="Indenta"/>
      </w:pPr>
      <w:r>
        <w:tab/>
        <w:t>(b)</w:t>
      </w:r>
      <w:r>
        <w:tab/>
        <w:t>the master of the vessel.</w:t>
      </w:r>
    </w:p>
    <w:p>
      <w:pPr>
        <w:pStyle w:val="Subsection"/>
      </w:pPr>
      <w:r>
        <w:tab/>
        <w:t>(3)</w:t>
      </w:r>
      <w:r>
        <w:tab/>
        <w:t>A failure to comply with subsection (2) does not affect the validity of the notice.</w:t>
      </w:r>
    </w:p>
    <w:p>
      <w:pPr>
        <w:pStyle w:val="Subsection"/>
      </w:pPr>
      <w:r>
        <w:tab/>
        <w:t>(4)</w:t>
      </w:r>
      <w:r>
        <w:tab/>
        <w:t xml:space="preserve">A person must not, without reasonable excuse — </w:t>
      </w:r>
    </w:p>
    <w:p>
      <w:pPr>
        <w:pStyle w:val="Indenta"/>
      </w:pPr>
      <w:r>
        <w:tab/>
        <w:t>(a)</w:t>
      </w:r>
      <w:r>
        <w:tab/>
        <w:t>tamper with a notice displayed under subsection (1); or</w:t>
      </w:r>
    </w:p>
    <w:p>
      <w:pPr>
        <w:pStyle w:val="Indenta"/>
      </w:pPr>
      <w:r>
        <w:tab/>
        <w:t>(b)</w:t>
      </w:r>
      <w:r>
        <w:tab/>
        <w:t>remove a notice displayed under subsection (1) before the notice has ceased to have effect.</w:t>
      </w:r>
    </w:p>
    <w:p>
      <w:pPr>
        <w:pStyle w:val="Penstart"/>
      </w:pPr>
      <w:r>
        <w:tab/>
        <w:t>Penalty for this subsection: a fine of $2 000.</w:t>
      </w:r>
    </w:p>
    <w:p>
      <w:pPr>
        <w:pStyle w:val="Footnotesection"/>
      </w:pPr>
      <w:r>
        <w:tab/>
        <w:t>[Section 23 inserted: No. 24 of 2023 s. 42.]</w:t>
      </w:r>
    </w:p>
    <w:p>
      <w:pPr>
        <w:pStyle w:val="Heading3"/>
      </w:pPr>
      <w:bookmarkStart w:id="81" w:name="_Toc149055683"/>
      <w:bookmarkStart w:id="82" w:name="_Toc153544721"/>
      <w:bookmarkStart w:id="83" w:name="_Toc153796324"/>
      <w:bookmarkStart w:id="84" w:name="_Toc153887472"/>
      <w:r>
        <w:rPr>
          <w:rStyle w:val="CharDivNo"/>
        </w:rPr>
        <w:t>Division 4</w:t>
      </w:r>
      <w:r>
        <w:t> — </w:t>
      </w:r>
      <w:r>
        <w:rPr>
          <w:rStyle w:val="CharDivText"/>
        </w:rPr>
        <w:t>General provisions relating to powers under Part</w:t>
      </w:r>
      <w:bookmarkEnd w:id="81"/>
      <w:bookmarkEnd w:id="82"/>
      <w:bookmarkEnd w:id="83"/>
      <w:bookmarkEnd w:id="84"/>
    </w:p>
    <w:p>
      <w:pPr>
        <w:pStyle w:val="Footnoteheading"/>
      </w:pPr>
      <w:r>
        <w:tab/>
        <w:t>[Heading inserted: No. 24 of 2023 s. 42.]</w:t>
      </w:r>
    </w:p>
    <w:p>
      <w:pPr>
        <w:pStyle w:val="Heading4"/>
      </w:pPr>
      <w:bookmarkStart w:id="85" w:name="_Toc149055684"/>
      <w:bookmarkStart w:id="86" w:name="_Toc153544722"/>
      <w:bookmarkStart w:id="87" w:name="_Toc153796325"/>
      <w:bookmarkStart w:id="88" w:name="_Toc153887473"/>
      <w:r>
        <w:t>Subdivision 1 — General matters concerning entry and exercise of powers</w:t>
      </w:r>
      <w:bookmarkEnd w:id="85"/>
      <w:bookmarkEnd w:id="86"/>
      <w:bookmarkEnd w:id="87"/>
      <w:bookmarkEnd w:id="88"/>
    </w:p>
    <w:p>
      <w:pPr>
        <w:pStyle w:val="Footnoteheading"/>
      </w:pPr>
      <w:r>
        <w:tab/>
        <w:t>[Heading inserted: No. 24 of 2023 s. 42.]</w:t>
      </w:r>
    </w:p>
    <w:p>
      <w:pPr>
        <w:pStyle w:val="Heading5"/>
      </w:pPr>
      <w:bookmarkStart w:id="89" w:name="_Toc149055685"/>
      <w:bookmarkStart w:id="90" w:name="_Toc153887474"/>
      <w:r>
        <w:rPr>
          <w:rStyle w:val="CharSectno"/>
        </w:rPr>
        <w:t>24</w:t>
      </w:r>
      <w:r>
        <w:t>.</w:t>
      </w:r>
      <w:r>
        <w:tab/>
        <w:t>Consent to entry</w:t>
      </w:r>
      <w:bookmarkEnd w:id="89"/>
      <w:bookmarkEnd w:id="90"/>
    </w:p>
    <w:p>
      <w:pPr>
        <w:pStyle w:val="Subsection"/>
      </w:pPr>
      <w:r>
        <w:tab/>
        <w:t>(1)</w:t>
      </w:r>
      <w:r>
        <w:tab/>
        <w:t xml:space="preserve">For the purposes of section 12(3)(a), a person gives consent to entry to premises by an inspector if the person consents after being informed by the inspector — </w:t>
      </w:r>
    </w:p>
    <w:p>
      <w:pPr>
        <w:pStyle w:val="Indenta"/>
      </w:pPr>
      <w:r>
        <w:tab/>
        <w:t>(a)</w:t>
      </w:r>
      <w:r>
        <w:tab/>
        <w:t>of the power of entry that the inspector wants to exercise in respect of the premises; and</w:t>
      </w:r>
    </w:p>
    <w:p>
      <w:pPr>
        <w:pStyle w:val="Indenta"/>
      </w:pPr>
      <w:r>
        <w:lastRenderedPageBreak/>
        <w:tab/>
        <w:t>(b)</w:t>
      </w:r>
      <w:r>
        <w:tab/>
        <w:t>of the reason why the inspector wants to exercise the power; and</w:t>
      </w:r>
    </w:p>
    <w:p>
      <w:pPr>
        <w:pStyle w:val="Indenta"/>
      </w:pPr>
      <w:r>
        <w:tab/>
        <w:t>(c)</w:t>
      </w:r>
      <w:r>
        <w:tab/>
        <w:t>that the person can refuse to consent to the inspector entering the premises.</w:t>
      </w:r>
    </w:p>
    <w:p>
      <w:pPr>
        <w:pStyle w:val="Subsection"/>
      </w:pPr>
      <w:r>
        <w:tab/>
        <w:t>(2)</w:t>
      </w:r>
      <w:r>
        <w:tab/>
        <w:t>A consent has no effect unless the consent is voluntary.</w:t>
      </w:r>
    </w:p>
    <w:p>
      <w:pPr>
        <w:pStyle w:val="Subsection"/>
      </w:pPr>
      <w:r>
        <w:tab/>
        <w:t>(3)</w:t>
      </w:r>
      <w:r>
        <w:tab/>
        <w:t>A consent may be expressed to be limited to entry during a particular period and, if so, the consent has effect for that period unless the consent is withdrawn, or the purposes of the entry are fulfilled, before the end of that period.</w:t>
      </w:r>
    </w:p>
    <w:p>
      <w:pPr>
        <w:pStyle w:val="Subsection"/>
      </w:pPr>
      <w:r>
        <w:tab/>
        <w:t>(4)</w:t>
      </w:r>
      <w:r>
        <w:tab/>
        <w:t>A consent that is not limited to a period has effect until the consent is withdrawn or the purposes of the entry are fulfilled.</w:t>
      </w:r>
    </w:p>
    <w:p>
      <w:pPr>
        <w:pStyle w:val="Subsection"/>
      </w:pPr>
      <w:r>
        <w:tab/>
        <w:t>(5)</w:t>
      </w:r>
      <w:r>
        <w:tab/>
        <w:t>If an inspector enters premises under section 12 with the consent of the occupier of the premises, the inspector, and any person assisting the inspector, must leave the premises as soon as practicable after the consent ceases to have effect.</w:t>
      </w:r>
    </w:p>
    <w:p>
      <w:pPr>
        <w:pStyle w:val="Footnotesection"/>
      </w:pPr>
      <w:r>
        <w:tab/>
        <w:t>[Section 24 inserted: No. 24 of 2023 s. 42.]</w:t>
      </w:r>
    </w:p>
    <w:p>
      <w:pPr>
        <w:pStyle w:val="Heading5"/>
      </w:pPr>
      <w:bookmarkStart w:id="91" w:name="_Toc149055686"/>
      <w:bookmarkStart w:id="92" w:name="_Toc153887475"/>
      <w:r>
        <w:rPr>
          <w:rStyle w:val="CharSectno"/>
        </w:rPr>
        <w:t>25</w:t>
      </w:r>
      <w:r>
        <w:t>.</w:t>
      </w:r>
      <w:r>
        <w:tab/>
        <w:t>Premises with 2 or more occupiers</w:t>
      </w:r>
      <w:bookmarkEnd w:id="91"/>
      <w:bookmarkEnd w:id="92"/>
    </w:p>
    <w:p>
      <w:pPr>
        <w:pStyle w:val="Subsection"/>
      </w:pPr>
      <w:r>
        <w:tab/>
      </w:r>
      <w:r>
        <w:tab/>
        <w:t>If under this Part any information must be given to, or consent may be obtained from, or any thing must be done in respect of, the occupier of premises, then in a case where there are 2 or more occupiers of the premises, it is sufficient to give the information to, or obtain consent from, or do the thing in respect of, any 1 of the occupiers.</w:t>
      </w:r>
    </w:p>
    <w:p>
      <w:pPr>
        <w:pStyle w:val="Footnotesection"/>
      </w:pPr>
      <w:r>
        <w:tab/>
        <w:t>[Section 25 inserted: No. 24 of 2023 s. 42.]</w:t>
      </w:r>
    </w:p>
    <w:p>
      <w:pPr>
        <w:pStyle w:val="Heading4"/>
      </w:pPr>
      <w:bookmarkStart w:id="93" w:name="_Toc149055687"/>
      <w:bookmarkStart w:id="94" w:name="_Toc153544725"/>
      <w:bookmarkStart w:id="95" w:name="_Toc153796328"/>
      <w:bookmarkStart w:id="96" w:name="_Toc153887476"/>
      <w:r>
        <w:t>Subdivision 2 — Warrants</w:t>
      </w:r>
      <w:bookmarkEnd w:id="93"/>
      <w:bookmarkEnd w:id="94"/>
      <w:bookmarkEnd w:id="95"/>
      <w:bookmarkEnd w:id="96"/>
    </w:p>
    <w:p>
      <w:pPr>
        <w:pStyle w:val="Footnoteheading"/>
      </w:pPr>
      <w:r>
        <w:tab/>
        <w:t>[Heading inserted: No. 24 of 2023 s. 42.]</w:t>
      </w:r>
    </w:p>
    <w:p>
      <w:pPr>
        <w:pStyle w:val="Heading5"/>
      </w:pPr>
      <w:bookmarkStart w:id="97" w:name="_Toc149055688"/>
      <w:bookmarkStart w:id="98" w:name="_Toc153887477"/>
      <w:r>
        <w:rPr>
          <w:rStyle w:val="CharSectno"/>
        </w:rPr>
        <w:t>26</w:t>
      </w:r>
      <w:r>
        <w:t>.</w:t>
      </w:r>
      <w:r>
        <w:tab/>
        <w:t>Warrants</w:t>
      </w:r>
      <w:bookmarkEnd w:id="97"/>
      <w:bookmarkEnd w:id="98"/>
    </w:p>
    <w:p>
      <w:pPr>
        <w:pStyle w:val="Subsection"/>
      </w:pPr>
      <w:r>
        <w:tab/>
        <w:t>(1)</w:t>
      </w:r>
      <w:r>
        <w:tab/>
        <w:t>An inspector may apply in person to a judicial officer for a warrant in relation to premises.</w:t>
      </w:r>
    </w:p>
    <w:p>
      <w:pPr>
        <w:pStyle w:val="Subsection"/>
      </w:pPr>
      <w:r>
        <w:lastRenderedPageBreak/>
        <w:tab/>
        <w:t>(2)</w:t>
      </w:r>
      <w:r>
        <w:tab/>
        <w:t>The judicial officer may issue the warrant if satisfied, by information on oath, that there are reasonable grounds for suspecting that there is, or there may be within the next 72 hours, evidential material on the premises.</w:t>
      </w:r>
    </w:p>
    <w:p>
      <w:pPr>
        <w:pStyle w:val="Subsection"/>
      </w:pPr>
      <w:r>
        <w:tab/>
        <w:t>(3)</w:t>
      </w:r>
      <w:r>
        <w:tab/>
        <w:t>However, the judicial officer must not issue the warrant unless the inspector or some other person has given to the judicial officer, either orally or by affidavit, any further information that the judicial officer may require concerning the grounds on which the issue of the warrant is sought.</w:t>
      </w:r>
    </w:p>
    <w:p>
      <w:pPr>
        <w:pStyle w:val="Subsection"/>
      </w:pPr>
      <w:r>
        <w:tab/>
        <w:t>(4)</w:t>
      </w:r>
      <w:r>
        <w:tab/>
        <w:t xml:space="preserve">The warrant must — </w:t>
      </w:r>
    </w:p>
    <w:p>
      <w:pPr>
        <w:pStyle w:val="Indenta"/>
      </w:pPr>
      <w:r>
        <w:tab/>
        <w:t>(a)</w:t>
      </w:r>
      <w:r>
        <w:tab/>
        <w:t>describe the premises to which the warrant relates; and</w:t>
      </w:r>
    </w:p>
    <w:p>
      <w:pPr>
        <w:pStyle w:val="Indenta"/>
      </w:pPr>
      <w:r>
        <w:tab/>
        <w:t>(b)</w:t>
      </w:r>
      <w:r>
        <w:tab/>
        <w:t>state that the warrant is issued under this section; and</w:t>
      </w:r>
    </w:p>
    <w:p>
      <w:pPr>
        <w:pStyle w:val="Indenta"/>
      </w:pPr>
      <w:r>
        <w:tab/>
        <w:t>(c)</w:t>
      </w:r>
      <w:r>
        <w:tab/>
        <w:t>specify the offence or offences to which the warrant relates; and</w:t>
      </w:r>
    </w:p>
    <w:p>
      <w:pPr>
        <w:pStyle w:val="Indenta"/>
      </w:pPr>
      <w:r>
        <w:tab/>
        <w:t>(d)</w:t>
      </w:r>
      <w:r>
        <w:tab/>
        <w:t>state the kind of evidential material that may be searched for under the warrant; and</w:t>
      </w:r>
    </w:p>
    <w:p>
      <w:pPr>
        <w:pStyle w:val="Indenta"/>
      </w:pPr>
      <w:r>
        <w:tab/>
        <w:t>(e)</w:t>
      </w:r>
      <w:r>
        <w:tab/>
        <w:t>state the inspector’s official details; and</w:t>
      </w:r>
    </w:p>
    <w:p>
      <w:pPr>
        <w:pStyle w:val="Indenta"/>
      </w:pPr>
      <w:r>
        <w:tab/>
        <w:t>(f)</w:t>
      </w:r>
      <w:r>
        <w:tab/>
        <w:t>authorise the inspector to enter the premises for the purposes of this Part; and</w:t>
      </w:r>
    </w:p>
    <w:p>
      <w:pPr>
        <w:pStyle w:val="Indenta"/>
      </w:pPr>
      <w:r>
        <w:tab/>
        <w:t>(g)</w:t>
      </w:r>
      <w:r>
        <w:tab/>
        <w:t>state that the inspector may exercise powers under this Part in relation to the premises; and</w:t>
      </w:r>
    </w:p>
    <w:p>
      <w:pPr>
        <w:pStyle w:val="Indenta"/>
      </w:pPr>
      <w:r>
        <w:tab/>
        <w:t>(h)</w:t>
      </w:r>
      <w:r>
        <w:tab/>
        <w:t>state whether the entry is authorised to be made at any time of the day or during specified hours of the day; and</w:t>
      </w:r>
    </w:p>
    <w:p>
      <w:pPr>
        <w:pStyle w:val="Indenta"/>
      </w:pPr>
      <w:r>
        <w:tab/>
        <w:t>(i)</w:t>
      </w:r>
      <w:r>
        <w:tab/>
        <w:t>specify the day, not more than 1 week after the issue of the warrant, on which the warrant ceases to be in force.</w:t>
      </w:r>
    </w:p>
    <w:p>
      <w:pPr>
        <w:pStyle w:val="Subsection"/>
      </w:pPr>
      <w:r>
        <w:tab/>
        <w:t>(5)</w:t>
      </w:r>
      <w:r>
        <w:tab/>
        <w:t>A warrant must be in the prescribed form.</w:t>
      </w:r>
    </w:p>
    <w:p>
      <w:pPr>
        <w:pStyle w:val="Footnotesection"/>
      </w:pPr>
      <w:r>
        <w:tab/>
        <w:t>[Section 26 inserted: No. 24 of 2023 s. 42.]</w:t>
      </w:r>
    </w:p>
    <w:p>
      <w:pPr>
        <w:pStyle w:val="Heading5"/>
      </w:pPr>
      <w:bookmarkStart w:id="99" w:name="_Toc149055689"/>
      <w:bookmarkStart w:id="100" w:name="_Toc153887478"/>
      <w:r>
        <w:rPr>
          <w:rStyle w:val="CharSectno"/>
        </w:rPr>
        <w:lastRenderedPageBreak/>
        <w:t>27</w:t>
      </w:r>
      <w:r>
        <w:t>.</w:t>
      </w:r>
      <w:r>
        <w:tab/>
        <w:t>Warrants applied for remotely</w:t>
      </w:r>
      <w:bookmarkEnd w:id="99"/>
      <w:bookmarkEnd w:id="100"/>
    </w:p>
    <w:p>
      <w:pPr>
        <w:pStyle w:val="Subsection"/>
        <w:keepNext/>
      </w:pPr>
      <w:r>
        <w:tab/>
        <w:t>(1)</w:t>
      </w:r>
      <w:r>
        <w:tab/>
        <w:t xml:space="preserve">An inspector may apply, by remote communication, to a judicial officer for a warrant under section 26 — </w:t>
      </w:r>
    </w:p>
    <w:p>
      <w:pPr>
        <w:pStyle w:val="Indenta"/>
      </w:pPr>
      <w:r>
        <w:tab/>
        <w:t>(a)</w:t>
      </w:r>
      <w:r>
        <w:tab/>
        <w:t>in an urgent case; or</w:t>
      </w:r>
    </w:p>
    <w:p>
      <w:pPr>
        <w:pStyle w:val="Indenta"/>
      </w:pPr>
      <w:r>
        <w:tab/>
        <w:t>(b)</w:t>
      </w:r>
      <w:r>
        <w:tab/>
        <w:t>if the inspector believes on reasonable grounds that a judicial officer is not available within a reasonable distance of the inspector.</w:t>
      </w:r>
    </w:p>
    <w:p>
      <w:pPr>
        <w:pStyle w:val="Subsection"/>
      </w:pPr>
      <w:r>
        <w:tab/>
        <w:t>(2)</w:t>
      </w:r>
      <w:r>
        <w:tab/>
        <w:t>The judicial officer must not grant the warrant unless satisfied as to the matter in subsection (1)(a) or (b) (whichever is relevant).</w:t>
      </w:r>
    </w:p>
    <w:p>
      <w:pPr>
        <w:pStyle w:val="Subsection"/>
      </w:pPr>
      <w:r>
        <w:tab/>
        <w:t>(3)</w:t>
      </w:r>
      <w:r>
        <w:tab/>
        <w:t xml:space="preserve">The </w:t>
      </w:r>
      <w:r>
        <w:rPr>
          <w:i/>
        </w:rPr>
        <w:t>Criminal Investigation Act 2006</w:t>
      </w:r>
      <w:r>
        <w:t xml:space="preserve"> section 13(5) to (8) applies in relation to an application under this section.</w:t>
      </w:r>
    </w:p>
    <w:p>
      <w:pPr>
        <w:pStyle w:val="Footnotesection"/>
      </w:pPr>
      <w:r>
        <w:tab/>
        <w:t>[Section 27 inserted: No. 24 of 2023 s. 42.]</w:t>
      </w:r>
    </w:p>
    <w:p>
      <w:pPr>
        <w:pStyle w:val="Heading5"/>
      </w:pPr>
      <w:bookmarkStart w:id="101" w:name="_Toc149055690"/>
      <w:bookmarkStart w:id="102" w:name="_Toc153887479"/>
      <w:r>
        <w:rPr>
          <w:rStyle w:val="CharSectno"/>
        </w:rPr>
        <w:t>28</w:t>
      </w:r>
      <w:r>
        <w:t>.</w:t>
      </w:r>
      <w:r>
        <w:tab/>
        <w:t>Entry under warrant: rights of occupier</w:t>
      </w:r>
      <w:bookmarkEnd w:id="101"/>
      <w:bookmarkEnd w:id="102"/>
    </w:p>
    <w:p>
      <w:pPr>
        <w:pStyle w:val="Subsection"/>
      </w:pPr>
      <w:r>
        <w:tab/>
        <w:t>(1)</w:t>
      </w:r>
      <w:r>
        <w:tab/>
        <w:t xml:space="preserve">An inspector must, before entering premises under a warrant — </w:t>
      </w:r>
    </w:p>
    <w:p>
      <w:pPr>
        <w:pStyle w:val="Indenta"/>
      </w:pPr>
      <w:r>
        <w:tab/>
        <w:t>(a)</w:t>
      </w:r>
      <w:r>
        <w:tab/>
        <w:t>announce that they are authorised to enter the premises; and</w:t>
      </w:r>
    </w:p>
    <w:p>
      <w:pPr>
        <w:pStyle w:val="Indenta"/>
      </w:pPr>
      <w:r>
        <w:tab/>
        <w:t>(b)</w:t>
      </w:r>
      <w:r>
        <w:tab/>
        <w:t>give any person at the premises an opportunity to allow entry to the premises.</w:t>
      </w:r>
    </w:p>
    <w:p>
      <w:pPr>
        <w:pStyle w:val="Subsection"/>
      </w:pPr>
      <w:r>
        <w:tab/>
        <w:t>(2)</w:t>
      </w:r>
      <w:r>
        <w:tab/>
        <w:t xml:space="preserve">If the occupier is present when it is proposed to enter premises under a warrant, the inspector must, before the entry is made — </w:t>
      </w:r>
    </w:p>
    <w:p>
      <w:pPr>
        <w:pStyle w:val="Indenta"/>
      </w:pPr>
      <w:r>
        <w:tab/>
        <w:t>(a)</w:t>
      </w:r>
      <w:r>
        <w:tab/>
        <w:t>if they are not a police officer — identify themselves to the occupier by producing their identity card; and</w:t>
      </w:r>
    </w:p>
    <w:p>
      <w:pPr>
        <w:pStyle w:val="Indenta"/>
      </w:pPr>
      <w:r>
        <w:tab/>
        <w:t>(b)</w:t>
      </w:r>
      <w:r>
        <w:tab/>
        <w:t>if they are a police officer who is not in uniform — identify themselves to the occupier by producing evidence that they are a police officer; and</w:t>
      </w:r>
    </w:p>
    <w:p>
      <w:pPr>
        <w:pStyle w:val="Indenta"/>
      </w:pPr>
      <w:r>
        <w:tab/>
        <w:t>(c)</w:t>
      </w:r>
      <w:r>
        <w:tab/>
        <w:t>inform the occupier that it is proposed to enter the premises; and</w:t>
      </w:r>
    </w:p>
    <w:p>
      <w:pPr>
        <w:pStyle w:val="Indenta"/>
      </w:pPr>
      <w:r>
        <w:tab/>
        <w:t>(d)</w:t>
      </w:r>
      <w:r>
        <w:tab/>
        <w:t>make a copy of the warrant available to the occupier; and</w:t>
      </w:r>
    </w:p>
    <w:p>
      <w:pPr>
        <w:pStyle w:val="Indenta"/>
      </w:pPr>
      <w:r>
        <w:lastRenderedPageBreak/>
        <w:tab/>
        <w:t>(e)</w:t>
      </w:r>
      <w:r>
        <w:tab/>
        <w:t>inform the occupier of their rights and responsibilities under this Subdivision.</w:t>
      </w:r>
    </w:p>
    <w:p>
      <w:pPr>
        <w:pStyle w:val="Subsection"/>
      </w:pPr>
      <w:r>
        <w:tab/>
        <w:t>(3)</w:t>
      </w:r>
      <w:r>
        <w:tab/>
        <w:t xml:space="preserve">However, an inspector need not comply with subsections (1) and (2) if the inspector believes on reasonable grounds that immediate entry to the premises is required — </w:t>
      </w:r>
    </w:p>
    <w:p>
      <w:pPr>
        <w:pStyle w:val="Indenta"/>
      </w:pPr>
      <w:r>
        <w:tab/>
        <w:t>(a)</w:t>
      </w:r>
      <w:r>
        <w:tab/>
        <w:t>to ensure the safety of a person; or</w:t>
      </w:r>
    </w:p>
    <w:p>
      <w:pPr>
        <w:pStyle w:val="Indenta"/>
      </w:pPr>
      <w:r>
        <w:tab/>
        <w:t>(b)</w:t>
      </w:r>
      <w:r>
        <w:tab/>
        <w:t>to ensure that the effective execution of the warrant is not frustrated.</w:t>
      </w:r>
    </w:p>
    <w:p>
      <w:pPr>
        <w:pStyle w:val="Subsection"/>
      </w:pPr>
      <w:r>
        <w:tab/>
        <w:t>(4)</w:t>
      </w:r>
      <w:r>
        <w:tab/>
        <w:t>If subsections (1) and (2) are not fully complied with before premises are entered, then as soon as practicable after the premises are entered, they must be complied with to the extent relevant.</w:t>
      </w:r>
    </w:p>
    <w:p>
      <w:pPr>
        <w:pStyle w:val="Subsection"/>
      </w:pPr>
      <w:r>
        <w:tab/>
        <w:t>(5)</w:t>
      </w:r>
      <w:r>
        <w:tab/>
        <w:t xml:space="preserve">If premises entered are unoccupied, the inspector must leave the following in a prominent position at the premises before leaving — </w:t>
      </w:r>
    </w:p>
    <w:p>
      <w:pPr>
        <w:pStyle w:val="Indenta"/>
      </w:pPr>
      <w:r>
        <w:tab/>
        <w:t>(a)</w:t>
      </w:r>
      <w:r>
        <w:tab/>
        <w:t xml:space="preserve">a notice stating — </w:t>
      </w:r>
    </w:p>
    <w:p>
      <w:pPr>
        <w:pStyle w:val="Indenti"/>
      </w:pPr>
      <w:r>
        <w:tab/>
        <w:t>(i)</w:t>
      </w:r>
      <w:r>
        <w:tab/>
        <w:t>the inspector’s official details; and</w:t>
      </w:r>
    </w:p>
    <w:p>
      <w:pPr>
        <w:pStyle w:val="Indenti"/>
      </w:pPr>
      <w:r>
        <w:tab/>
        <w:t>(ii)</w:t>
      </w:r>
      <w:r>
        <w:tab/>
        <w:t>that the premises have been entered;</w:t>
      </w:r>
    </w:p>
    <w:p>
      <w:pPr>
        <w:pStyle w:val="Indenta"/>
      </w:pPr>
      <w:r>
        <w:tab/>
        <w:t>(b)</w:t>
      </w:r>
      <w:r>
        <w:tab/>
        <w:t>a copy of the warrant completed in accordance with section 32(2).</w:t>
      </w:r>
    </w:p>
    <w:p>
      <w:pPr>
        <w:pStyle w:val="Subsection"/>
      </w:pPr>
      <w:r>
        <w:tab/>
        <w:t>(6)</w:t>
      </w:r>
      <w:r>
        <w:tab/>
        <w:t>The copy of a warrant given or left under this section must omit the name of the judicial officer who issued it.</w:t>
      </w:r>
    </w:p>
    <w:p>
      <w:pPr>
        <w:pStyle w:val="Footnotesection"/>
      </w:pPr>
      <w:r>
        <w:tab/>
        <w:t>[Section 28 inserted: No. 24 of 2023 s. 42.]</w:t>
      </w:r>
    </w:p>
    <w:p>
      <w:pPr>
        <w:pStyle w:val="Heading5"/>
      </w:pPr>
      <w:bookmarkStart w:id="103" w:name="_Toc149055691"/>
      <w:bookmarkStart w:id="104" w:name="_Toc153887480"/>
      <w:r>
        <w:rPr>
          <w:rStyle w:val="CharSectno"/>
        </w:rPr>
        <w:t>29</w:t>
      </w:r>
      <w:r>
        <w:t>.</w:t>
      </w:r>
      <w:r>
        <w:tab/>
        <w:t>Inspector must be in possession of warrant</w:t>
      </w:r>
      <w:bookmarkEnd w:id="103"/>
      <w:bookmarkEnd w:id="104"/>
    </w:p>
    <w:p>
      <w:pPr>
        <w:pStyle w:val="Subsection"/>
      </w:pPr>
      <w:r>
        <w:tab/>
      </w:r>
      <w:r>
        <w:tab/>
        <w:t>While a warrant is being executed in relation to premises, the inspector executing the warrant must be in possession of the warrant or a copy of it.</w:t>
      </w:r>
    </w:p>
    <w:p>
      <w:pPr>
        <w:pStyle w:val="Footnotesection"/>
      </w:pPr>
      <w:r>
        <w:tab/>
        <w:t>[Section 29 inserted: No. 24 of 2023 s. 42.]</w:t>
      </w:r>
    </w:p>
    <w:p>
      <w:pPr>
        <w:pStyle w:val="Heading5"/>
      </w:pPr>
      <w:bookmarkStart w:id="105" w:name="_Toc149055692"/>
      <w:bookmarkStart w:id="106" w:name="_Toc153887481"/>
      <w:r>
        <w:rPr>
          <w:rStyle w:val="CharSectno"/>
        </w:rPr>
        <w:lastRenderedPageBreak/>
        <w:t>30</w:t>
      </w:r>
      <w:r>
        <w:t>.</w:t>
      </w:r>
      <w:r>
        <w:tab/>
        <w:t>Occupier entitled to observe execution of warrant</w:t>
      </w:r>
      <w:bookmarkEnd w:id="105"/>
      <w:bookmarkEnd w:id="106"/>
    </w:p>
    <w:p>
      <w:pPr>
        <w:pStyle w:val="Subsection"/>
      </w:pPr>
      <w:r>
        <w:tab/>
        <w:t>(1)</w:t>
      </w:r>
      <w:r>
        <w:tab/>
        <w:t>The occupier of premises in relation to which a warrant is being executed is, if the occupier is present at the time of its execution, entitled to observe the execution of the warrant.</w:t>
      </w:r>
    </w:p>
    <w:p>
      <w:pPr>
        <w:pStyle w:val="Subsection"/>
      </w:pPr>
      <w:r>
        <w:tab/>
        <w:t>(2)</w:t>
      </w:r>
      <w:r>
        <w:tab/>
        <w:t>The right to observe the execution of the warrant ceases if the occupier impedes that execution.</w:t>
      </w:r>
    </w:p>
    <w:p>
      <w:pPr>
        <w:pStyle w:val="Subsection"/>
      </w:pPr>
      <w:r>
        <w:tab/>
        <w:t>(3)</w:t>
      </w:r>
      <w:r>
        <w:tab/>
        <w:t>This section does not prevent the execution of the warrant in 2 or more areas of the premises at the same time.</w:t>
      </w:r>
    </w:p>
    <w:p>
      <w:pPr>
        <w:pStyle w:val="Footnotesection"/>
      </w:pPr>
      <w:r>
        <w:tab/>
        <w:t>[Section 30 inserted: No. 24 of 2023 s. 42.]</w:t>
      </w:r>
    </w:p>
    <w:p>
      <w:pPr>
        <w:pStyle w:val="Heading5"/>
      </w:pPr>
      <w:bookmarkStart w:id="107" w:name="_Toc149055693"/>
      <w:bookmarkStart w:id="108" w:name="_Toc153887482"/>
      <w:r>
        <w:rPr>
          <w:rStyle w:val="CharSectno"/>
        </w:rPr>
        <w:t>31</w:t>
      </w:r>
      <w:r>
        <w:t>.</w:t>
      </w:r>
      <w:r>
        <w:tab/>
        <w:t>Occupier to provide inspector with facilities and assistance</w:t>
      </w:r>
      <w:bookmarkEnd w:id="107"/>
      <w:bookmarkEnd w:id="108"/>
    </w:p>
    <w:p>
      <w:pPr>
        <w:pStyle w:val="Subsection"/>
      </w:pPr>
      <w:r>
        <w:tab/>
        <w:t>(1)</w:t>
      </w:r>
      <w:r>
        <w:tab/>
        <w:t>The occupier of premises to which a warrant relates must provide an inspector executing the warrant, and any person assisting the inspector, with all reasonable facilities and assistance for the effective exercise of their powers.</w:t>
      </w:r>
    </w:p>
    <w:p>
      <w:pPr>
        <w:pStyle w:val="Subsection"/>
      </w:pPr>
      <w:r>
        <w:tab/>
        <w:t>(2)</w:t>
      </w:r>
      <w:r>
        <w:tab/>
        <w:t>A person who fails to comply with subsection (1) commits an offence.</w:t>
      </w:r>
    </w:p>
    <w:p>
      <w:pPr>
        <w:pStyle w:val="Penstart"/>
      </w:pPr>
      <w:r>
        <w:tab/>
        <w:t>Penalty for this subsection: a fine of $5 000.</w:t>
      </w:r>
    </w:p>
    <w:p>
      <w:pPr>
        <w:pStyle w:val="Footnotesection"/>
      </w:pPr>
      <w:r>
        <w:tab/>
        <w:t>[Section 31 inserted: No. 24 of 2023 s. 42.]</w:t>
      </w:r>
    </w:p>
    <w:p>
      <w:pPr>
        <w:pStyle w:val="Heading5"/>
      </w:pPr>
      <w:bookmarkStart w:id="109" w:name="_Toc149055694"/>
      <w:bookmarkStart w:id="110" w:name="_Toc153887483"/>
      <w:r>
        <w:rPr>
          <w:rStyle w:val="CharSectno"/>
        </w:rPr>
        <w:t>32</w:t>
      </w:r>
      <w:r>
        <w:t>.</w:t>
      </w:r>
      <w:r>
        <w:tab/>
        <w:t>Execution of warrant</w:t>
      </w:r>
      <w:bookmarkEnd w:id="109"/>
      <w:bookmarkEnd w:id="110"/>
    </w:p>
    <w:p>
      <w:pPr>
        <w:pStyle w:val="Subsection"/>
      </w:pPr>
      <w:r>
        <w:tab/>
        <w:t>(1)</w:t>
      </w:r>
      <w:r>
        <w:tab/>
        <w:t>A warrant may be executed by the inspector to whom it was issued or by another inspector authorised for that purpose by the chief executive officer.</w:t>
      </w:r>
    </w:p>
    <w:p>
      <w:pPr>
        <w:pStyle w:val="Subsection"/>
      </w:pPr>
      <w:r>
        <w:tab/>
        <w:t>(2)</w:t>
      </w:r>
      <w:r>
        <w:tab/>
        <w:t xml:space="preserve">On completing the execution of a warrant, the inspector in charge of executing the warrant must record the following matters on it — </w:t>
      </w:r>
    </w:p>
    <w:p>
      <w:pPr>
        <w:pStyle w:val="Indenta"/>
      </w:pPr>
      <w:r>
        <w:tab/>
        <w:t>(a)</w:t>
      </w:r>
      <w:r>
        <w:tab/>
        <w:t>the inspector’s official details;</w:t>
      </w:r>
    </w:p>
    <w:p>
      <w:pPr>
        <w:pStyle w:val="Indenta"/>
      </w:pPr>
      <w:r>
        <w:tab/>
        <w:t>(b)</w:t>
      </w:r>
      <w:r>
        <w:tab/>
        <w:t>the date and time when the warrant was executed;</w:t>
      </w:r>
    </w:p>
    <w:p>
      <w:pPr>
        <w:pStyle w:val="Indenta"/>
      </w:pPr>
      <w:r>
        <w:tab/>
        <w:t>(c)</w:t>
      </w:r>
      <w:r>
        <w:tab/>
        <w:t>any other matter that is prescribed.</w:t>
      </w:r>
    </w:p>
    <w:p>
      <w:pPr>
        <w:pStyle w:val="Footnotesection"/>
      </w:pPr>
      <w:r>
        <w:tab/>
        <w:t>[Section 32 inserted: No. 24 of 2023 s. 42.]</w:t>
      </w:r>
    </w:p>
    <w:p>
      <w:pPr>
        <w:pStyle w:val="Heading5"/>
      </w:pPr>
      <w:bookmarkStart w:id="111" w:name="_Toc149055695"/>
      <w:bookmarkStart w:id="112" w:name="_Toc153887484"/>
      <w:r>
        <w:rPr>
          <w:rStyle w:val="CharSectno"/>
        </w:rPr>
        <w:lastRenderedPageBreak/>
        <w:t>33</w:t>
      </w:r>
      <w:r>
        <w:t>.</w:t>
      </w:r>
      <w:r>
        <w:tab/>
        <w:t>Completing execution of warrant after temporary cessation</w:t>
      </w:r>
      <w:bookmarkEnd w:id="111"/>
      <w:bookmarkEnd w:id="112"/>
    </w:p>
    <w:p>
      <w:pPr>
        <w:pStyle w:val="Subsection"/>
      </w:pPr>
      <w:r>
        <w:tab/>
        <w:t>(1)</w:t>
      </w:r>
      <w:r>
        <w:tab/>
        <w:t>This section applies if an inspector temporarily ceases executing a warrant and, with all persons assisting the inspector, leaves the premises.</w:t>
      </w:r>
    </w:p>
    <w:p>
      <w:pPr>
        <w:pStyle w:val="Subsection"/>
      </w:pPr>
      <w:r>
        <w:tab/>
        <w:t>(2)</w:t>
      </w:r>
      <w:r>
        <w:tab/>
        <w:t xml:space="preserve">The inspector may complete the execution of the warrant if — </w:t>
      </w:r>
    </w:p>
    <w:p>
      <w:pPr>
        <w:pStyle w:val="Indenta"/>
      </w:pPr>
      <w:r>
        <w:tab/>
        <w:t>(a)</w:t>
      </w:r>
      <w:r>
        <w:tab/>
        <w:t>the warrant is still in force; and</w:t>
      </w:r>
    </w:p>
    <w:p>
      <w:pPr>
        <w:pStyle w:val="Indenta"/>
      </w:pPr>
      <w:r>
        <w:tab/>
        <w:t>(b)</w:t>
      </w:r>
      <w:r>
        <w:tab/>
        <w:t xml:space="preserve">1 of the following applies — </w:t>
      </w:r>
    </w:p>
    <w:p>
      <w:pPr>
        <w:pStyle w:val="Indenti"/>
      </w:pPr>
      <w:r>
        <w:tab/>
        <w:t>(i)</w:t>
      </w:r>
      <w:r>
        <w:tab/>
        <w:t>the inspector and persons assisting are absent from the premises for not more than 1 hour;</w:t>
      </w:r>
    </w:p>
    <w:p>
      <w:pPr>
        <w:pStyle w:val="Indenti"/>
      </w:pPr>
      <w:r>
        <w:tab/>
        <w:t>(ii)</w:t>
      </w:r>
      <w:r>
        <w:tab/>
        <w:t>if there is an emergency — the inspector and persons assisting are absent from the premises for not more than 12 hours or any longer period allowed by a judicial officer under subsection (5);</w:t>
      </w:r>
    </w:p>
    <w:p>
      <w:pPr>
        <w:pStyle w:val="Indenti"/>
      </w:pPr>
      <w:r>
        <w:tab/>
        <w:t>(iii)</w:t>
      </w:r>
      <w:r>
        <w:tab/>
        <w:t>the occupier of the premises consents in writing.</w:t>
      </w:r>
    </w:p>
    <w:p>
      <w:pPr>
        <w:pStyle w:val="Subsection"/>
      </w:pPr>
      <w:r>
        <w:tab/>
        <w:t>(3)</w:t>
      </w:r>
      <w:r>
        <w:tab/>
        <w:t>An inspector may apply to a judicial officer for an extension of the 12</w:t>
      </w:r>
      <w:r>
        <w:noBreakHyphen/>
        <w:t xml:space="preserve">hour period mentioned in subsection (2)(b)(ii) if — </w:t>
      </w:r>
    </w:p>
    <w:p>
      <w:pPr>
        <w:pStyle w:val="Indenta"/>
      </w:pPr>
      <w:r>
        <w:tab/>
        <w:t>(a)</w:t>
      </w:r>
      <w:r>
        <w:tab/>
        <w:t>there is an emergency; and</w:t>
      </w:r>
    </w:p>
    <w:p>
      <w:pPr>
        <w:pStyle w:val="Indenta"/>
      </w:pPr>
      <w:r>
        <w:tab/>
        <w:t>(b)</w:t>
      </w:r>
      <w:r>
        <w:tab/>
        <w:t>the inspector believes on reasonable grounds that the inspector will not be able to return to the premises within the 12</w:t>
      </w:r>
      <w:r>
        <w:noBreakHyphen/>
        <w:t>hour period.</w:t>
      </w:r>
    </w:p>
    <w:p>
      <w:pPr>
        <w:pStyle w:val="Subsection"/>
      </w:pPr>
      <w:r>
        <w:tab/>
        <w:t>(4)</w:t>
      </w:r>
      <w:r>
        <w:tab/>
        <w:t>If it is practicable to do so, the inspector must, before making the application, give notice to the occupier of the premises of their intention to apply for an extension.</w:t>
      </w:r>
    </w:p>
    <w:p>
      <w:pPr>
        <w:pStyle w:val="Subsection"/>
      </w:pPr>
      <w:r>
        <w:tab/>
        <w:t>(5)</w:t>
      </w:r>
      <w:r>
        <w:tab/>
        <w:t xml:space="preserve">The judicial officer may extend the period during which the inspector and persons assisting may be absent from the premises if — </w:t>
      </w:r>
    </w:p>
    <w:p>
      <w:pPr>
        <w:pStyle w:val="Indenta"/>
      </w:pPr>
      <w:r>
        <w:tab/>
        <w:t>(a)</w:t>
      </w:r>
      <w:r>
        <w:tab/>
        <w:t>the judicial officer is satisfied, by information on oath, that there are exceptional circumstances that justify the extension; and</w:t>
      </w:r>
    </w:p>
    <w:p>
      <w:pPr>
        <w:pStyle w:val="Indenta"/>
      </w:pPr>
      <w:r>
        <w:lastRenderedPageBreak/>
        <w:tab/>
        <w:t>(b)</w:t>
      </w:r>
      <w:r>
        <w:tab/>
        <w:t>the extension would not result in the period ending after the warrant ceases to be in force.</w:t>
      </w:r>
    </w:p>
    <w:p>
      <w:pPr>
        <w:pStyle w:val="Footnotesection"/>
      </w:pPr>
      <w:r>
        <w:tab/>
        <w:t>[Section 33 inserted: No. 24 of 2023 s. 42.]</w:t>
      </w:r>
    </w:p>
    <w:p>
      <w:pPr>
        <w:pStyle w:val="Heading5"/>
      </w:pPr>
      <w:bookmarkStart w:id="113" w:name="_Toc149055696"/>
      <w:bookmarkStart w:id="114" w:name="_Toc153887485"/>
      <w:r>
        <w:rPr>
          <w:rStyle w:val="CharSectno"/>
        </w:rPr>
        <w:t>34</w:t>
      </w:r>
      <w:r>
        <w:t>.</w:t>
      </w:r>
      <w:r>
        <w:tab/>
        <w:t>Completing execution of warrant stopped by court order</w:t>
      </w:r>
      <w:bookmarkEnd w:id="113"/>
      <w:bookmarkEnd w:id="114"/>
    </w:p>
    <w:p>
      <w:pPr>
        <w:pStyle w:val="Subsection"/>
      </w:pPr>
      <w:r>
        <w:tab/>
      </w:r>
      <w:r>
        <w:tab/>
        <w:t xml:space="preserve">An inspector may complete the execution of a warrant that has been stopped by an order of a court if — </w:t>
      </w:r>
    </w:p>
    <w:p>
      <w:pPr>
        <w:pStyle w:val="Indenta"/>
      </w:pPr>
      <w:r>
        <w:tab/>
        <w:t>(a)</w:t>
      </w:r>
      <w:r>
        <w:tab/>
        <w:t>the order is later revoked or reversed; and</w:t>
      </w:r>
    </w:p>
    <w:p>
      <w:pPr>
        <w:pStyle w:val="Indenta"/>
      </w:pPr>
      <w:r>
        <w:tab/>
        <w:t>(b)</w:t>
      </w:r>
      <w:r>
        <w:tab/>
        <w:t>the warrant is still in force when the order is revoked or reversed.</w:t>
      </w:r>
    </w:p>
    <w:p>
      <w:pPr>
        <w:pStyle w:val="Footnotesection"/>
      </w:pPr>
      <w:r>
        <w:tab/>
        <w:t>[Section 34 inserted: No. 24 of 2023 s. 42.]</w:t>
      </w:r>
    </w:p>
    <w:p>
      <w:pPr>
        <w:pStyle w:val="Heading4"/>
      </w:pPr>
      <w:bookmarkStart w:id="115" w:name="_Toc149055697"/>
      <w:bookmarkStart w:id="116" w:name="_Toc153544735"/>
      <w:bookmarkStart w:id="117" w:name="_Toc153796338"/>
      <w:bookmarkStart w:id="118" w:name="_Toc153887486"/>
      <w:r>
        <w:t>Subdivision 3 — Securing things</w:t>
      </w:r>
      <w:bookmarkEnd w:id="115"/>
      <w:bookmarkEnd w:id="116"/>
      <w:bookmarkEnd w:id="117"/>
      <w:bookmarkEnd w:id="118"/>
    </w:p>
    <w:p>
      <w:pPr>
        <w:pStyle w:val="Footnoteheading"/>
      </w:pPr>
      <w:r>
        <w:tab/>
        <w:t>[Heading inserted: No. 24 of 2023 s. 42.]</w:t>
      </w:r>
    </w:p>
    <w:p>
      <w:pPr>
        <w:pStyle w:val="Heading5"/>
      </w:pPr>
      <w:bookmarkStart w:id="119" w:name="_Toc149055698"/>
      <w:bookmarkStart w:id="120" w:name="_Toc153887487"/>
      <w:r>
        <w:rPr>
          <w:rStyle w:val="CharSectno"/>
        </w:rPr>
        <w:t>35</w:t>
      </w:r>
      <w:r>
        <w:t>.</w:t>
      </w:r>
      <w:r>
        <w:tab/>
        <w:t>Electronic equipment may be secured pending expert assistance to operate it</w:t>
      </w:r>
      <w:bookmarkEnd w:id="119"/>
      <w:bookmarkEnd w:id="120"/>
    </w:p>
    <w:p>
      <w:pPr>
        <w:pStyle w:val="Subsection"/>
      </w:pPr>
      <w:r>
        <w:tab/>
        <w:t>(1)</w:t>
      </w:r>
      <w:r>
        <w:tab/>
        <w:t xml:space="preserve">This section applies if an inspector believes on reasonable grounds that — </w:t>
      </w:r>
    </w:p>
    <w:p>
      <w:pPr>
        <w:pStyle w:val="Indenta"/>
      </w:pPr>
      <w:r>
        <w:tab/>
        <w:t>(a)</w:t>
      </w:r>
      <w:r>
        <w:tab/>
        <w:t>on premises to which a warrant relates, there is information (</w:t>
      </w:r>
      <w:r>
        <w:rPr>
          <w:rStyle w:val="CharDefText"/>
        </w:rPr>
        <w:t>relevant information</w:t>
      </w:r>
      <w:r>
        <w:t>) relevant to determining whether there is evidential material on the premises; and</w:t>
      </w:r>
    </w:p>
    <w:p>
      <w:pPr>
        <w:pStyle w:val="Indenta"/>
      </w:pPr>
      <w:r>
        <w:tab/>
        <w:t>(b)</w:t>
      </w:r>
      <w:r>
        <w:tab/>
        <w:t>the relevant information may be accessed by operating electronic equipment on the premises; and</w:t>
      </w:r>
    </w:p>
    <w:p>
      <w:pPr>
        <w:pStyle w:val="Indenta"/>
      </w:pPr>
      <w:r>
        <w:tab/>
        <w:t>(c)</w:t>
      </w:r>
      <w:r>
        <w:tab/>
        <w:t>expert assistance is required to operate the equipment; and</w:t>
      </w:r>
    </w:p>
    <w:p>
      <w:pPr>
        <w:pStyle w:val="Indenta"/>
      </w:pPr>
      <w:r>
        <w:tab/>
        <w:t>(d)</w:t>
      </w:r>
      <w:r>
        <w:tab/>
        <w:t>the relevant information may be destroyed, altered or otherwise interfered with if the inspector does not take action under this section.</w:t>
      </w:r>
    </w:p>
    <w:p>
      <w:pPr>
        <w:pStyle w:val="Subsection"/>
      </w:pPr>
      <w:r>
        <w:lastRenderedPageBreak/>
        <w:tab/>
        <w:t>(2)</w:t>
      </w:r>
      <w:r>
        <w:tab/>
        <w:t>The inspector may do whatever is necessary to secure the equipment for up to 72 hours, whether by locking it up, placing a guard or other means.</w:t>
      </w:r>
    </w:p>
    <w:p>
      <w:pPr>
        <w:pStyle w:val="Subsection"/>
      </w:pPr>
      <w:r>
        <w:tab/>
        <w:t>(3)</w:t>
      </w:r>
      <w:r>
        <w:tab/>
        <w:t>The inspector must give notice to the occupier of the premises of their intention to secure the equipment and of the fact that the equipment may be secured for up to 72 hours.</w:t>
      </w:r>
    </w:p>
    <w:p>
      <w:pPr>
        <w:pStyle w:val="Footnotesection"/>
      </w:pPr>
      <w:r>
        <w:tab/>
        <w:t>[Section 35 inserted: No. 24 of 2023 s. 42.]</w:t>
      </w:r>
    </w:p>
    <w:p>
      <w:pPr>
        <w:pStyle w:val="Heading5"/>
      </w:pPr>
      <w:bookmarkStart w:id="121" w:name="_Toc149055699"/>
      <w:bookmarkStart w:id="122" w:name="_Toc153887488"/>
      <w:r>
        <w:rPr>
          <w:rStyle w:val="CharSectno"/>
        </w:rPr>
        <w:t>36</w:t>
      </w:r>
      <w:r>
        <w:t>.</w:t>
      </w:r>
      <w:r>
        <w:tab/>
        <w:t>Extending period for which something is secured</w:t>
      </w:r>
      <w:bookmarkEnd w:id="121"/>
      <w:bookmarkEnd w:id="122"/>
    </w:p>
    <w:p>
      <w:pPr>
        <w:pStyle w:val="Subsection"/>
      </w:pPr>
      <w:r>
        <w:tab/>
        <w:t>(1)</w:t>
      </w:r>
      <w:r>
        <w:tab/>
        <w:t>If an inspector believes on reasonable grounds that a thing needs to be secured under section 11(2)(b), 13(6) or 35(2) for more than 72 hours, the inspector may apply to a judicial officer for an extension of that period.</w:t>
      </w:r>
    </w:p>
    <w:p>
      <w:pPr>
        <w:pStyle w:val="Subsection"/>
      </w:pPr>
      <w:r>
        <w:tab/>
        <w:t>(2)</w:t>
      </w:r>
      <w:r>
        <w:tab/>
        <w:t>The inspector must give notice to the occupier of the premises on which the thing is secured of the inspector’s intention to apply for an extension, and the occupier is entitled to be heard in relation to that application.</w:t>
      </w:r>
    </w:p>
    <w:p>
      <w:pPr>
        <w:pStyle w:val="Subsection"/>
      </w:pPr>
      <w:r>
        <w:tab/>
        <w:t>(3)</w:t>
      </w:r>
      <w:r>
        <w:tab/>
        <w:t>The provisions of Subdivision 2 relating to the issue of warrants apply, with necessary modifications, to the granting of an extension.</w:t>
      </w:r>
    </w:p>
    <w:p>
      <w:pPr>
        <w:pStyle w:val="Subsection"/>
      </w:pPr>
      <w:r>
        <w:tab/>
        <w:t>(4)</w:t>
      </w:r>
      <w:r>
        <w:tab/>
        <w:t>The 72</w:t>
      </w:r>
      <w:r>
        <w:noBreakHyphen/>
        <w:t>hour period may be extended more than once.</w:t>
      </w:r>
    </w:p>
    <w:p>
      <w:pPr>
        <w:pStyle w:val="Footnotesection"/>
      </w:pPr>
      <w:r>
        <w:tab/>
        <w:t>[Section 36 inserted: No. 24 of 2023 s. 42.]</w:t>
      </w:r>
    </w:p>
    <w:p>
      <w:pPr>
        <w:pStyle w:val="Heading5"/>
      </w:pPr>
      <w:bookmarkStart w:id="123" w:name="_Toc149055700"/>
      <w:bookmarkStart w:id="124" w:name="_Toc153887489"/>
      <w:r>
        <w:rPr>
          <w:rStyle w:val="CharSectno"/>
        </w:rPr>
        <w:t>37</w:t>
      </w:r>
      <w:r>
        <w:t>.</w:t>
      </w:r>
      <w:r>
        <w:tab/>
        <w:t>Interfering with securing of things</w:t>
      </w:r>
      <w:bookmarkEnd w:id="123"/>
      <w:bookmarkEnd w:id="124"/>
    </w:p>
    <w:p>
      <w:pPr>
        <w:pStyle w:val="Subsection"/>
      </w:pPr>
      <w:r>
        <w:tab/>
      </w:r>
      <w:r>
        <w:tab/>
        <w:t xml:space="preserve">A person commits an offence if — </w:t>
      </w:r>
    </w:p>
    <w:p>
      <w:pPr>
        <w:pStyle w:val="Indenta"/>
      </w:pPr>
      <w:r>
        <w:tab/>
        <w:t>(a)</w:t>
      </w:r>
      <w:r>
        <w:tab/>
        <w:t>an inspector is securing, or has secured, a thing under section 11(2)(b), 13(6) or 35(2); and</w:t>
      </w:r>
    </w:p>
    <w:p>
      <w:pPr>
        <w:pStyle w:val="Indenta"/>
      </w:pPr>
      <w:r>
        <w:tab/>
        <w:t>(b)</w:t>
      </w:r>
      <w:r>
        <w:tab/>
        <w:t>the person interferes with the securing of the thing, or the secured thing; and</w:t>
      </w:r>
    </w:p>
    <w:p>
      <w:pPr>
        <w:pStyle w:val="Indenta"/>
        <w:keepNext/>
      </w:pPr>
      <w:r>
        <w:lastRenderedPageBreak/>
        <w:tab/>
        <w:t>(c)</w:t>
      </w:r>
      <w:r>
        <w:tab/>
        <w:t>the period for which the thing is secured has not ended.</w:t>
      </w:r>
    </w:p>
    <w:p>
      <w:pPr>
        <w:pStyle w:val="Penstart"/>
        <w:keepNext/>
      </w:pPr>
      <w:r>
        <w:tab/>
        <w:t>Penalty: a fine of $10 000.</w:t>
      </w:r>
    </w:p>
    <w:p>
      <w:pPr>
        <w:pStyle w:val="Footnotesection"/>
      </w:pPr>
      <w:r>
        <w:tab/>
        <w:t>[Section 37 inserted: No. 24 of 2023 s. 42.]</w:t>
      </w:r>
    </w:p>
    <w:p>
      <w:pPr>
        <w:pStyle w:val="Heading4"/>
      </w:pPr>
      <w:bookmarkStart w:id="125" w:name="_Toc149055701"/>
      <w:bookmarkStart w:id="126" w:name="_Toc153544739"/>
      <w:bookmarkStart w:id="127" w:name="_Toc153796342"/>
      <w:bookmarkStart w:id="128" w:name="_Toc153887490"/>
      <w:r>
        <w:t>Subdivision 4 — Seizing and detaining things</w:t>
      </w:r>
      <w:bookmarkEnd w:id="125"/>
      <w:bookmarkEnd w:id="126"/>
      <w:bookmarkEnd w:id="127"/>
      <w:bookmarkEnd w:id="128"/>
    </w:p>
    <w:p>
      <w:pPr>
        <w:pStyle w:val="Footnoteheading"/>
      </w:pPr>
      <w:r>
        <w:tab/>
        <w:t>[Heading inserted: No. 24 of 2023 s. 42.]</w:t>
      </w:r>
    </w:p>
    <w:p>
      <w:pPr>
        <w:pStyle w:val="Heading5"/>
      </w:pPr>
      <w:bookmarkStart w:id="129" w:name="_Toc149055702"/>
      <w:bookmarkStart w:id="130" w:name="_Toc153887491"/>
      <w:r>
        <w:rPr>
          <w:rStyle w:val="CharSectno"/>
        </w:rPr>
        <w:t>38</w:t>
      </w:r>
      <w:r>
        <w:t>.</w:t>
      </w:r>
      <w:r>
        <w:tab/>
        <w:t>Copies of seized things to be provided</w:t>
      </w:r>
      <w:bookmarkEnd w:id="129"/>
      <w:bookmarkEnd w:id="130"/>
    </w:p>
    <w:p>
      <w:pPr>
        <w:pStyle w:val="Subsection"/>
      </w:pPr>
      <w:r>
        <w:tab/>
        <w:t>(1)</w:t>
      </w:r>
      <w:r>
        <w:tab/>
        <w:t xml:space="preserve">This section applies if, under this Part, an inspector seizes 1 or more of the following — </w:t>
      </w:r>
    </w:p>
    <w:p>
      <w:pPr>
        <w:pStyle w:val="Indenta"/>
      </w:pPr>
      <w:r>
        <w:tab/>
        <w:t>(a)</w:t>
      </w:r>
      <w:r>
        <w:tab/>
        <w:t>a document, film, computer file or other thing that can be readily copied;</w:t>
      </w:r>
    </w:p>
    <w:p>
      <w:pPr>
        <w:pStyle w:val="Indenta"/>
      </w:pPr>
      <w:r>
        <w:tab/>
        <w:t>(b)</w:t>
      </w:r>
      <w:r>
        <w:tab/>
        <w:t>an information storage device from which information can be readily copied.</w:t>
      </w:r>
    </w:p>
    <w:p>
      <w:pPr>
        <w:pStyle w:val="Subsection"/>
      </w:pPr>
      <w:r>
        <w:tab/>
        <w:t>(2)</w:t>
      </w:r>
      <w:r>
        <w:tab/>
        <w:t>The occupier of the premises may request the inspector to give a copy of the thing or the information to the occupier.</w:t>
      </w:r>
    </w:p>
    <w:p>
      <w:pPr>
        <w:pStyle w:val="Subsection"/>
      </w:pPr>
      <w:r>
        <w:tab/>
        <w:t>(3)</w:t>
      </w:r>
      <w:r>
        <w:tab/>
        <w:t>The inspector must comply with the request as soon as practicable after the seizure.</w:t>
      </w:r>
    </w:p>
    <w:p>
      <w:pPr>
        <w:pStyle w:val="Subsection"/>
      </w:pPr>
      <w:r>
        <w:tab/>
        <w:t>(4)</w:t>
      </w:r>
      <w:r>
        <w:tab/>
        <w:t>However, the inspector is not required to comply with the request if the inspector believes on reasonable grounds that possession of the thing or information by the occupier constitutes an offence against a law of the State or another Australian jurisdiction.</w:t>
      </w:r>
    </w:p>
    <w:p>
      <w:pPr>
        <w:pStyle w:val="Footnotesection"/>
      </w:pPr>
      <w:r>
        <w:tab/>
        <w:t>[Section 38 inserted: No. 24 of 2023 s. 42.]</w:t>
      </w:r>
    </w:p>
    <w:p>
      <w:pPr>
        <w:pStyle w:val="Heading5"/>
      </w:pPr>
      <w:bookmarkStart w:id="131" w:name="_Toc149055703"/>
      <w:bookmarkStart w:id="132" w:name="_Toc153887492"/>
      <w:r>
        <w:rPr>
          <w:rStyle w:val="CharSectno"/>
        </w:rPr>
        <w:t>39</w:t>
      </w:r>
      <w:r>
        <w:t>.</w:t>
      </w:r>
      <w:r>
        <w:tab/>
        <w:t>Receipts for seized things</w:t>
      </w:r>
      <w:bookmarkEnd w:id="131"/>
      <w:bookmarkEnd w:id="132"/>
    </w:p>
    <w:p>
      <w:pPr>
        <w:pStyle w:val="Subsection"/>
      </w:pPr>
      <w:r>
        <w:tab/>
        <w:t>(1)</w:t>
      </w:r>
      <w:r>
        <w:tab/>
        <w:t>If a thing is seized under this Part, an inspector must provide a receipt for the thing.</w:t>
      </w:r>
    </w:p>
    <w:p>
      <w:pPr>
        <w:pStyle w:val="Subsection"/>
      </w:pPr>
      <w:r>
        <w:tab/>
        <w:t>(2)</w:t>
      </w:r>
      <w:r>
        <w:tab/>
        <w:t>If 2 or more things are seized, they may be covered in the 1 receipt.</w:t>
      </w:r>
    </w:p>
    <w:p>
      <w:pPr>
        <w:pStyle w:val="Footnotesection"/>
      </w:pPr>
      <w:r>
        <w:tab/>
        <w:t>[Section 39 inserted: No. 24 of 2023 s. 42.]</w:t>
      </w:r>
    </w:p>
    <w:p>
      <w:pPr>
        <w:pStyle w:val="Heading5"/>
      </w:pPr>
      <w:bookmarkStart w:id="133" w:name="_Toc149055704"/>
      <w:bookmarkStart w:id="134" w:name="_Toc153887493"/>
      <w:r>
        <w:rPr>
          <w:rStyle w:val="CharSectno"/>
        </w:rPr>
        <w:lastRenderedPageBreak/>
        <w:t>40</w:t>
      </w:r>
      <w:r>
        <w:t>.</w:t>
      </w:r>
      <w:r>
        <w:tab/>
        <w:t>Return of seized things</w:t>
      </w:r>
      <w:bookmarkEnd w:id="133"/>
      <w:bookmarkEnd w:id="134"/>
    </w:p>
    <w:p>
      <w:pPr>
        <w:pStyle w:val="Subsection"/>
      </w:pPr>
      <w:r>
        <w:tab/>
        <w:t>(1)</w:t>
      </w:r>
      <w:r>
        <w:tab/>
        <w:t xml:space="preserve">An inspector must take reasonable steps to return a thing seized under this Part when the earliest of the following happens — </w:t>
      </w:r>
    </w:p>
    <w:p>
      <w:pPr>
        <w:pStyle w:val="Indenta"/>
      </w:pPr>
      <w:r>
        <w:tab/>
        <w:t>(a)</w:t>
      </w:r>
      <w:r>
        <w:tab/>
        <w:t>the reason for the thing’s seizure no longer exists;</w:t>
      </w:r>
    </w:p>
    <w:p>
      <w:pPr>
        <w:pStyle w:val="Indenta"/>
      </w:pPr>
      <w:r>
        <w:tab/>
        <w:t>(b)</w:t>
      </w:r>
      <w:r>
        <w:tab/>
        <w:t>it is decided that the thing is not to be used in evidence;</w:t>
      </w:r>
    </w:p>
    <w:p>
      <w:pPr>
        <w:pStyle w:val="Indenta"/>
      </w:pPr>
      <w:r>
        <w:tab/>
        <w:t>(c)</w:t>
      </w:r>
      <w:r>
        <w:tab/>
        <w:t>the period of 60 days after the thing’s seizure ends.</w:t>
      </w:r>
    </w:p>
    <w:p>
      <w:pPr>
        <w:pStyle w:val="Subsection"/>
      </w:pPr>
      <w:r>
        <w:tab/>
        <w:t>(2)</w:t>
      </w:r>
      <w:r>
        <w:tab/>
        <w:t xml:space="preserve">Subsection (1) — </w:t>
      </w:r>
    </w:p>
    <w:p>
      <w:pPr>
        <w:pStyle w:val="Indenta"/>
      </w:pPr>
      <w:r>
        <w:tab/>
        <w:t>(a)</w:t>
      </w:r>
      <w:r>
        <w:tab/>
        <w:t>is subject to any contrary order of a court; and</w:t>
      </w:r>
    </w:p>
    <w:p>
      <w:pPr>
        <w:pStyle w:val="Indenta"/>
      </w:pPr>
      <w:r>
        <w:tab/>
        <w:t>(b)</w:t>
      </w:r>
      <w:r>
        <w:tab/>
        <w:t xml:space="preserve">does not apply if the thing — </w:t>
      </w:r>
    </w:p>
    <w:p>
      <w:pPr>
        <w:pStyle w:val="Indenti"/>
      </w:pPr>
      <w:r>
        <w:tab/>
        <w:t>(i)</w:t>
      </w:r>
      <w:r>
        <w:tab/>
        <w:t>is forfeited or forfeitable to the State; or</w:t>
      </w:r>
    </w:p>
    <w:p>
      <w:pPr>
        <w:pStyle w:val="Indenti"/>
      </w:pPr>
      <w:r>
        <w:tab/>
        <w:t>(ii)</w:t>
      </w:r>
      <w:r>
        <w:tab/>
        <w:t>is the subject of a dispute as to ownership.</w:t>
      </w:r>
    </w:p>
    <w:p>
      <w:pPr>
        <w:pStyle w:val="Subsection"/>
      </w:pPr>
      <w:r>
        <w:tab/>
        <w:t>(3)</w:t>
      </w:r>
      <w:r>
        <w:tab/>
        <w:t xml:space="preserve">An inspector need not take steps to return a thing because of subsection (1)(c) if — </w:t>
      </w:r>
    </w:p>
    <w:p>
      <w:pPr>
        <w:pStyle w:val="Indenta"/>
      </w:pPr>
      <w:r>
        <w:tab/>
        <w:t>(a)</w:t>
      </w:r>
      <w:r>
        <w:tab/>
        <w:t>proceedings in respect of which the thing may afford evidence commenced before the end of the period referred to in subsection (1)(c) and have not been completed, including an appeal to a court in relation to those proceedings; or</w:t>
      </w:r>
    </w:p>
    <w:p>
      <w:pPr>
        <w:pStyle w:val="Indenta"/>
      </w:pPr>
      <w:r>
        <w:tab/>
        <w:t>(b)</w:t>
      </w:r>
      <w:r>
        <w:tab/>
        <w:t>the thing may be retained under an order under section 41; or</w:t>
      </w:r>
    </w:p>
    <w:p>
      <w:pPr>
        <w:pStyle w:val="Indenta"/>
      </w:pPr>
      <w:r>
        <w:tab/>
        <w:t>(c)</w:t>
      </w:r>
      <w:r>
        <w:tab/>
        <w:t>the State, the chief executive officer or an inspector is otherwise authorised, by a law or an order of a court, to retain, destroy, dispose of or otherwise deal with the thing.</w:t>
      </w:r>
    </w:p>
    <w:p>
      <w:pPr>
        <w:pStyle w:val="Subsection"/>
      </w:pPr>
      <w:r>
        <w:tab/>
        <w:t>(4)</w:t>
      </w:r>
      <w:r>
        <w:tab/>
        <w:t xml:space="preserve">A thing that is required to be returned under this section must be returned — </w:t>
      </w:r>
    </w:p>
    <w:p>
      <w:pPr>
        <w:pStyle w:val="Indenta"/>
      </w:pPr>
      <w:r>
        <w:tab/>
        <w:t>(a)</w:t>
      </w:r>
      <w:r>
        <w:tab/>
        <w:t>to the person from whom it was seized; or</w:t>
      </w:r>
    </w:p>
    <w:p>
      <w:pPr>
        <w:pStyle w:val="Indenta"/>
      </w:pPr>
      <w:r>
        <w:tab/>
        <w:t>(b)</w:t>
      </w:r>
      <w:r>
        <w:tab/>
        <w:t>if the person from whom it was seized is not entitled to possess the thing — to the owner of the thing.</w:t>
      </w:r>
    </w:p>
    <w:p>
      <w:pPr>
        <w:pStyle w:val="Footnotesection"/>
      </w:pPr>
      <w:r>
        <w:tab/>
        <w:t>[Section 40 inserted: No. 24 of 2023 s. 42.]</w:t>
      </w:r>
    </w:p>
    <w:p>
      <w:pPr>
        <w:pStyle w:val="Heading5"/>
      </w:pPr>
      <w:bookmarkStart w:id="135" w:name="_Toc149055705"/>
      <w:bookmarkStart w:id="136" w:name="_Toc153887494"/>
      <w:r>
        <w:rPr>
          <w:rStyle w:val="CharSectno"/>
        </w:rPr>
        <w:lastRenderedPageBreak/>
        <w:t>41</w:t>
      </w:r>
      <w:r>
        <w:t>.</w:t>
      </w:r>
      <w:r>
        <w:tab/>
        <w:t>Judicial officer may permit seized things to be retained</w:t>
      </w:r>
      <w:bookmarkEnd w:id="135"/>
      <w:bookmarkEnd w:id="136"/>
    </w:p>
    <w:p>
      <w:pPr>
        <w:pStyle w:val="Subsection"/>
      </w:pPr>
      <w:r>
        <w:tab/>
        <w:t>(1)</w:t>
      </w:r>
      <w:r>
        <w:tab/>
        <w:t xml:space="preserve">An inspector may apply to a judicial officer for an order permitting the retention of a thing seized under this Part if — </w:t>
      </w:r>
    </w:p>
    <w:p>
      <w:pPr>
        <w:pStyle w:val="Indenta"/>
      </w:pPr>
      <w:r>
        <w:tab/>
        <w:t>(a)</w:t>
      </w:r>
      <w:r>
        <w:tab/>
        <w:t>proceedings in respect of which the thing may afford evidence have not been commenced; and</w:t>
      </w:r>
    </w:p>
    <w:p>
      <w:pPr>
        <w:pStyle w:val="Indenta"/>
      </w:pPr>
      <w:r>
        <w:tab/>
        <w:t>(b)</w:t>
      </w:r>
      <w:r>
        <w:tab/>
        <w:t xml:space="preserve">the application is made before the expiry of — </w:t>
      </w:r>
    </w:p>
    <w:p>
      <w:pPr>
        <w:pStyle w:val="Indenti"/>
      </w:pPr>
      <w:r>
        <w:tab/>
        <w:t>(i)</w:t>
      </w:r>
      <w:r>
        <w:tab/>
        <w:t>the period referred to in section 40(1)(c); or</w:t>
      </w:r>
    </w:p>
    <w:p>
      <w:pPr>
        <w:pStyle w:val="Indenti"/>
      </w:pPr>
      <w:r>
        <w:tab/>
        <w:t>(ii)</w:t>
      </w:r>
      <w:r>
        <w:tab/>
        <w:t>a previous order under this section.</w:t>
      </w:r>
    </w:p>
    <w:p>
      <w:pPr>
        <w:pStyle w:val="Subsection"/>
      </w:pPr>
      <w:r>
        <w:tab/>
        <w:t>(2)</w:t>
      </w:r>
      <w:r>
        <w:tab/>
        <w:t xml:space="preserve">The judicial officer may order that the thing may be retained for the period specified in the order if satisfied that it is necessary for the thing to be retained — </w:t>
      </w:r>
    </w:p>
    <w:p>
      <w:pPr>
        <w:pStyle w:val="Indenta"/>
      </w:pPr>
      <w:r>
        <w:tab/>
        <w:t>(a)</w:t>
      </w:r>
      <w:r>
        <w:tab/>
        <w:t>for the purposes of an investigation in respect of an offence under this Act; or</w:t>
      </w:r>
    </w:p>
    <w:p>
      <w:pPr>
        <w:pStyle w:val="Indenta"/>
      </w:pPr>
      <w:r>
        <w:tab/>
        <w:t>(b)</w:t>
      </w:r>
      <w:r>
        <w:tab/>
        <w:t>to enable evidence of an offence under this Act to be secured for the purposes of a prosecution.</w:t>
      </w:r>
    </w:p>
    <w:p>
      <w:pPr>
        <w:pStyle w:val="Subsection"/>
      </w:pPr>
      <w:r>
        <w:tab/>
        <w:t>(3)</w:t>
      </w:r>
      <w:r>
        <w:tab/>
        <w:t>The total period for which a thing may be retained must not exceed 3 years.</w:t>
      </w:r>
    </w:p>
    <w:p>
      <w:pPr>
        <w:pStyle w:val="Subsection"/>
      </w:pPr>
      <w:r>
        <w:tab/>
        <w:t>(4)</w:t>
      </w:r>
      <w:r>
        <w:tab/>
        <w:t xml:space="preserve">Before making an application under subsection (1), the inspector must — </w:t>
      </w:r>
    </w:p>
    <w:p>
      <w:pPr>
        <w:pStyle w:val="Indenta"/>
      </w:pPr>
      <w:r>
        <w:tab/>
        <w:t>(a)</w:t>
      </w:r>
      <w:r>
        <w:tab/>
        <w:t>take reasonable steps to discover who has an interest in the thing or the retention of the thing; and</w:t>
      </w:r>
    </w:p>
    <w:p>
      <w:pPr>
        <w:pStyle w:val="Indenta"/>
      </w:pPr>
      <w:r>
        <w:tab/>
        <w:t>(b)</w:t>
      </w:r>
      <w:r>
        <w:tab/>
        <w:t>if it is practicable to do so, notify each person the inspector believes to have such an interest of the proposed application.</w:t>
      </w:r>
    </w:p>
    <w:p>
      <w:pPr>
        <w:pStyle w:val="Footnotesection"/>
      </w:pPr>
      <w:r>
        <w:tab/>
        <w:t>[Section 41 inserted: No. 24 of 2023 s. 42.]</w:t>
      </w:r>
    </w:p>
    <w:p>
      <w:pPr>
        <w:pStyle w:val="Heading5"/>
      </w:pPr>
      <w:bookmarkStart w:id="137" w:name="_Toc149055706"/>
      <w:bookmarkStart w:id="138" w:name="_Toc153887495"/>
      <w:r>
        <w:rPr>
          <w:rStyle w:val="CharSectno"/>
        </w:rPr>
        <w:t>42</w:t>
      </w:r>
      <w:r>
        <w:t>.</w:t>
      </w:r>
      <w:r>
        <w:tab/>
        <w:t>Forfeiture and disposal of seized things</w:t>
      </w:r>
      <w:bookmarkEnd w:id="137"/>
      <w:bookmarkEnd w:id="138"/>
    </w:p>
    <w:p>
      <w:pPr>
        <w:pStyle w:val="Subsection"/>
      </w:pPr>
      <w:r>
        <w:tab/>
        <w:t>(1)</w:t>
      </w:r>
      <w:r>
        <w:tab/>
        <w:t xml:space="preserve">This section applies to a thing seized under this Part if an inspector has taken reasonable steps to return the thing to a person and 1 of the following applies — </w:t>
      </w:r>
    </w:p>
    <w:p>
      <w:pPr>
        <w:pStyle w:val="Indenta"/>
      </w:pPr>
      <w:r>
        <w:lastRenderedPageBreak/>
        <w:tab/>
        <w:t>(a)</w:t>
      </w:r>
      <w:r>
        <w:tab/>
        <w:t>the inspector has been unable to locate the person, despite making reasonable efforts;</w:t>
      </w:r>
    </w:p>
    <w:p>
      <w:pPr>
        <w:pStyle w:val="Indenta"/>
      </w:pPr>
      <w:r>
        <w:tab/>
        <w:t>(b)</w:t>
      </w:r>
      <w:r>
        <w:tab/>
        <w:t>the person has refused to take possession of the thing;</w:t>
      </w:r>
    </w:p>
    <w:p>
      <w:pPr>
        <w:pStyle w:val="Indenta"/>
      </w:pPr>
      <w:r>
        <w:tab/>
        <w:t>(c)</w:t>
      </w:r>
      <w:r>
        <w:tab/>
        <w:t>the inspector has contacted the person about the return of the thing, and the person has not taken possession of the thing within 3 months after being contacted or any longer period agreed to in writing by the inspector.</w:t>
      </w:r>
    </w:p>
    <w:p>
      <w:pPr>
        <w:pStyle w:val="Subsection"/>
      </w:pPr>
      <w:r>
        <w:tab/>
        <w:t>(2)</w:t>
      </w:r>
      <w:r>
        <w:tab/>
        <w:t xml:space="preserve">The chief executive officer may declare, by order published in the </w:t>
      </w:r>
      <w:r>
        <w:rPr>
          <w:i/>
        </w:rPr>
        <w:t>Gazette</w:t>
      </w:r>
      <w:r>
        <w:t>, that the thing is forfeited to the State.</w:t>
      </w:r>
    </w:p>
    <w:p>
      <w:pPr>
        <w:pStyle w:val="Subsection"/>
      </w:pPr>
      <w:r>
        <w:tab/>
        <w:t>(3)</w:t>
      </w:r>
      <w:r>
        <w:tab/>
        <w:t>A thing that is the subject of a declaration under subsection (2) is forfeited to the State.</w:t>
      </w:r>
    </w:p>
    <w:p>
      <w:pPr>
        <w:pStyle w:val="Subsection"/>
      </w:pPr>
      <w:r>
        <w:tab/>
        <w:t>(4)</w:t>
      </w:r>
      <w:r>
        <w:tab/>
        <w:t xml:space="preserve">The </w:t>
      </w:r>
      <w:r>
        <w:rPr>
          <w:i/>
        </w:rPr>
        <w:t>Criminal and Found Property Disposal Act 2006</w:t>
      </w:r>
      <w:r>
        <w:t xml:space="preserve"> applies to the disposal of a thing that is forfeited to the State under this section.</w:t>
      </w:r>
    </w:p>
    <w:p>
      <w:pPr>
        <w:pStyle w:val="PermNoteHeading"/>
      </w:pPr>
      <w:r>
        <w:tab/>
        <w:t>Note for this subsection:</w:t>
      </w:r>
    </w:p>
    <w:p>
      <w:pPr>
        <w:pStyle w:val="PermNoteText"/>
      </w:pPr>
      <w:r>
        <w:tab/>
      </w:r>
      <w:r>
        <w:tab/>
        <w:t xml:space="preserve">The Department is a prescribed agency for the purposes of the </w:t>
      </w:r>
      <w:r>
        <w:rPr>
          <w:i/>
        </w:rPr>
        <w:t>Criminal and Found Property Disposal Act 2006</w:t>
      </w:r>
      <w:r>
        <w:t>; see section 124F.</w:t>
      </w:r>
    </w:p>
    <w:p>
      <w:pPr>
        <w:pStyle w:val="Footnotesection"/>
      </w:pPr>
      <w:r>
        <w:tab/>
        <w:t>[Section 42 inserted: No. 24 of 2023 s. 42.]</w:t>
      </w:r>
    </w:p>
    <w:bookmarkEnd w:id="20"/>
    <w:p>
      <w:pPr>
        <w:pStyle w:val="Ednotesection"/>
      </w:pPr>
      <w:r>
        <w:t>[</w:t>
      </w:r>
      <w:r>
        <w:rPr>
          <w:b/>
          <w:bCs/>
        </w:rPr>
        <w:t>43</w:t>
      </w:r>
      <w:r>
        <w:rPr>
          <w:b/>
          <w:bCs/>
        </w:rPr>
        <w:noBreakHyphen/>
        <w:t>56.</w:t>
      </w:r>
      <w:r>
        <w:rPr>
          <w:b/>
          <w:bCs/>
        </w:rPr>
        <w:tab/>
      </w:r>
      <w:r>
        <w:t>Deleted: No. 24 of 2023 s. 42.]</w:t>
      </w:r>
    </w:p>
    <w:p>
      <w:pPr>
        <w:pStyle w:val="Heading2"/>
      </w:pPr>
      <w:bookmarkStart w:id="139" w:name="_Toc149055708"/>
      <w:bookmarkStart w:id="140" w:name="_Toc153377271"/>
      <w:bookmarkStart w:id="141" w:name="_Toc153544745"/>
      <w:bookmarkStart w:id="142" w:name="_Toc153796348"/>
      <w:bookmarkStart w:id="143" w:name="_Toc153887496"/>
      <w:r>
        <w:rPr>
          <w:rStyle w:val="CharPartNo"/>
        </w:rPr>
        <w:lastRenderedPageBreak/>
        <w:t>Part 3</w:t>
      </w:r>
      <w:r>
        <w:rPr>
          <w:rStyle w:val="CharDivNo"/>
        </w:rPr>
        <w:t> </w:t>
      </w:r>
      <w:r>
        <w:t>—</w:t>
      </w:r>
      <w:r>
        <w:rPr>
          <w:rStyle w:val="CharDivText"/>
        </w:rPr>
        <w:t> </w:t>
      </w:r>
      <w:r>
        <w:rPr>
          <w:rStyle w:val="CharPartText"/>
        </w:rPr>
        <w:t>Marine powers and duties</w:t>
      </w:r>
      <w:bookmarkEnd w:id="139"/>
      <w:bookmarkEnd w:id="140"/>
      <w:bookmarkEnd w:id="141"/>
      <w:bookmarkEnd w:id="142"/>
      <w:bookmarkEnd w:id="143"/>
    </w:p>
    <w:p>
      <w:pPr>
        <w:pStyle w:val="Footnoteheading"/>
      </w:pPr>
      <w:r>
        <w:tab/>
        <w:t>[Heading inserted: No. 24 of 2023 s. 43.]</w:t>
      </w:r>
    </w:p>
    <w:p>
      <w:pPr>
        <w:pStyle w:val="Heading5"/>
        <w:rPr>
          <w:snapToGrid w:val="0"/>
        </w:rPr>
      </w:pPr>
      <w:bookmarkStart w:id="144" w:name="_Toc153887497"/>
      <w:r>
        <w:rPr>
          <w:rStyle w:val="CharSectno"/>
        </w:rPr>
        <w:t>57</w:t>
      </w:r>
      <w:r>
        <w:rPr>
          <w:snapToGrid w:val="0"/>
        </w:rPr>
        <w:t>.</w:t>
      </w:r>
      <w:r>
        <w:rPr>
          <w:snapToGrid w:val="0"/>
        </w:rPr>
        <w:tab/>
        <w:t>General powers to stop and search vessels</w:t>
      </w:r>
      <w:bookmarkEnd w:id="144"/>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 and</w:t>
      </w:r>
    </w:p>
    <w:p>
      <w:pPr>
        <w:pStyle w:val="Indenta"/>
        <w:rPr>
          <w:snapToGrid w:val="0"/>
        </w:rPr>
      </w:pPr>
      <w:r>
        <w:rPr>
          <w:snapToGrid w:val="0"/>
        </w:rPr>
        <w:tab/>
        <w:t>(b)</w:t>
      </w:r>
      <w:r>
        <w:rPr>
          <w:snapToGrid w:val="0"/>
        </w:rPr>
        <w:tab/>
        <w:t>inspect any boats, equipment, or materials on board or belonging to any such vessel; and</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 and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145" w:name="_Toc153887498"/>
      <w:r>
        <w:rPr>
          <w:rStyle w:val="CharSectno"/>
        </w:rPr>
        <w:lastRenderedPageBreak/>
        <w:t>58</w:t>
      </w:r>
      <w:r>
        <w:rPr>
          <w:snapToGrid w:val="0"/>
        </w:rPr>
        <w:t>.</w:t>
      </w:r>
      <w:r>
        <w:rPr>
          <w:snapToGrid w:val="0"/>
        </w:rPr>
        <w:tab/>
        <w:t>Power to inspect logs and muster crew</w:t>
      </w:r>
      <w:bookmarkEnd w:id="145"/>
    </w:p>
    <w:p>
      <w:pPr>
        <w:pStyle w:val="Subsection"/>
        <w:spacing w:before="120"/>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spacing w:before="60"/>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 and</w:t>
      </w:r>
    </w:p>
    <w:p>
      <w:pPr>
        <w:pStyle w:val="Indenta"/>
        <w:spacing w:before="60"/>
        <w:rPr>
          <w:snapToGrid w:val="0"/>
        </w:rPr>
      </w:pPr>
      <w:r>
        <w:rPr>
          <w:snapToGrid w:val="0"/>
        </w:rPr>
        <w:tab/>
        <w:t>(b)</w:t>
      </w:r>
      <w:r>
        <w:rPr>
          <w:snapToGrid w:val="0"/>
        </w:rPr>
        <w:tab/>
        <w:t>require the master of a commercial vessel to produce a list of all persons on board his ship; and</w:t>
      </w:r>
    </w:p>
    <w:p>
      <w:pPr>
        <w:pStyle w:val="Indenta"/>
        <w:spacing w:before="60"/>
        <w:rPr>
          <w:snapToGrid w:val="0"/>
        </w:rPr>
      </w:pPr>
      <w:r>
        <w:rPr>
          <w:snapToGrid w:val="0"/>
        </w:rPr>
        <w:tab/>
        <w:t>(c)</w:t>
      </w:r>
      <w:r>
        <w:rPr>
          <w:snapToGrid w:val="0"/>
        </w:rPr>
        <w:tab/>
        <w:t>take copies of such logbooks and documents or of any part thereof; and</w:t>
      </w:r>
    </w:p>
    <w:p>
      <w:pPr>
        <w:pStyle w:val="Indenta"/>
        <w:spacing w:before="60"/>
        <w:rPr>
          <w:snapToGrid w:val="0"/>
        </w:rPr>
      </w:pPr>
      <w:r>
        <w:rPr>
          <w:snapToGrid w:val="0"/>
        </w:rPr>
        <w:tab/>
        <w:t>(d)</w:t>
      </w:r>
      <w:r>
        <w:rPr>
          <w:snapToGrid w:val="0"/>
        </w:rPr>
        <w:tab/>
        <w:t>muster the crew of any such ship; and</w:t>
      </w:r>
    </w:p>
    <w:p>
      <w:pPr>
        <w:pStyle w:val="Indenta"/>
        <w:spacing w:before="60"/>
        <w:rPr>
          <w:snapToGrid w:val="0"/>
        </w:rPr>
      </w:pPr>
      <w:r>
        <w:rPr>
          <w:snapToGrid w:val="0"/>
        </w:rPr>
        <w:tab/>
        <w:t>(e)</w:t>
      </w:r>
      <w:r>
        <w:rPr>
          <w:snapToGrid w:val="0"/>
        </w:rPr>
        <w:tab/>
        <w:t>summon the master to appear and give any explanation concerning such ship or her crew and such logs and documents.</w:t>
      </w:r>
    </w:p>
    <w:p>
      <w:pPr>
        <w:pStyle w:val="Subsection"/>
        <w:spacing w:before="120"/>
        <w:rPr>
          <w:snapToGrid w:val="0"/>
        </w:rPr>
      </w:pPr>
      <w:r>
        <w:rPr>
          <w:snapToGrid w:val="0"/>
        </w:rPr>
        <w:tab/>
        <w:t>(2)</w:t>
      </w:r>
      <w:r>
        <w:rPr>
          <w:snapToGrid w:val="0"/>
        </w:rPr>
        <w:tab/>
        <w:t>A person who —</w:t>
      </w:r>
    </w:p>
    <w:p>
      <w:pPr>
        <w:pStyle w:val="Indenta"/>
        <w:spacing w:before="60"/>
        <w:rPr>
          <w:snapToGrid w:val="0"/>
        </w:rPr>
      </w:pPr>
      <w:r>
        <w:rPr>
          <w:snapToGrid w:val="0"/>
        </w:rPr>
        <w:tab/>
        <w:t>(a)</w:t>
      </w:r>
      <w:r>
        <w:rPr>
          <w:snapToGrid w:val="0"/>
        </w:rPr>
        <w:tab/>
        <w:t>upon requisition made under subsection (1) refuses or neglects to produce or to permit inspection and copying of any logbook or other document; or</w:t>
      </w:r>
    </w:p>
    <w:p>
      <w:pPr>
        <w:pStyle w:val="Indenta"/>
        <w:spacing w:before="60"/>
        <w:rPr>
          <w:snapToGrid w:val="0"/>
        </w:rPr>
      </w:pPr>
      <w:r>
        <w:rPr>
          <w:snapToGrid w:val="0"/>
        </w:rPr>
        <w:tab/>
        <w:t>(b)</w:t>
      </w:r>
      <w:r>
        <w:rPr>
          <w:snapToGrid w:val="0"/>
        </w:rPr>
        <w:tab/>
        <w:t>impedes any mustering of the crew; or</w:t>
      </w:r>
    </w:p>
    <w:p>
      <w:pPr>
        <w:pStyle w:val="Indenta"/>
        <w:spacing w:before="60"/>
        <w:rPr>
          <w:snapToGrid w:val="0"/>
        </w:rPr>
      </w:pPr>
      <w:r>
        <w:rPr>
          <w:snapToGrid w:val="0"/>
        </w:rPr>
        <w:tab/>
        <w:t>(c)</w:t>
      </w:r>
      <w:r>
        <w:rPr>
          <w:snapToGrid w:val="0"/>
        </w:rPr>
        <w:tab/>
        <w:t>refuses or neglects to give any explanation which he is required to give under subsection (1); or</w:t>
      </w:r>
    </w:p>
    <w:p>
      <w:pPr>
        <w:pStyle w:val="Indenta"/>
        <w:spacing w:before="60"/>
        <w:rPr>
          <w:snapToGrid w:val="0"/>
        </w:rPr>
      </w:pPr>
      <w:r>
        <w:rPr>
          <w:snapToGrid w:val="0"/>
        </w:rPr>
        <w:tab/>
        <w:t>(d)</w:t>
      </w:r>
      <w:r>
        <w:rPr>
          <w:snapToGrid w:val="0"/>
        </w:rPr>
        <w:tab/>
        <w:t>knowingly misleads or deceives any person authorised by subsection (1) to require an explanation,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spacing w:before="180"/>
        <w:rPr>
          <w:snapToGrid w:val="0"/>
        </w:rPr>
      </w:pPr>
      <w:bookmarkStart w:id="146" w:name="_Toc153887499"/>
      <w:r>
        <w:rPr>
          <w:rStyle w:val="CharSectno"/>
        </w:rPr>
        <w:t>58A</w:t>
      </w:r>
      <w:r>
        <w:rPr>
          <w:snapToGrid w:val="0"/>
        </w:rPr>
        <w:t>.</w:t>
      </w:r>
      <w:r>
        <w:rPr>
          <w:snapToGrid w:val="0"/>
        </w:rPr>
        <w:tab/>
        <w:t>Compensation in respect of false distress signals</w:t>
      </w:r>
      <w:bookmarkEnd w:id="146"/>
    </w:p>
    <w:p>
      <w:pPr>
        <w:pStyle w:val="Subsection"/>
        <w:spacing w:before="120"/>
        <w:rPr>
          <w:snapToGrid w:val="0"/>
        </w:rPr>
      </w:pPr>
      <w:r>
        <w:rPr>
          <w:snapToGrid w:val="0"/>
        </w:rPr>
        <w:tab/>
      </w:r>
      <w:r>
        <w:rPr>
          <w:snapToGrid w:val="0"/>
        </w:rPr>
        <w:tab/>
        <w:t xml:space="preserve">The master of a </w:t>
      </w:r>
      <w:r>
        <w:t>vessel</w:t>
      </w:r>
      <w:r>
        <w:rPr>
          <w:snapToGrid w:val="0"/>
        </w:rPr>
        <w:t xml:space="preserve"> who uses or displays, or causes or permits any person to use or display, any of the signals of distress, except where the </w:t>
      </w:r>
      <w:r>
        <w:t>vessel</w:t>
      </w:r>
      <w:r>
        <w:rPr>
          <w:snapToGrid w:val="0"/>
        </w:rPr>
        <w:t xml:space="preserve"> is in distress, is liable to pay compensation and costs incidental thereto, recoverable in any </w:t>
      </w:r>
      <w:r>
        <w:rPr>
          <w:snapToGrid w:val="0"/>
        </w:rPr>
        <w:lastRenderedPageBreak/>
        <w:t>court of competent jurisdiction, for any labour undertaken, risk incurred, or loss sustained in consequence of the signal having been regarded as a genuine signal of distress.</w:t>
      </w:r>
    </w:p>
    <w:p>
      <w:pPr>
        <w:pStyle w:val="Footnotesection"/>
      </w:pPr>
      <w:r>
        <w:tab/>
        <w:t>[Section 58A inserted: No. 35 of 1990 s. 11; amended: No 24 of 2023 s. 45.]</w:t>
      </w:r>
    </w:p>
    <w:p>
      <w:pPr>
        <w:pStyle w:val="Heading5"/>
        <w:rPr>
          <w:snapToGrid w:val="0"/>
        </w:rPr>
      </w:pPr>
      <w:bookmarkStart w:id="147" w:name="_Toc153887500"/>
      <w:r>
        <w:rPr>
          <w:rStyle w:val="CharSectno"/>
        </w:rPr>
        <w:t>58B</w:t>
      </w:r>
      <w:r>
        <w:rPr>
          <w:snapToGrid w:val="0"/>
        </w:rPr>
        <w:t>.</w:t>
      </w:r>
      <w:r>
        <w:rPr>
          <w:snapToGrid w:val="0"/>
        </w:rPr>
        <w:tab/>
        <w:t>Offence to take unsafe ship to sea</w:t>
      </w:r>
      <w:bookmarkEnd w:id="147"/>
    </w:p>
    <w:p>
      <w:pPr>
        <w:pStyle w:val="Subsection"/>
        <w:spacing w:before="140"/>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It is a defence in a prosecution for an offence against subsection (1) to show —</w:t>
      </w:r>
    </w:p>
    <w:p>
      <w:pPr>
        <w:pStyle w:val="Indenta"/>
        <w:spacing w:before="60"/>
        <w:rPr>
          <w:snapToGrid w:val="0"/>
        </w:rPr>
      </w:pPr>
      <w:r>
        <w:rPr>
          <w:snapToGrid w:val="0"/>
        </w:rPr>
        <w:tab/>
        <w:t>(a)</w:t>
      </w:r>
      <w:r>
        <w:rPr>
          <w:snapToGrid w:val="0"/>
        </w:rPr>
        <w:tab/>
        <w:t>that the person charged used all reasonable means to ensure that the vessel was not an unsafe ship; or</w:t>
      </w:r>
    </w:p>
    <w:p>
      <w:pPr>
        <w:pStyle w:val="Indenta"/>
        <w:spacing w:before="60"/>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spacing w:before="130"/>
        <w:rPr>
          <w:snapToGrid w:val="0"/>
        </w:rPr>
      </w:pPr>
      <w:r>
        <w:rPr>
          <w:snapToGrid w:val="0"/>
        </w:rPr>
        <w:tab/>
        <w:t>(3)</w:t>
      </w:r>
      <w:r>
        <w:rPr>
          <w:snapToGrid w:val="0"/>
        </w:rPr>
        <w:tab/>
        <w:t>The fact that an unsafe ship has been detained under section 61 is not a bar to proceedings under this section.</w:t>
      </w:r>
    </w:p>
    <w:p>
      <w:pPr>
        <w:pStyle w:val="Subsection"/>
        <w:spacing w:before="130"/>
        <w:rPr>
          <w:snapToGrid w:val="0"/>
        </w:rPr>
      </w:pPr>
      <w:r>
        <w:rPr>
          <w:snapToGrid w:val="0"/>
        </w:rPr>
        <w:tab/>
        <w:t>(4)</w:t>
      </w:r>
      <w:r>
        <w:rPr>
          <w:snapToGrid w:val="0"/>
        </w:rPr>
        <w:tab/>
        <w:t>A vessel is an unsafe ship for the purposes of this section if by reason of —</w:t>
      </w:r>
    </w:p>
    <w:p>
      <w:pPr>
        <w:pStyle w:val="Indenta"/>
        <w:spacing w:before="60"/>
        <w:rPr>
          <w:snapToGrid w:val="0"/>
        </w:rPr>
      </w:pPr>
      <w:r>
        <w:rPr>
          <w:snapToGrid w:val="0"/>
        </w:rPr>
        <w:tab/>
        <w:t>(a)</w:t>
      </w:r>
      <w:r>
        <w:rPr>
          <w:snapToGrid w:val="0"/>
        </w:rPr>
        <w:tab/>
        <w:t>the defective condition of a part of the vessel; or</w:t>
      </w:r>
    </w:p>
    <w:p>
      <w:pPr>
        <w:pStyle w:val="Indenta"/>
        <w:spacing w:before="60"/>
        <w:rPr>
          <w:snapToGrid w:val="0"/>
        </w:rPr>
      </w:pPr>
      <w:r>
        <w:rPr>
          <w:snapToGrid w:val="0"/>
        </w:rPr>
        <w:tab/>
        <w:t>(b)</w:t>
      </w:r>
      <w:r>
        <w:rPr>
          <w:snapToGrid w:val="0"/>
        </w:rPr>
        <w:tab/>
        <w:t>the overloading or improper loading of the vessel; or</w:t>
      </w:r>
    </w:p>
    <w:p>
      <w:pPr>
        <w:pStyle w:val="Indenta"/>
        <w:spacing w:before="60"/>
        <w:rPr>
          <w:snapToGrid w:val="0"/>
        </w:rPr>
      </w:pPr>
      <w:r>
        <w:rPr>
          <w:snapToGrid w:val="0"/>
        </w:rPr>
        <w:tab/>
        <w:t>(c)</w:t>
      </w:r>
      <w:r>
        <w:rPr>
          <w:snapToGrid w:val="0"/>
        </w:rPr>
        <w:tab/>
        <w:t>the undermanning of the vessel,</w:t>
      </w:r>
    </w:p>
    <w:p>
      <w:pPr>
        <w:pStyle w:val="Subsection"/>
        <w:spacing w:before="120"/>
        <w:rPr>
          <w:snapToGrid w:val="0"/>
        </w:rPr>
      </w:pPr>
      <w:r>
        <w:rPr>
          <w:snapToGrid w:val="0"/>
        </w:rPr>
        <w:tab/>
      </w:r>
      <w:r>
        <w:rPr>
          <w:snapToGrid w:val="0"/>
        </w:rPr>
        <w:tab/>
        <w:t>the vessel is unfit to proceed on its proposed voyage without risk of injury or danger to human life.</w:t>
      </w:r>
    </w:p>
    <w:p>
      <w:pPr>
        <w:pStyle w:val="Subsection"/>
        <w:spacing w:before="140"/>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No. 35 of 1990 s. 11.]</w:t>
      </w:r>
    </w:p>
    <w:p>
      <w:pPr>
        <w:pStyle w:val="Ednotesection"/>
      </w:pPr>
      <w:r>
        <w:t>[</w:t>
      </w:r>
      <w:r>
        <w:rPr>
          <w:b/>
        </w:rPr>
        <w:t>59.</w:t>
      </w:r>
      <w:r>
        <w:tab/>
        <w:t>Deleted: No. 31 of 2023 s. 9.]</w:t>
      </w:r>
    </w:p>
    <w:p>
      <w:pPr>
        <w:pStyle w:val="Heading5"/>
        <w:rPr>
          <w:snapToGrid w:val="0"/>
        </w:rPr>
      </w:pPr>
      <w:bookmarkStart w:id="148" w:name="_Toc153887501"/>
      <w:r>
        <w:rPr>
          <w:rStyle w:val="CharSectno"/>
        </w:rPr>
        <w:lastRenderedPageBreak/>
        <w:t>60</w:t>
      </w:r>
      <w:r>
        <w:rPr>
          <w:snapToGrid w:val="0"/>
        </w:rPr>
        <w:t>.</w:t>
      </w:r>
      <w:r>
        <w:rPr>
          <w:snapToGrid w:val="0"/>
        </w:rPr>
        <w:tab/>
        <w:t>Penalty for unlawfully assuming control</w:t>
      </w:r>
      <w:bookmarkEnd w:id="148"/>
    </w:p>
    <w:p>
      <w:pPr>
        <w:pStyle w:val="Subsection"/>
        <w:rPr>
          <w:snapToGrid w:val="0"/>
        </w:rPr>
      </w:pPr>
      <w:r>
        <w:rPr>
          <w:snapToGrid w:val="0"/>
        </w:rPr>
        <w:tab/>
      </w:r>
      <w:r>
        <w:rPr>
          <w:snapToGrid w:val="0"/>
        </w:rPr>
        <w:tab/>
        <w:t xml:space="preserve">Subject to this Act, a person shall not, without the consent of the owner or </w:t>
      </w:r>
      <w:r>
        <w:t>master</w:t>
      </w:r>
      <w:r>
        <w:rPr>
          <w:snapToGrid w:val="0"/>
        </w:rPr>
        <w:t xml:space="preserve"> of a vessel, navigate or otherwise assume control of the vessel or interfere with the vessel, its equipment, or moorings.</w:t>
      </w:r>
    </w:p>
    <w:p>
      <w:pPr>
        <w:pStyle w:val="Penstart"/>
        <w:rPr>
          <w:snapToGrid w:val="0"/>
        </w:rPr>
      </w:pPr>
      <w:r>
        <w:rPr>
          <w:snapToGrid w:val="0"/>
        </w:rPr>
        <w:tab/>
      </w:r>
      <w:r>
        <w:t>Penalty: a fine of $5 000.</w:t>
      </w:r>
    </w:p>
    <w:p>
      <w:pPr>
        <w:pStyle w:val="Footnotesection"/>
      </w:pPr>
      <w:r>
        <w:tab/>
        <w:t>[Section 60 amended: No. 24 of 2023 s. 48.]</w:t>
      </w:r>
    </w:p>
    <w:p>
      <w:pPr>
        <w:pStyle w:val="Heading5"/>
      </w:pPr>
      <w:bookmarkStart w:id="149" w:name="_Toc149055717"/>
      <w:bookmarkStart w:id="150" w:name="_Toc153887502"/>
      <w:r>
        <w:rPr>
          <w:rStyle w:val="CharSectno"/>
        </w:rPr>
        <w:t>61</w:t>
      </w:r>
      <w:r>
        <w:t>.</w:t>
      </w:r>
      <w:r>
        <w:tab/>
        <w:t>Power to detain unsafe pleasure or prescribed vessels</w:t>
      </w:r>
      <w:bookmarkEnd w:id="149"/>
      <w:bookmarkEnd w:id="150"/>
    </w:p>
    <w:p>
      <w:pPr>
        <w:pStyle w:val="Subsection"/>
      </w:pPr>
      <w:r>
        <w:tab/>
        <w:t>(1)</w:t>
      </w:r>
      <w:r>
        <w:tab/>
        <w:t>The chief executive officer may detain a pleasure vessel or prescribed vessel and bring it, or cause it to be brought, to a port or to another place that the chief executive officer considers appropriate, if the chief executive officer believes on reasonable grounds that the vessel is an unsafe vessel.</w:t>
      </w:r>
    </w:p>
    <w:p>
      <w:pPr>
        <w:pStyle w:val="Subsection"/>
      </w:pPr>
      <w:r>
        <w:tab/>
        <w:t>(2)</w:t>
      </w:r>
      <w:r>
        <w:tab/>
        <w:t xml:space="preserve">If a vessel is detained under subsection (1), the chief executive officer must give written notice (the </w:t>
      </w:r>
      <w:r>
        <w:rPr>
          <w:rStyle w:val="CharDefText"/>
        </w:rPr>
        <w:t>initial notice</w:t>
      </w:r>
      <w:r>
        <w:t xml:space="preserve">), within 7 days after the day on which the vessel was detained, to — </w:t>
      </w:r>
    </w:p>
    <w:p>
      <w:pPr>
        <w:pStyle w:val="Indenta"/>
      </w:pPr>
      <w:r>
        <w:tab/>
        <w:t>(a)</w:t>
      </w:r>
      <w:r>
        <w:tab/>
        <w:t>the master of the vessel; or</w:t>
      </w:r>
    </w:p>
    <w:p>
      <w:pPr>
        <w:pStyle w:val="Indenta"/>
      </w:pPr>
      <w:r>
        <w:tab/>
        <w:t>(b)</w:t>
      </w:r>
      <w:r>
        <w:tab/>
        <w:t>if the master of the vessel cannot be located — the person who had possession or control of the vessel immediately before it was detained.</w:t>
      </w:r>
    </w:p>
    <w:p>
      <w:pPr>
        <w:pStyle w:val="Subsection"/>
      </w:pPr>
      <w:r>
        <w:tab/>
        <w:t>(3)</w:t>
      </w:r>
      <w:r>
        <w:tab/>
        <w:t xml:space="preserve">The notice must — </w:t>
      </w:r>
    </w:p>
    <w:p>
      <w:pPr>
        <w:pStyle w:val="Indenta"/>
      </w:pPr>
      <w:r>
        <w:tab/>
        <w:t>(a)</w:t>
      </w:r>
      <w:r>
        <w:tab/>
        <w:t>identify the vessel; and</w:t>
      </w:r>
    </w:p>
    <w:p>
      <w:pPr>
        <w:pStyle w:val="Indenta"/>
      </w:pPr>
      <w:r>
        <w:tab/>
        <w:t>(b)</w:t>
      </w:r>
      <w:r>
        <w:tab/>
        <w:t>state that the vessel has been detained because it is believed to be an unsafe vessel; and</w:t>
      </w:r>
    </w:p>
    <w:p>
      <w:pPr>
        <w:pStyle w:val="Indenta"/>
      </w:pPr>
      <w:r>
        <w:tab/>
        <w:t>(c)</w:t>
      </w:r>
      <w:r>
        <w:tab/>
        <w:t>specify the grounds for that belief; and</w:t>
      </w:r>
    </w:p>
    <w:p>
      <w:pPr>
        <w:pStyle w:val="Indenta"/>
      </w:pPr>
      <w:r>
        <w:tab/>
        <w:t>(d)</w:t>
      </w:r>
      <w:r>
        <w:tab/>
        <w:t>provide the contact details of an officer of the Department who can provide further information.</w:t>
      </w:r>
    </w:p>
    <w:p>
      <w:pPr>
        <w:pStyle w:val="Subsection"/>
      </w:pPr>
      <w:r>
        <w:tab/>
        <w:t>(4)</w:t>
      </w:r>
      <w:r>
        <w:tab/>
        <w:t xml:space="preserve">The chief executive officer must, within 21 days after the day on which the vessel was detained, do 1 of the following — </w:t>
      </w:r>
    </w:p>
    <w:p>
      <w:pPr>
        <w:pStyle w:val="Indenta"/>
      </w:pPr>
      <w:r>
        <w:lastRenderedPageBreak/>
        <w:tab/>
        <w:t>(a)</w:t>
      </w:r>
      <w:r>
        <w:tab/>
        <w:t>designate a person under section 63(2) to inspect the vessel and provide a report on it;</w:t>
      </w:r>
    </w:p>
    <w:p>
      <w:pPr>
        <w:pStyle w:val="Indenta"/>
      </w:pPr>
      <w:r>
        <w:tab/>
        <w:t>(b)</w:t>
      </w:r>
      <w:r>
        <w:tab/>
        <w:t xml:space="preserve">give a further notice to the person given the initial notice specifying — </w:t>
      </w:r>
    </w:p>
    <w:p>
      <w:pPr>
        <w:pStyle w:val="Indenti"/>
      </w:pPr>
      <w:r>
        <w:tab/>
        <w:t>(i)</w:t>
      </w:r>
      <w:r>
        <w:tab/>
        <w:t>the conditions that the chief executive officer determines are required to be complied with before the vessel may be released from detention and returned; and</w:t>
      </w:r>
    </w:p>
    <w:p>
      <w:pPr>
        <w:pStyle w:val="Indenti"/>
      </w:pPr>
      <w:r>
        <w:tab/>
        <w:t>(ii)</w:t>
      </w:r>
      <w:r>
        <w:tab/>
        <w:t>the period (which cannot be less than 3 months) within which those conditions are to be complied with;</w:t>
      </w:r>
    </w:p>
    <w:p>
      <w:pPr>
        <w:pStyle w:val="Indenta"/>
      </w:pPr>
      <w:r>
        <w:tab/>
        <w:t>(c)</w:t>
      </w:r>
      <w:r>
        <w:tab/>
        <w:t>authorise the vessel to be released from detention and returned.</w:t>
      </w:r>
    </w:p>
    <w:p>
      <w:pPr>
        <w:pStyle w:val="Subsection"/>
      </w:pPr>
      <w:r>
        <w:tab/>
        <w:t>(5)</w:t>
      </w:r>
      <w:r>
        <w:tab/>
        <w:t xml:space="preserve">The chief executive officer may enter into a written contract for the provision of services relating to — </w:t>
      </w:r>
    </w:p>
    <w:p>
      <w:pPr>
        <w:pStyle w:val="Indenta"/>
      </w:pPr>
      <w:r>
        <w:tab/>
        <w:t>(a)</w:t>
      </w:r>
      <w:r>
        <w:tab/>
        <w:t>bringing a vessel detained under this section, or causing it to be brought, to a port or other place under subsection (1); or</w:t>
      </w:r>
    </w:p>
    <w:p>
      <w:pPr>
        <w:pStyle w:val="Indenta"/>
      </w:pPr>
      <w:r>
        <w:tab/>
        <w:t>(b)</w:t>
      </w:r>
      <w:r>
        <w:tab/>
        <w:t>storing a vessel detained under this section.</w:t>
      </w:r>
    </w:p>
    <w:p>
      <w:pPr>
        <w:pStyle w:val="Footnotesection"/>
      </w:pPr>
      <w:r>
        <w:tab/>
        <w:t>[Section 61 inserted: No. 24 of 2023 s. 49.]</w:t>
      </w:r>
    </w:p>
    <w:p>
      <w:pPr>
        <w:pStyle w:val="Heading5"/>
      </w:pPr>
      <w:bookmarkStart w:id="151" w:name="_Toc149055718"/>
      <w:bookmarkStart w:id="152" w:name="_Toc153887503"/>
      <w:r>
        <w:rPr>
          <w:rStyle w:val="CharSectno"/>
        </w:rPr>
        <w:t>62</w:t>
      </w:r>
      <w:r>
        <w:t>.</w:t>
      </w:r>
      <w:r>
        <w:tab/>
        <w:t>Detained vessels: unauthorised operation</w:t>
      </w:r>
      <w:bookmarkEnd w:id="151"/>
      <w:bookmarkEnd w:id="152"/>
    </w:p>
    <w:p>
      <w:pPr>
        <w:pStyle w:val="Subsection"/>
      </w:pPr>
      <w:r>
        <w:tab/>
        <w:t>(1)</w:t>
      </w:r>
      <w:r>
        <w:tab/>
        <w:t xml:space="preserve">A person commits an offence if — </w:t>
      </w:r>
    </w:p>
    <w:p>
      <w:pPr>
        <w:pStyle w:val="Indenta"/>
      </w:pPr>
      <w:r>
        <w:tab/>
        <w:t>(a)</w:t>
      </w:r>
      <w:r>
        <w:tab/>
        <w:t>the person operates a detained vessel, or causes or permits the operation of a detained vessel; and</w:t>
      </w:r>
    </w:p>
    <w:p>
      <w:pPr>
        <w:pStyle w:val="Indenta"/>
      </w:pPr>
      <w:r>
        <w:tab/>
        <w:t>(b)</w:t>
      </w:r>
      <w:r>
        <w:tab/>
        <w:t>the vessel has not been released from detention; and</w:t>
      </w:r>
    </w:p>
    <w:p>
      <w:pPr>
        <w:pStyle w:val="Indenta"/>
      </w:pPr>
      <w:r>
        <w:tab/>
        <w:t>(c)</w:t>
      </w:r>
      <w:r>
        <w:tab/>
        <w:t>the chief executive officer has not authorised the person to operate the vessel.</w:t>
      </w:r>
    </w:p>
    <w:p>
      <w:pPr>
        <w:pStyle w:val="Penstart"/>
      </w:pPr>
      <w:r>
        <w:tab/>
        <w:t>Penalty for this subsection: a fine of $5 000.</w:t>
      </w:r>
    </w:p>
    <w:p>
      <w:pPr>
        <w:pStyle w:val="Subsection"/>
        <w:rPr>
          <w:snapToGrid w:val="0"/>
        </w:rPr>
      </w:pPr>
      <w:r>
        <w:rPr>
          <w:snapToGrid w:val="0"/>
        </w:rPr>
        <w:tab/>
        <w:t>(2)</w:t>
      </w:r>
      <w:r>
        <w:rPr>
          <w:snapToGrid w:val="0"/>
        </w:rPr>
        <w:tab/>
        <w:t xml:space="preserve">It is a defence in a prosecution for an offence against subsection (1) to show that the operation of the vessel was, in </w:t>
      </w:r>
      <w:r>
        <w:rPr>
          <w:snapToGrid w:val="0"/>
        </w:rPr>
        <w:lastRenderedPageBreak/>
        <w:t>the circumstances, reasonably justified for the purposes of protecting the vessel from imminent danger.</w:t>
      </w:r>
    </w:p>
    <w:p>
      <w:pPr>
        <w:pStyle w:val="Footnotesection"/>
      </w:pPr>
      <w:r>
        <w:tab/>
        <w:t>[Section 62 inserted: No. 24 of 2023 s. 49.]</w:t>
      </w:r>
    </w:p>
    <w:p>
      <w:pPr>
        <w:pStyle w:val="Heading5"/>
      </w:pPr>
      <w:bookmarkStart w:id="153" w:name="_Toc149055719"/>
      <w:bookmarkStart w:id="154" w:name="_Toc153887504"/>
      <w:r>
        <w:rPr>
          <w:rStyle w:val="CharSectno"/>
        </w:rPr>
        <w:t>63</w:t>
      </w:r>
      <w:r>
        <w:t>.</w:t>
      </w:r>
      <w:r>
        <w:tab/>
        <w:t>Detained vessels: inspection</w:t>
      </w:r>
      <w:bookmarkEnd w:id="153"/>
      <w:bookmarkEnd w:id="154"/>
    </w:p>
    <w:p>
      <w:pPr>
        <w:pStyle w:val="Subsection"/>
      </w:pPr>
      <w:r>
        <w:tab/>
        <w:t>(1)</w:t>
      </w:r>
      <w:r>
        <w:tab/>
        <w:t xml:space="preserve">In this section — </w:t>
      </w:r>
    </w:p>
    <w:p>
      <w:pPr>
        <w:pStyle w:val="Defstart"/>
      </w:pPr>
      <w:r>
        <w:tab/>
      </w:r>
      <w:r>
        <w:rPr>
          <w:rStyle w:val="CharDefText"/>
        </w:rPr>
        <w:t>designated person</w:t>
      </w:r>
      <w:r>
        <w:t xml:space="preserve"> means an officer of the Department or another person designated under subsection (2).</w:t>
      </w:r>
    </w:p>
    <w:p>
      <w:pPr>
        <w:pStyle w:val="Subsection"/>
      </w:pPr>
      <w:r>
        <w:tab/>
        <w:t>(2)</w:t>
      </w:r>
      <w:r>
        <w:tab/>
        <w:t>The chief executive officer may designate an officer of the Department or another person to inspect a detained vessel and provide a report on the vessel to the chief executive officer.</w:t>
      </w:r>
    </w:p>
    <w:p>
      <w:pPr>
        <w:pStyle w:val="Subsection"/>
      </w:pPr>
      <w:r>
        <w:tab/>
        <w:t>(3)</w:t>
      </w:r>
      <w:r>
        <w:tab/>
        <w:t xml:space="preserve">The chief executive officer must, within 14 days after the day on which a report is provided under subsection (2), do 1 of the following — </w:t>
      </w:r>
    </w:p>
    <w:p>
      <w:pPr>
        <w:pStyle w:val="Indenta"/>
      </w:pPr>
      <w:r>
        <w:tab/>
        <w:t>(a)</w:t>
      </w:r>
      <w:r>
        <w:tab/>
        <w:t xml:space="preserve">give a further notice to the person given the initial notice (under section 61(2)) in relation to the vessel specifying — </w:t>
      </w:r>
    </w:p>
    <w:p>
      <w:pPr>
        <w:pStyle w:val="Indenti"/>
      </w:pPr>
      <w:r>
        <w:tab/>
        <w:t>(i)</w:t>
      </w:r>
      <w:r>
        <w:tab/>
        <w:t>the conditions that the chief executive officer determines are required to be complied with before the vessel may be released from detention and returned; and</w:t>
      </w:r>
    </w:p>
    <w:p>
      <w:pPr>
        <w:pStyle w:val="Indenti"/>
      </w:pPr>
      <w:r>
        <w:tab/>
        <w:t>(ii)</w:t>
      </w:r>
      <w:r>
        <w:tab/>
        <w:t>the period (which cannot be less than 3 months) within which those conditions are to be complied with;</w:t>
      </w:r>
    </w:p>
    <w:p>
      <w:pPr>
        <w:pStyle w:val="Indenta"/>
      </w:pPr>
      <w:r>
        <w:tab/>
        <w:t>(b)</w:t>
      </w:r>
      <w:r>
        <w:tab/>
        <w:t>authorise the vessel to be released from detention and returned.</w:t>
      </w:r>
    </w:p>
    <w:p>
      <w:pPr>
        <w:pStyle w:val="Subsection"/>
      </w:pPr>
      <w:r>
        <w:tab/>
        <w:t>(4)</w:t>
      </w:r>
      <w:r>
        <w:tab/>
        <w:t>The designated person has, for the purpose of inspecting a detained vessel, the powers of an inspector under sections 7 and 9.</w:t>
      </w:r>
    </w:p>
    <w:p>
      <w:pPr>
        <w:pStyle w:val="Subsection"/>
      </w:pPr>
      <w:r>
        <w:tab/>
        <w:t>(5)</w:t>
      </w:r>
      <w:r>
        <w:tab/>
        <w:t xml:space="preserve">For the purposes of subsection (4) — </w:t>
      </w:r>
    </w:p>
    <w:p>
      <w:pPr>
        <w:pStyle w:val="Indenta"/>
      </w:pPr>
      <w:r>
        <w:tab/>
        <w:t>(a)</w:t>
      </w:r>
      <w:r>
        <w:tab/>
        <w:t>sections 7 and 9 apply as if references in them to an inspector were references to the designated person; and</w:t>
      </w:r>
    </w:p>
    <w:p>
      <w:pPr>
        <w:pStyle w:val="Indenta"/>
      </w:pPr>
      <w:r>
        <w:lastRenderedPageBreak/>
        <w:tab/>
        <w:t>(b)</w:t>
      </w:r>
      <w:r>
        <w:tab/>
        <w:t>section 7(4) applies as if the reference in that subsection to an inspector failing to produce their identity card were a reference to a designated person failing to produce evidence of their designation under subsection (2); and</w:t>
      </w:r>
    </w:p>
    <w:p>
      <w:pPr>
        <w:pStyle w:val="Indenta"/>
      </w:pPr>
      <w:r>
        <w:tab/>
        <w:t>(c)</w:t>
      </w:r>
      <w:r>
        <w:tab/>
        <w:t>section 10 applies for the purposes of section 9, as applied by paragraph (a).</w:t>
      </w:r>
    </w:p>
    <w:p>
      <w:pPr>
        <w:pStyle w:val="Subsection"/>
      </w:pPr>
      <w:r>
        <w:tab/>
        <w:t>(6)</w:t>
      </w:r>
      <w:r>
        <w:tab/>
        <w:t>The designated person may authorise other persons to assist in the exercise of the designated person’s powers under this section.</w:t>
      </w:r>
    </w:p>
    <w:p>
      <w:pPr>
        <w:pStyle w:val="Footnotesection"/>
      </w:pPr>
      <w:r>
        <w:tab/>
        <w:t>[Section 63 inserted: No. 24 of 2023 s. 49.]</w:t>
      </w:r>
    </w:p>
    <w:p>
      <w:pPr>
        <w:pStyle w:val="Heading5"/>
      </w:pPr>
      <w:bookmarkStart w:id="155" w:name="_Toc149055720"/>
      <w:bookmarkStart w:id="156" w:name="_Toc153887505"/>
      <w:r>
        <w:rPr>
          <w:rStyle w:val="CharSectno"/>
        </w:rPr>
        <w:t>63A</w:t>
      </w:r>
      <w:r>
        <w:t>.</w:t>
      </w:r>
      <w:r>
        <w:tab/>
        <w:t>Detained vessels: return</w:t>
      </w:r>
      <w:bookmarkEnd w:id="155"/>
      <w:bookmarkEnd w:id="156"/>
    </w:p>
    <w:p>
      <w:pPr>
        <w:pStyle w:val="Subsection"/>
      </w:pPr>
      <w:r>
        <w:tab/>
        <w:t>(1)</w:t>
      </w:r>
      <w:r>
        <w:tab/>
        <w:t xml:space="preserve">The chief executive officer must authorise a detained vessel to be released from detention and returned if satisfied that — </w:t>
      </w:r>
    </w:p>
    <w:p>
      <w:pPr>
        <w:pStyle w:val="Indenta"/>
      </w:pPr>
      <w:r>
        <w:tab/>
        <w:t>(a)</w:t>
      </w:r>
      <w:r>
        <w:tab/>
        <w:t>the vessel is not an unsafe vessel; or</w:t>
      </w:r>
    </w:p>
    <w:p>
      <w:pPr>
        <w:pStyle w:val="Indenta"/>
      </w:pPr>
      <w:r>
        <w:tab/>
        <w:t>(b)</w:t>
      </w:r>
      <w:r>
        <w:tab/>
        <w:t>the grounds for the belief that the vessel was an unsafe vessel, specified in the initial notice (under section 61(2)) in relation to the vessel, no longer apply; or</w:t>
      </w:r>
    </w:p>
    <w:p>
      <w:pPr>
        <w:pStyle w:val="Indenta"/>
      </w:pPr>
      <w:r>
        <w:tab/>
        <w:t>(c)</w:t>
      </w:r>
      <w:r>
        <w:tab/>
        <w:t>the conditions specified in a notice under section 61(4)(b) or 63(3)(a) in relation to the vessel have been complied with.</w:t>
      </w:r>
    </w:p>
    <w:p>
      <w:pPr>
        <w:pStyle w:val="Subsection"/>
      </w:pPr>
      <w:r>
        <w:tab/>
        <w:t>(2)</w:t>
      </w:r>
      <w:r>
        <w:tab/>
        <w:t xml:space="preserve">The regulations may make provision for and in relation to the return of detained vessels, including — </w:t>
      </w:r>
    </w:p>
    <w:p>
      <w:pPr>
        <w:pStyle w:val="Indenta"/>
      </w:pPr>
      <w:r>
        <w:tab/>
        <w:t>(a)</w:t>
      </w:r>
      <w:r>
        <w:tab/>
        <w:t>the steps that must be taken to return a detained vessel; and</w:t>
      </w:r>
    </w:p>
    <w:p>
      <w:pPr>
        <w:pStyle w:val="Indenta"/>
      </w:pPr>
      <w:r>
        <w:tab/>
        <w:t>(b)</w:t>
      </w:r>
      <w:r>
        <w:tab/>
        <w:t>the person to whom a detained vessel must be returned.</w:t>
      </w:r>
    </w:p>
    <w:p>
      <w:pPr>
        <w:pStyle w:val="Footnotesection"/>
      </w:pPr>
      <w:r>
        <w:tab/>
        <w:t>[Section 63A inserted: No. 24 of 2023 s. 49.]</w:t>
      </w:r>
    </w:p>
    <w:p>
      <w:pPr>
        <w:pStyle w:val="Heading5"/>
      </w:pPr>
      <w:bookmarkStart w:id="157" w:name="_Toc149055721"/>
      <w:bookmarkStart w:id="158" w:name="_Toc153887506"/>
      <w:r>
        <w:rPr>
          <w:rStyle w:val="CharSectno"/>
        </w:rPr>
        <w:t>63B</w:t>
      </w:r>
      <w:r>
        <w:t>.</w:t>
      </w:r>
      <w:r>
        <w:tab/>
        <w:t>Detained vessels: forfeiture and disposal</w:t>
      </w:r>
      <w:bookmarkEnd w:id="157"/>
      <w:bookmarkEnd w:id="158"/>
    </w:p>
    <w:p>
      <w:pPr>
        <w:pStyle w:val="Subsection"/>
      </w:pPr>
      <w:r>
        <w:tab/>
        <w:t>(1)</w:t>
      </w:r>
      <w:r>
        <w:tab/>
        <w:t xml:space="preserve">This section applies to a detained vessel if the chief executive officer has taken the steps required by regulations under </w:t>
      </w:r>
      <w:r>
        <w:lastRenderedPageBreak/>
        <w:t xml:space="preserve">section 63A(2) to return the vessel to a person and 1 of the following applies — </w:t>
      </w:r>
    </w:p>
    <w:p>
      <w:pPr>
        <w:pStyle w:val="Indenta"/>
      </w:pPr>
      <w:r>
        <w:tab/>
        <w:t>(a)</w:t>
      </w:r>
      <w:r>
        <w:tab/>
        <w:t>the chief executive officer has been unable to locate the person, despite making reasonable efforts;</w:t>
      </w:r>
    </w:p>
    <w:p>
      <w:pPr>
        <w:pStyle w:val="Indenta"/>
      </w:pPr>
      <w:r>
        <w:tab/>
        <w:t>(b)</w:t>
      </w:r>
      <w:r>
        <w:tab/>
        <w:t>the person has refused to take possession of the vessel;</w:t>
      </w:r>
    </w:p>
    <w:p>
      <w:pPr>
        <w:pStyle w:val="Indenta"/>
      </w:pPr>
      <w:r>
        <w:tab/>
        <w:t>(c)</w:t>
      </w:r>
      <w:r>
        <w:tab/>
        <w:t>the chief executive officer has contacted the person about the return of the vessel, and the person has not taken possession of the vessel within 3 months after being contacted or any longer period agreed to in writing by the chief executive officer.</w:t>
      </w:r>
    </w:p>
    <w:p>
      <w:pPr>
        <w:pStyle w:val="Subsection"/>
      </w:pPr>
      <w:r>
        <w:tab/>
        <w:t>(2)</w:t>
      </w:r>
      <w:r>
        <w:tab/>
        <w:t>This section applies to a detained vessel if the conditions specified in a notice given under section 61(4)(b) or 63(3)(a) in relation to the vessel have not been complied with within the period specified in the notice or any longer period agreed to in writing by the chief executive officer.</w:t>
      </w:r>
    </w:p>
    <w:p>
      <w:pPr>
        <w:pStyle w:val="Subsection"/>
      </w:pPr>
      <w:r>
        <w:tab/>
        <w:t>(3)</w:t>
      </w:r>
      <w:r>
        <w:tab/>
        <w:t xml:space="preserve">The chief executive officer may declare, by order published in the </w:t>
      </w:r>
      <w:r>
        <w:rPr>
          <w:i/>
        </w:rPr>
        <w:t>Gazette</w:t>
      </w:r>
      <w:r>
        <w:t>, that the vessel is forfeited to the State.</w:t>
      </w:r>
    </w:p>
    <w:p>
      <w:pPr>
        <w:pStyle w:val="Subsection"/>
      </w:pPr>
      <w:r>
        <w:tab/>
        <w:t>(4)</w:t>
      </w:r>
      <w:r>
        <w:tab/>
        <w:t>A vessel that is the subject of a declaration under subsection (3) is, subject to section 63C, forfeited to the State.</w:t>
      </w:r>
    </w:p>
    <w:p>
      <w:pPr>
        <w:pStyle w:val="Subsection"/>
      </w:pPr>
      <w:r>
        <w:tab/>
        <w:t>(5)</w:t>
      </w:r>
      <w:r>
        <w:tab/>
        <w:t xml:space="preserve">The </w:t>
      </w:r>
      <w:r>
        <w:rPr>
          <w:i/>
        </w:rPr>
        <w:t>Criminal and Found Property Disposal Act 2006</w:t>
      </w:r>
      <w:r>
        <w:t xml:space="preserve"> applies to the disposal of a vessel that is forfeited to the State under this section.</w:t>
      </w:r>
    </w:p>
    <w:p>
      <w:pPr>
        <w:pStyle w:val="PermNoteHeading"/>
      </w:pPr>
      <w:r>
        <w:tab/>
        <w:t>Note for this subsection:</w:t>
      </w:r>
    </w:p>
    <w:p>
      <w:pPr>
        <w:pStyle w:val="PermNoteText"/>
      </w:pPr>
      <w:r>
        <w:tab/>
      </w:r>
      <w:r>
        <w:tab/>
        <w:t xml:space="preserve">The Department is a prescribed agency for the purposes of the </w:t>
      </w:r>
      <w:r>
        <w:rPr>
          <w:i/>
        </w:rPr>
        <w:t>Criminal and Found Property Disposal Act 2006</w:t>
      </w:r>
      <w:r>
        <w:t>; see section 124F.</w:t>
      </w:r>
    </w:p>
    <w:p>
      <w:pPr>
        <w:pStyle w:val="Footnotesection"/>
      </w:pPr>
      <w:r>
        <w:tab/>
        <w:t>[Section 63B inserted: No. 24 of 2023 s. 49.]</w:t>
      </w:r>
    </w:p>
    <w:p>
      <w:pPr>
        <w:pStyle w:val="Heading5"/>
      </w:pPr>
      <w:bookmarkStart w:id="159" w:name="_Toc149055722"/>
      <w:bookmarkStart w:id="160" w:name="_Toc153887507"/>
      <w:r>
        <w:rPr>
          <w:rStyle w:val="CharSectno"/>
        </w:rPr>
        <w:t>63C</w:t>
      </w:r>
      <w:r>
        <w:t>.</w:t>
      </w:r>
      <w:r>
        <w:tab/>
        <w:t>SAT review of decision to detain vessel or forfeiture declaration</w:t>
      </w:r>
      <w:bookmarkEnd w:id="159"/>
      <w:bookmarkEnd w:id="160"/>
    </w:p>
    <w:p>
      <w:pPr>
        <w:pStyle w:val="Subsection"/>
      </w:pPr>
      <w:r>
        <w:tab/>
        <w:t>(1)</w:t>
      </w:r>
      <w:r>
        <w:tab/>
        <w:t xml:space="preserve">In this section — </w:t>
      </w:r>
    </w:p>
    <w:p>
      <w:pPr>
        <w:pStyle w:val="Defstart"/>
      </w:pPr>
      <w:r>
        <w:tab/>
      </w:r>
      <w:r>
        <w:rPr>
          <w:rStyle w:val="CharDefText"/>
        </w:rPr>
        <w:t>decision</w:t>
      </w:r>
      <w:r>
        <w:t xml:space="preserve"> means 1 of the following — </w:t>
      </w:r>
    </w:p>
    <w:p>
      <w:pPr>
        <w:pStyle w:val="Defpara"/>
      </w:pPr>
      <w:r>
        <w:tab/>
        <w:t>(a)</w:t>
      </w:r>
      <w:r>
        <w:tab/>
        <w:t>a decision under section 61(1) to detain a vessel;</w:t>
      </w:r>
    </w:p>
    <w:p>
      <w:pPr>
        <w:pStyle w:val="Defpara"/>
      </w:pPr>
      <w:r>
        <w:lastRenderedPageBreak/>
        <w:tab/>
        <w:t>(b)</w:t>
      </w:r>
      <w:r>
        <w:tab/>
        <w:t>a notice under section 61(4)(b) or 63(3)(a) given in relation to a vessel;</w:t>
      </w:r>
    </w:p>
    <w:p>
      <w:pPr>
        <w:pStyle w:val="Defpara"/>
      </w:pPr>
      <w:r>
        <w:tab/>
        <w:t>(c)</w:t>
      </w:r>
      <w:r>
        <w:tab/>
        <w:t>a declaration under section 63B(3) that a vessel is forfeited to the State.</w:t>
      </w:r>
    </w:p>
    <w:p>
      <w:pPr>
        <w:pStyle w:val="Subsection"/>
      </w:pPr>
      <w:r>
        <w:tab/>
        <w:t>(2)</w:t>
      </w:r>
      <w:r>
        <w:tab/>
        <w:t>A person aggrieved by a decision may apply to the State Administrative Tribunal for a review of the decision.</w:t>
      </w:r>
    </w:p>
    <w:p>
      <w:pPr>
        <w:pStyle w:val="Footnotesection"/>
      </w:pPr>
      <w:r>
        <w:tab/>
        <w:t>[Section 63C inserted: No. 24 of 2023 s. 49.]</w:t>
      </w:r>
    </w:p>
    <w:p>
      <w:pPr>
        <w:pStyle w:val="Heading5"/>
      </w:pPr>
      <w:bookmarkStart w:id="161" w:name="_Toc149055723"/>
      <w:bookmarkStart w:id="162" w:name="_Toc153887508"/>
      <w:r>
        <w:rPr>
          <w:rStyle w:val="CharSectno"/>
        </w:rPr>
        <w:t>64</w:t>
      </w:r>
      <w:r>
        <w:t>.</w:t>
      </w:r>
      <w:r>
        <w:tab/>
        <w:t>Marine incidents: terms used</w:t>
      </w:r>
      <w:bookmarkEnd w:id="161"/>
      <w:bookmarkEnd w:id="162"/>
    </w:p>
    <w:p>
      <w:pPr>
        <w:pStyle w:val="Subsection"/>
      </w:pPr>
      <w:r>
        <w:tab/>
      </w:r>
      <w:r>
        <w:tab/>
        <w:t>In this section and sections 64A, 64B and 64D —</w:t>
      </w:r>
    </w:p>
    <w:p>
      <w:pPr>
        <w:pStyle w:val="Defstart"/>
      </w:pPr>
      <w:r>
        <w:tab/>
      </w:r>
      <w:r>
        <w:rPr>
          <w:rStyle w:val="CharDefText"/>
        </w:rPr>
        <w:t>contact details</w:t>
      </w:r>
      <w:r>
        <w:t>, of a person, means the name and other prescribed details of the person;</w:t>
      </w:r>
    </w:p>
    <w:p>
      <w:pPr>
        <w:pStyle w:val="Defstart"/>
      </w:pPr>
      <w:r>
        <w:tab/>
      </w:r>
      <w:r>
        <w:rPr>
          <w:rStyle w:val="CharDefText"/>
        </w:rPr>
        <w:t>identification details</w:t>
      </w:r>
      <w:r>
        <w:t xml:space="preserve">, of a vessel, means each of the following, to the extent relevant — </w:t>
      </w:r>
    </w:p>
    <w:p>
      <w:pPr>
        <w:pStyle w:val="Defpara"/>
      </w:pPr>
      <w:r>
        <w:tab/>
        <w:t>(a)</w:t>
      </w:r>
      <w:r>
        <w:tab/>
        <w:t>the jurisdiction in which the vessel is registered;</w:t>
      </w:r>
    </w:p>
    <w:p>
      <w:pPr>
        <w:pStyle w:val="Defpara"/>
      </w:pPr>
      <w:r>
        <w:tab/>
        <w:t>(b)</w:t>
      </w:r>
      <w:r>
        <w:tab/>
        <w:t>the name of the vessel;</w:t>
      </w:r>
    </w:p>
    <w:p>
      <w:pPr>
        <w:pStyle w:val="Defpara"/>
      </w:pPr>
      <w:r>
        <w:tab/>
        <w:t>(c)</w:t>
      </w:r>
      <w:r>
        <w:tab/>
        <w:t>the registration number of the vessel;</w:t>
      </w:r>
    </w:p>
    <w:p>
      <w:pPr>
        <w:pStyle w:val="Defpara"/>
      </w:pPr>
      <w:r>
        <w:tab/>
        <w:t>(d)</w:t>
      </w:r>
      <w:r>
        <w:tab/>
        <w:t>the contact details of the owner of the vessel (if known);</w:t>
      </w:r>
    </w:p>
    <w:p>
      <w:pPr>
        <w:pStyle w:val="Defstart"/>
      </w:pPr>
      <w:r>
        <w:tab/>
      </w:r>
      <w:r>
        <w:rPr>
          <w:rStyle w:val="CharDefText"/>
        </w:rPr>
        <w:t>marine incident</w:t>
      </w:r>
      <w:r>
        <w:t xml:space="preserve"> has the meaning given by the definition of that term in the Scheduled Domestic Commercial Vessel National Law section 6, as if — </w:t>
      </w:r>
    </w:p>
    <w:p>
      <w:pPr>
        <w:pStyle w:val="Defpara"/>
      </w:pPr>
      <w:r>
        <w:tab/>
        <w:t>(a)</w:t>
      </w:r>
      <w:r>
        <w:tab/>
        <w:t>references in that definition to a domestic commercial vessel were references to a vessel; and</w:t>
      </w:r>
    </w:p>
    <w:p>
      <w:pPr>
        <w:pStyle w:val="Defpara"/>
      </w:pPr>
      <w:r>
        <w:tab/>
        <w:t>(b)</w:t>
      </w:r>
      <w:r>
        <w:tab/>
        <w:t>paragraph (i) of that definition were omitted.</w:t>
      </w:r>
    </w:p>
    <w:p>
      <w:pPr>
        <w:pStyle w:val="Footnotesection"/>
      </w:pPr>
      <w:r>
        <w:tab/>
        <w:t>[Section 64 inserted: No. 24 of 2023 s. 49; amended: No. 31 of 2023 s. 10.]</w:t>
      </w:r>
    </w:p>
    <w:p>
      <w:pPr>
        <w:pStyle w:val="Heading5"/>
      </w:pPr>
      <w:bookmarkStart w:id="163" w:name="_Toc149055724"/>
      <w:bookmarkStart w:id="164" w:name="_Toc153887509"/>
      <w:r>
        <w:rPr>
          <w:rStyle w:val="CharSectno"/>
        </w:rPr>
        <w:t>64A</w:t>
      </w:r>
      <w:r>
        <w:t>.</w:t>
      </w:r>
      <w:r>
        <w:tab/>
        <w:t>Marine incidents: duties</w:t>
      </w:r>
      <w:bookmarkEnd w:id="163"/>
      <w:bookmarkEnd w:id="164"/>
    </w:p>
    <w:p>
      <w:pPr>
        <w:pStyle w:val="Subsection"/>
      </w:pPr>
      <w:r>
        <w:tab/>
        <w:t>(1)</w:t>
      </w:r>
      <w:r>
        <w:tab/>
        <w:t xml:space="preserve">If a vessel is involved in a marine incident, the master of the vessel must do each of the following, to the extent that they can do so without endangering their vessel, crew or passengers (if any) — </w:t>
      </w:r>
    </w:p>
    <w:p>
      <w:pPr>
        <w:pStyle w:val="Indenta"/>
      </w:pPr>
      <w:r>
        <w:lastRenderedPageBreak/>
        <w:tab/>
        <w:t>(a)</w:t>
      </w:r>
      <w:r>
        <w:tab/>
        <w:t>stand by to render assistance to persons or other vessels involved in the incident until satisfied that there is no need or no further need to render assistance;</w:t>
      </w:r>
    </w:p>
    <w:p>
      <w:pPr>
        <w:pStyle w:val="Indenta"/>
      </w:pPr>
      <w:r>
        <w:tab/>
        <w:t>(b)</w:t>
      </w:r>
      <w:r>
        <w:tab/>
        <w:t xml:space="preserve">render assistance to persons and other vessels involved in the incident; </w:t>
      </w:r>
    </w:p>
    <w:p>
      <w:pPr>
        <w:pStyle w:val="Indenta"/>
      </w:pPr>
      <w:r>
        <w:tab/>
        <w:t>(c)</w:t>
      </w:r>
      <w:r>
        <w:tab/>
        <w:t xml:space="preserve">give to any person injured as a result of the incident, and to the master or owner of any other vessel involved in the incident — </w:t>
      </w:r>
    </w:p>
    <w:p>
      <w:pPr>
        <w:pStyle w:val="Indenti"/>
      </w:pPr>
      <w:r>
        <w:tab/>
        <w:t>(i)</w:t>
      </w:r>
      <w:r>
        <w:tab/>
        <w:t>the master’s contact details; and</w:t>
      </w:r>
    </w:p>
    <w:p>
      <w:pPr>
        <w:pStyle w:val="Indenti"/>
      </w:pPr>
      <w:r>
        <w:tab/>
        <w:t>(ii)</w:t>
      </w:r>
      <w:r>
        <w:tab/>
        <w:t>the identification details of their vessel.</w:t>
      </w:r>
    </w:p>
    <w:p>
      <w:pPr>
        <w:pStyle w:val="Subsection"/>
      </w:pPr>
      <w:r>
        <w:tab/>
        <w:t>(2)</w:t>
      </w:r>
      <w:r>
        <w:tab/>
        <w:t xml:space="preserve">The master of a vessel commits a crime if — </w:t>
      </w:r>
    </w:p>
    <w:p>
      <w:pPr>
        <w:pStyle w:val="Indenta"/>
      </w:pPr>
      <w:r>
        <w:tab/>
        <w:t>(a)</w:t>
      </w:r>
      <w:r>
        <w:tab/>
        <w:t>the vessel is involved in a marine incident that occasions the death of, or grievous bodily harm or bodily harm to, a person; and</w:t>
      </w:r>
    </w:p>
    <w:p>
      <w:pPr>
        <w:pStyle w:val="Indenta"/>
      </w:pPr>
      <w:r>
        <w:tab/>
        <w:t>(b)</w:t>
      </w:r>
      <w:r>
        <w:tab/>
        <w:t>the master, without reasonable excuse, fails to comply with subsection (1)(a) or (b) in relation to the incident.</w:t>
      </w:r>
    </w:p>
    <w:p>
      <w:pPr>
        <w:pStyle w:val="Penstart"/>
      </w:pPr>
      <w:r>
        <w:tab/>
        <w:t>Penalty for this subsection:</w:t>
      </w:r>
    </w:p>
    <w:p>
      <w:pPr>
        <w:pStyle w:val="Penpara"/>
      </w:pPr>
      <w:r>
        <w:tab/>
        <w:t>(a)</w:t>
      </w:r>
      <w:r>
        <w:tab/>
        <w:t xml:space="preserve">if the marine incident occasions the death of a person — imprisonment for 20 years; </w:t>
      </w:r>
    </w:p>
    <w:p>
      <w:pPr>
        <w:pStyle w:val="Penpara"/>
      </w:pPr>
      <w:r>
        <w:tab/>
        <w:t>(b)</w:t>
      </w:r>
      <w:r>
        <w:tab/>
        <w:t>if the marine incident occasions grievous bodily harm to a person — imprisonment for 14 years;</w:t>
      </w:r>
    </w:p>
    <w:p>
      <w:pPr>
        <w:pStyle w:val="Penpara"/>
      </w:pPr>
      <w:r>
        <w:tab/>
        <w:t>(c)</w:t>
      </w:r>
      <w:r>
        <w:tab/>
        <w:t>if the marine incident occasions bodily harm to a person — imprisonment for 10 years.</w:t>
      </w:r>
    </w:p>
    <w:p>
      <w:pPr>
        <w:pStyle w:val="Penstart"/>
      </w:pPr>
      <w:r>
        <w:tab/>
        <w:t>Summary conviction penalty for this subsection in a case in which the marine incident does not occasion the death of, or grievous bodily harm to, a person: imprisonment for 3 years.</w:t>
      </w:r>
    </w:p>
    <w:p>
      <w:pPr>
        <w:pStyle w:val="Subsection"/>
      </w:pPr>
      <w:r>
        <w:tab/>
        <w:t>(2A)</w:t>
      </w:r>
      <w:r>
        <w:tab/>
        <w:t xml:space="preserve">A court sentencing a person for an offence against subsection (2) must order that the person is disqualified from holding or obtaining a WA marine qualification as follows — </w:t>
      </w:r>
    </w:p>
    <w:p>
      <w:pPr>
        <w:pStyle w:val="Indenta"/>
      </w:pPr>
      <w:r>
        <w:lastRenderedPageBreak/>
        <w:tab/>
        <w:t>(a)</w:t>
      </w:r>
      <w:r>
        <w:tab/>
        <w:t>if the marine incident occasions the death of, or grievous bodily harm to, a person — for a period of not less than 2 years;</w:t>
      </w:r>
    </w:p>
    <w:p>
      <w:pPr>
        <w:pStyle w:val="Indenta"/>
      </w:pPr>
      <w:r>
        <w:tab/>
        <w:t>(b)</w:t>
      </w:r>
      <w:r>
        <w:tab/>
        <w:t>if the marine incident occasions bodily harm to a person — for a period of not less than 12 months.</w:t>
      </w:r>
    </w:p>
    <w:p>
      <w:pPr>
        <w:pStyle w:val="Subsection"/>
        <w:rPr>
          <w:highlight w:val="yellow"/>
        </w:rPr>
      </w:pPr>
      <w:r>
        <w:tab/>
        <w:t>(3)</w:t>
      </w:r>
      <w:r>
        <w:tab/>
        <w:t>The master of a vessel commits an offence if the master, without reasonable excuse, fails to comply with subsection (1)(a), (b) or (c).</w:t>
      </w:r>
    </w:p>
    <w:p>
      <w:pPr>
        <w:pStyle w:val="Penstart"/>
      </w:pPr>
      <w:r>
        <w:tab/>
        <w:t>Penalty for this subsection: a fine of $5 000.</w:t>
      </w:r>
    </w:p>
    <w:p>
      <w:pPr>
        <w:pStyle w:val="Subsection"/>
      </w:pPr>
      <w:r>
        <w:tab/>
        <w:t>(4)</w:t>
      </w:r>
      <w:r>
        <w:tab/>
        <w:t>For the purposes of this section, to render assistance to a person or vessel is to assist to the extent that the assistance is practicable and necessary to save the person or vessel from danger resulting from the incident.</w:t>
      </w:r>
    </w:p>
    <w:p>
      <w:pPr>
        <w:pStyle w:val="Footnotesection"/>
      </w:pPr>
      <w:r>
        <w:tab/>
        <w:t>[Section 64A inserted: No. 24 of 2023 s. 49; amended: No. 31 of 2023 s. 11.]</w:t>
      </w:r>
    </w:p>
    <w:p>
      <w:pPr>
        <w:pStyle w:val="Heading5"/>
      </w:pPr>
      <w:bookmarkStart w:id="165" w:name="_Toc149055725"/>
      <w:bookmarkStart w:id="166" w:name="_Toc153887510"/>
      <w:r>
        <w:rPr>
          <w:rStyle w:val="CharSectno"/>
        </w:rPr>
        <w:t>64B</w:t>
      </w:r>
      <w:r>
        <w:t>.</w:t>
      </w:r>
      <w:r>
        <w:tab/>
        <w:t>Marine incidents: reporting</w:t>
      </w:r>
      <w:bookmarkEnd w:id="165"/>
      <w:bookmarkEnd w:id="166"/>
    </w:p>
    <w:p>
      <w:pPr>
        <w:pStyle w:val="Subsection"/>
      </w:pPr>
      <w:r>
        <w:tab/>
        <w:t>(1)</w:t>
      </w:r>
      <w:r>
        <w:tab/>
        <w:t xml:space="preserve">This section applies if a </w:t>
      </w:r>
      <w:r>
        <w:rPr>
          <w:snapToGrid w:val="0"/>
        </w:rPr>
        <w:t>vessel is involved</w:t>
      </w:r>
      <w:r>
        <w:t xml:space="preserve"> in a marine incident and 1 or more of the following result — </w:t>
      </w:r>
    </w:p>
    <w:p>
      <w:pPr>
        <w:pStyle w:val="Indenta"/>
      </w:pPr>
      <w:r>
        <w:tab/>
        <w:t>(a)</w:t>
      </w:r>
      <w:r>
        <w:tab/>
        <w:t>a person is injured or dies;</w:t>
      </w:r>
    </w:p>
    <w:p>
      <w:pPr>
        <w:pStyle w:val="Indenta"/>
      </w:pPr>
      <w:r>
        <w:tab/>
        <w:t>(b)</w:t>
      </w:r>
      <w:r>
        <w:tab/>
        <w:t>the vessel sustains damage affecting its seaworthiness;</w:t>
      </w:r>
    </w:p>
    <w:p>
      <w:pPr>
        <w:pStyle w:val="Indenta"/>
      </w:pPr>
      <w:r>
        <w:tab/>
        <w:t>(c)</w:t>
      </w:r>
      <w:r>
        <w:tab/>
        <w:t>another vessel is lost or sustains damage affecting its seaworthiness.</w:t>
      </w:r>
    </w:p>
    <w:p>
      <w:pPr>
        <w:pStyle w:val="Subsection"/>
      </w:pPr>
      <w:r>
        <w:tab/>
        <w:t>(2)</w:t>
      </w:r>
      <w:r>
        <w:tab/>
        <w:t xml:space="preserve">The master and the owner of the vessel must, as soon as practicable after becoming aware of the incident, give a report (which need not be in writing) to the chief executive officer that includes each of the following — </w:t>
      </w:r>
    </w:p>
    <w:p>
      <w:pPr>
        <w:pStyle w:val="Indenta"/>
      </w:pPr>
      <w:r>
        <w:tab/>
        <w:t>(a)</w:t>
      </w:r>
      <w:r>
        <w:tab/>
        <w:t>particulars of the incident and its possible cause;</w:t>
      </w:r>
    </w:p>
    <w:p>
      <w:pPr>
        <w:pStyle w:val="Indenta"/>
      </w:pPr>
      <w:r>
        <w:tab/>
        <w:t>(b)</w:t>
      </w:r>
      <w:r>
        <w:tab/>
        <w:t>the contact details of the master and the owner;</w:t>
      </w:r>
    </w:p>
    <w:p>
      <w:pPr>
        <w:pStyle w:val="Indenta"/>
      </w:pPr>
      <w:r>
        <w:tab/>
        <w:t>(c)</w:t>
      </w:r>
      <w:r>
        <w:tab/>
        <w:t>the identification details of the vessel;</w:t>
      </w:r>
    </w:p>
    <w:p>
      <w:pPr>
        <w:pStyle w:val="Indenta"/>
      </w:pPr>
      <w:r>
        <w:tab/>
        <w:t>(d)</w:t>
      </w:r>
      <w:r>
        <w:tab/>
        <w:t>the present position of the vessel (where practicable);</w:t>
      </w:r>
    </w:p>
    <w:p>
      <w:pPr>
        <w:pStyle w:val="Indenta"/>
      </w:pPr>
      <w:r>
        <w:lastRenderedPageBreak/>
        <w:tab/>
        <w:t>(e)</w:t>
      </w:r>
      <w:r>
        <w:tab/>
        <w:t>details of the marine qualifications of the master.</w:t>
      </w:r>
    </w:p>
    <w:p>
      <w:pPr>
        <w:pStyle w:val="Subsection"/>
      </w:pPr>
      <w:r>
        <w:tab/>
        <w:t>(3)</w:t>
      </w:r>
      <w:r>
        <w:tab/>
        <w:t>However, if either of the master or owner of the vessel complies with subsection (2), the other need not comply with subsection (2).</w:t>
      </w:r>
    </w:p>
    <w:p>
      <w:pPr>
        <w:pStyle w:val="Subsection"/>
      </w:pPr>
      <w:r>
        <w:tab/>
        <w:t>(3A)</w:t>
      </w:r>
      <w:r>
        <w:tab/>
        <w:t>A person commits a crime if —</w:t>
      </w:r>
    </w:p>
    <w:p>
      <w:pPr>
        <w:pStyle w:val="Indenta"/>
      </w:pPr>
      <w:r>
        <w:tab/>
        <w:t>(a)</w:t>
      </w:r>
      <w:r>
        <w:tab/>
        <w:t>the person is the master or owner of a vessel; and</w:t>
      </w:r>
    </w:p>
    <w:p>
      <w:pPr>
        <w:pStyle w:val="Indenta"/>
      </w:pPr>
      <w:r>
        <w:tab/>
        <w:t>(b)</w:t>
      </w:r>
      <w:r>
        <w:tab/>
        <w:t>the vessel is involved in a marine incident that occasions the death of, or grievous bodily harm or bodily harm to, another person; and</w:t>
      </w:r>
    </w:p>
    <w:p>
      <w:pPr>
        <w:pStyle w:val="Indenta"/>
      </w:pPr>
      <w:r>
        <w:tab/>
        <w:t>(c)</w:t>
      </w:r>
      <w:r>
        <w:tab/>
        <w:t xml:space="preserve">the person, without reasonable excuse, fails to comply with subsection (2) in relation to the incident. </w:t>
      </w:r>
    </w:p>
    <w:p>
      <w:pPr>
        <w:pStyle w:val="Penstart"/>
      </w:pPr>
      <w:r>
        <w:tab/>
        <w:t>Penalty for this subsection:</w:t>
      </w:r>
    </w:p>
    <w:p>
      <w:pPr>
        <w:pStyle w:val="Penpara"/>
      </w:pPr>
      <w:r>
        <w:tab/>
        <w:t>(a)</w:t>
      </w:r>
      <w:r>
        <w:tab/>
        <w:t>if the marine incident occasions the death of, or grievous bodily harm to, a person — imprisonment for 10 years;</w:t>
      </w:r>
    </w:p>
    <w:p>
      <w:pPr>
        <w:pStyle w:val="Penpara"/>
      </w:pPr>
      <w:r>
        <w:tab/>
        <w:t>(b)</w:t>
      </w:r>
      <w:r>
        <w:tab/>
        <w:t>if the marine incident occasions bodily harm to a person — imprisonment for 12 months.</w:t>
      </w:r>
    </w:p>
    <w:p>
      <w:pPr>
        <w:pStyle w:val="Penstart"/>
      </w:pPr>
      <w:r>
        <w:tab/>
        <w:t>Summary conviction penalty for this subsection in a case in which the marine incident occasions the death of, or grievous bodily harm to, a person: imprisonment for 12 months.</w:t>
      </w:r>
    </w:p>
    <w:p>
      <w:pPr>
        <w:pStyle w:val="Subsection"/>
      </w:pPr>
      <w:r>
        <w:tab/>
        <w:t>(3B)</w:t>
      </w:r>
      <w:r>
        <w:tab/>
        <w:t>A court sentencing a person for an offence against subsection (3A) must order that the person is disqualified from holding or obtaining a WA marine qualification for a period of not less than 12 months.</w:t>
      </w:r>
    </w:p>
    <w:p>
      <w:pPr>
        <w:pStyle w:val="Subsection"/>
      </w:pPr>
      <w:r>
        <w:tab/>
        <w:t>(3C)</w:t>
      </w:r>
      <w:r>
        <w:tab/>
        <w:t xml:space="preserve">A person commits an offence if — </w:t>
      </w:r>
    </w:p>
    <w:p>
      <w:pPr>
        <w:pStyle w:val="Indenta"/>
      </w:pPr>
      <w:r>
        <w:tab/>
        <w:t>(a)</w:t>
      </w:r>
      <w:r>
        <w:tab/>
        <w:t>the person is the master or owner of a vessel; and</w:t>
      </w:r>
    </w:p>
    <w:p>
      <w:pPr>
        <w:pStyle w:val="Indenta"/>
      </w:pPr>
      <w:r>
        <w:tab/>
        <w:t>(b)</w:t>
      </w:r>
      <w:r>
        <w:tab/>
        <w:t>the person, without reasonable excuse, fails to comply with subsection (2).</w:t>
      </w:r>
    </w:p>
    <w:p>
      <w:pPr>
        <w:pStyle w:val="Penstart"/>
      </w:pPr>
      <w:r>
        <w:tab/>
        <w:t>Penalty for this subsection: a fine of $2 000.</w:t>
      </w:r>
    </w:p>
    <w:p>
      <w:pPr>
        <w:pStyle w:val="Subsection"/>
      </w:pPr>
      <w:r>
        <w:lastRenderedPageBreak/>
        <w:tab/>
        <w:t>(4)</w:t>
      </w:r>
      <w:r>
        <w:tab/>
        <w:t xml:space="preserve">The master and owner of the vessel must, within 72 hours after becoming aware of the incident, give a written report to the chief executive officer, in a form and manner approved by the chief executive officer, that — </w:t>
      </w:r>
    </w:p>
    <w:p>
      <w:pPr>
        <w:pStyle w:val="Indenta"/>
      </w:pPr>
      <w:r>
        <w:tab/>
        <w:t>(a)</w:t>
      </w:r>
      <w:r>
        <w:tab/>
        <w:t>contains all of the details referred to in subsection (2), and any other relevant details required by the form; and</w:t>
      </w:r>
    </w:p>
    <w:p>
      <w:pPr>
        <w:pStyle w:val="Indenta"/>
      </w:pPr>
      <w:r>
        <w:tab/>
        <w:t>(b)</w:t>
      </w:r>
      <w:r>
        <w:tab/>
        <w:t>confirms any report given under subsection (2).</w:t>
      </w:r>
    </w:p>
    <w:p>
      <w:pPr>
        <w:pStyle w:val="Penstart"/>
      </w:pPr>
      <w:r>
        <w:tab/>
        <w:t>Penalty for this subsection: a fine of $2 000.</w:t>
      </w:r>
    </w:p>
    <w:p>
      <w:pPr>
        <w:pStyle w:val="Subsection"/>
      </w:pPr>
      <w:r>
        <w:tab/>
        <w:t>(5)</w:t>
      </w:r>
      <w:r>
        <w:tab/>
        <w:t>However, if either of the master or owner of the vessel complies with subsection (4), the other need not comply with subsection (4).</w:t>
      </w:r>
    </w:p>
    <w:p>
      <w:pPr>
        <w:pStyle w:val="Footnotesection"/>
      </w:pPr>
      <w:r>
        <w:tab/>
        <w:t>[Section 64B inserted: No. 24 of 2023 s. 49; amended: No. 31 of 2023 s. 12.]</w:t>
      </w:r>
    </w:p>
    <w:p>
      <w:pPr>
        <w:pStyle w:val="Heading5"/>
      </w:pPr>
      <w:bookmarkStart w:id="167" w:name="_Toc149055726"/>
      <w:bookmarkStart w:id="168" w:name="_Toc153887511"/>
      <w:r>
        <w:rPr>
          <w:rStyle w:val="CharSectno"/>
        </w:rPr>
        <w:t>64C</w:t>
      </w:r>
      <w:r>
        <w:t>.</w:t>
      </w:r>
      <w:r>
        <w:tab/>
        <w:t>Marine incidents: preserving evidence</w:t>
      </w:r>
      <w:bookmarkEnd w:id="167"/>
      <w:bookmarkEnd w:id="168"/>
    </w:p>
    <w:p>
      <w:pPr>
        <w:pStyle w:val="Subsection"/>
      </w:pPr>
      <w:r>
        <w:tab/>
        <w:t>(1)</w:t>
      </w:r>
      <w:r>
        <w:tab/>
        <w:t>This section applies in relation to a vessel if section 64B applies in relation to the vessel.</w:t>
      </w:r>
    </w:p>
    <w:p>
      <w:pPr>
        <w:pStyle w:val="Subsection"/>
      </w:pPr>
      <w:r>
        <w:tab/>
        <w:t>(2)</w:t>
      </w:r>
      <w:r>
        <w:tab/>
        <w:t>The master of the vessel must take all reasonable steps to ensure the preservation of any material that may be relevant to an investigation of the incident.</w:t>
      </w:r>
    </w:p>
    <w:p>
      <w:pPr>
        <w:pStyle w:val="Penstart"/>
      </w:pPr>
      <w:r>
        <w:tab/>
        <w:t>Penalty for this subsection: a fine of $5 000.</w:t>
      </w:r>
    </w:p>
    <w:p>
      <w:pPr>
        <w:pStyle w:val="Subsection"/>
      </w:pPr>
      <w:r>
        <w:tab/>
        <w:t>(3)</w:t>
      </w:r>
      <w:r>
        <w:tab/>
        <w:t>The owner of the vessel must take all reasonable steps to ensure the preservation of any material that may be relevant to an investigation of the incident.</w:t>
      </w:r>
    </w:p>
    <w:p>
      <w:pPr>
        <w:pStyle w:val="Penstart"/>
      </w:pPr>
      <w:r>
        <w:tab/>
        <w:t>Penalty for this subsection: a fine of $5 000.</w:t>
      </w:r>
    </w:p>
    <w:p>
      <w:pPr>
        <w:pStyle w:val="Subsection"/>
      </w:pPr>
      <w:r>
        <w:tab/>
        <w:t>(4)</w:t>
      </w:r>
      <w:r>
        <w:tab/>
        <w:t>A person on board the vessel must not interfere with any material that may be relevant to an investigation of the incident.</w:t>
      </w:r>
    </w:p>
    <w:p>
      <w:pPr>
        <w:pStyle w:val="Penstart"/>
      </w:pPr>
      <w:r>
        <w:tab/>
        <w:t>Penalty for this subsection: a fine of $5 000.</w:t>
      </w:r>
    </w:p>
    <w:p>
      <w:pPr>
        <w:pStyle w:val="Footnotesection"/>
      </w:pPr>
      <w:r>
        <w:tab/>
        <w:t>[Section 64C inserted: No. 24 of 2023 s. 49.]</w:t>
      </w:r>
    </w:p>
    <w:p>
      <w:pPr>
        <w:pStyle w:val="Heading5"/>
      </w:pPr>
      <w:bookmarkStart w:id="169" w:name="_Toc153284527"/>
      <w:bookmarkStart w:id="170" w:name="_Toc153887512"/>
      <w:r>
        <w:rPr>
          <w:rStyle w:val="CharSectno"/>
        </w:rPr>
        <w:lastRenderedPageBreak/>
        <w:t>64D</w:t>
      </w:r>
      <w:r>
        <w:t>.</w:t>
      </w:r>
      <w:r>
        <w:tab/>
        <w:t>Marine incidents: power to require responsible person to give information</w:t>
      </w:r>
      <w:bookmarkEnd w:id="169"/>
      <w:bookmarkEnd w:id="170"/>
    </w:p>
    <w:p>
      <w:pPr>
        <w:pStyle w:val="Subsection"/>
      </w:pPr>
      <w:r>
        <w:tab/>
        <w:t>(1)</w:t>
      </w:r>
      <w:r>
        <w:tab/>
        <w:t>In this section —</w:t>
      </w:r>
    </w:p>
    <w:p>
      <w:pPr>
        <w:pStyle w:val="Defstart"/>
      </w:pPr>
      <w:r>
        <w:tab/>
      </w:r>
      <w:r>
        <w:rPr>
          <w:rStyle w:val="CharDefText"/>
        </w:rPr>
        <w:t>responsible person</w:t>
      </w:r>
      <w:r>
        <w:t>, in relation to a vessel, means —</w:t>
      </w:r>
    </w:p>
    <w:p>
      <w:pPr>
        <w:pStyle w:val="Defpara"/>
      </w:pPr>
      <w:r>
        <w:tab/>
        <w:t>(a)</w:t>
      </w:r>
      <w:r>
        <w:tab/>
        <w:t>the master or owner of the vessel; or</w:t>
      </w:r>
    </w:p>
    <w:p>
      <w:pPr>
        <w:pStyle w:val="Defpara"/>
      </w:pPr>
      <w:r>
        <w:tab/>
        <w:t>(b)</w:t>
      </w:r>
      <w:r>
        <w:tab/>
        <w:t>another person who appears to be in possession or control of the vessel.</w:t>
      </w:r>
    </w:p>
    <w:p>
      <w:pPr>
        <w:pStyle w:val="Subsection"/>
      </w:pPr>
      <w:r>
        <w:tab/>
        <w:t>(2)</w:t>
      </w:r>
      <w:r>
        <w:tab/>
        <w:t>This section applies if a vessel is involved in a marine incident.</w:t>
      </w:r>
    </w:p>
    <w:p>
      <w:pPr>
        <w:pStyle w:val="Subsection"/>
      </w:pPr>
      <w:r>
        <w:tab/>
        <w:t>(3)</w:t>
      </w:r>
      <w:r>
        <w:tab/>
        <w:t>An inspector or police officer may require a responsible person for the vessel to give the inspector or police officer any information that —</w:t>
      </w:r>
    </w:p>
    <w:p>
      <w:pPr>
        <w:pStyle w:val="Indenta"/>
      </w:pPr>
      <w:r>
        <w:tab/>
        <w:t>(a)</w:t>
      </w:r>
      <w:r>
        <w:tab/>
        <w:t xml:space="preserve">is in the responsible person’s power to give; and </w:t>
      </w:r>
    </w:p>
    <w:p>
      <w:pPr>
        <w:pStyle w:val="Indenta"/>
      </w:pPr>
      <w:r>
        <w:tab/>
        <w:t>(b)</w:t>
      </w:r>
      <w:r>
        <w:tab/>
        <w:t>may assist in identifying a person who was the master of the vessel, or operating or attempting to operate the vessel (as defined in section 75AA(1)), when the marine incident occurred.</w:t>
      </w:r>
    </w:p>
    <w:p>
      <w:pPr>
        <w:pStyle w:val="Subsection"/>
      </w:pPr>
      <w:r>
        <w:tab/>
        <w:t>(4)</w:t>
      </w:r>
      <w:r>
        <w:tab/>
        <w:t>A person who, without reasonable excuse, fails to comply with a requirement under subsection (3) commits an offence.</w:t>
      </w:r>
    </w:p>
    <w:p>
      <w:pPr>
        <w:pStyle w:val="Penstart"/>
      </w:pPr>
      <w:r>
        <w:tab/>
        <w:t>Penalty for this subsection:</w:t>
      </w:r>
    </w:p>
    <w:p>
      <w:pPr>
        <w:pStyle w:val="Penpara"/>
      </w:pPr>
      <w:r>
        <w:tab/>
        <w:t>(a)</w:t>
      </w:r>
      <w:r>
        <w:tab/>
        <w:t>if the marine incident occasions the death of, or grievous bodily harm or bodily harm to, a person — imprisonment for 12 months or a fine of $3 000;</w:t>
      </w:r>
    </w:p>
    <w:p>
      <w:pPr>
        <w:pStyle w:val="Penpara"/>
      </w:pPr>
      <w:r>
        <w:tab/>
        <w:t>(b)</w:t>
      </w:r>
      <w:r>
        <w:tab/>
        <w:t>otherwise — a fine of $3 000.</w:t>
      </w:r>
    </w:p>
    <w:p>
      <w:pPr>
        <w:pStyle w:val="Footnotesection"/>
      </w:pPr>
      <w:r>
        <w:tab/>
        <w:t>[Section 64D inserted: No. 31 of 2023 s. 13.]</w:t>
      </w:r>
    </w:p>
    <w:p>
      <w:pPr>
        <w:pStyle w:val="Heading5"/>
        <w:keepLines w:val="0"/>
        <w:rPr>
          <w:snapToGrid w:val="0"/>
        </w:rPr>
      </w:pPr>
      <w:bookmarkStart w:id="171" w:name="_Toc153887513"/>
      <w:r>
        <w:rPr>
          <w:rStyle w:val="CharSectno"/>
        </w:rPr>
        <w:t>65</w:t>
      </w:r>
      <w:r>
        <w:rPr>
          <w:snapToGrid w:val="0"/>
        </w:rPr>
        <w:t>.</w:t>
      </w:r>
      <w:r>
        <w:rPr>
          <w:snapToGrid w:val="0"/>
        </w:rPr>
        <w:tab/>
        <w:t>Mooring licences</w:t>
      </w:r>
      <w:bookmarkEnd w:id="171"/>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lastRenderedPageBreak/>
        <w:tab/>
        <w:t>(2)</w:t>
      </w:r>
      <w:r>
        <w:rPr>
          <w:snapToGrid w:val="0"/>
        </w:rPr>
        <w:tab/>
        <w:t>A licence may be granted under this section upon such terms and subject to such conditions as the Minister thinks fit.</w:t>
      </w:r>
    </w:p>
    <w:p>
      <w:pPr>
        <w:pStyle w:val="Heading5"/>
        <w:rPr>
          <w:snapToGrid w:val="0"/>
        </w:rPr>
      </w:pPr>
      <w:bookmarkStart w:id="172" w:name="_Toc153887514"/>
      <w:r>
        <w:rPr>
          <w:rStyle w:val="CharSectno"/>
        </w:rPr>
        <w:t>66</w:t>
      </w:r>
      <w:r>
        <w:rPr>
          <w:snapToGrid w:val="0"/>
        </w:rPr>
        <w:t>.</w:t>
      </w:r>
      <w:r>
        <w:rPr>
          <w:snapToGrid w:val="0"/>
        </w:rPr>
        <w:tab/>
      </w:r>
      <w:r>
        <w:t>Closure of waters</w:t>
      </w:r>
      <w:bookmarkEnd w:id="172"/>
    </w:p>
    <w:p>
      <w:pPr>
        <w:pStyle w:val="Subsection"/>
        <w:rPr>
          <w:snapToGrid w:val="0"/>
        </w:rPr>
      </w:pPr>
      <w:r>
        <w:rPr>
          <w:snapToGrid w:val="0"/>
        </w:rPr>
        <w:tab/>
        <w:t>(1)</w:t>
      </w:r>
      <w:r>
        <w:rPr>
          <w:snapToGrid w:val="0"/>
        </w:rPr>
        <w:tab/>
        <w:t xml:space="preserve">Where the chief executive officer is satisfied that for reasons of safety or by reason of an emergency it is expedient that any </w:t>
      </w:r>
      <w:r>
        <w:t>State</w:t>
      </w:r>
      <w:r>
        <w:rPr>
          <w:snapToGrid w:val="0"/>
        </w:rPr>
        <w:t xml:space="preserve"> waters should be closed to navigation or closed to navigation by vessels of a particular type or class, the chief executive officer may </w:t>
      </w:r>
      <w:r>
        <w:t>by order</w:t>
      </w:r>
      <w:r>
        <w:rPr>
          <w:snapToGrid w:val="0"/>
        </w:rPr>
        <w:t xml:space="preserve">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under subsection (1) —</w:t>
      </w:r>
    </w:p>
    <w:p>
      <w:pPr>
        <w:pStyle w:val="Indenta"/>
        <w:rPr>
          <w:snapToGrid w:val="0"/>
        </w:rPr>
      </w:pPr>
      <w:r>
        <w:rPr>
          <w:snapToGrid w:val="0"/>
        </w:rPr>
        <w:tab/>
        <w:t>(a)</w:t>
      </w:r>
      <w:r>
        <w:rPr>
          <w:snapToGrid w:val="0"/>
        </w:rPr>
        <w:tab/>
        <w:t xml:space="preserve">may be served on the </w:t>
      </w:r>
      <w:r>
        <w:t>master</w:t>
      </w:r>
      <w:r>
        <w:rPr>
          <w:snapToGrid w:val="0"/>
        </w:rPr>
        <w:t xml:space="preserve"> of a vessel; and</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 and</w:t>
      </w:r>
    </w:p>
    <w:p>
      <w:pPr>
        <w:pStyle w:val="Indenta"/>
        <w:rPr>
          <w:snapToGrid w:val="0"/>
        </w:rPr>
      </w:pPr>
      <w:r>
        <w:rPr>
          <w:snapToGrid w:val="0"/>
        </w:rPr>
        <w:tab/>
        <w:t>(c)</w:t>
      </w:r>
      <w:r>
        <w:rPr>
          <w:snapToGrid w:val="0"/>
        </w:rPr>
        <w:tab/>
        <w:t>may be varied, renewed or cancelled by subsequent order so made; and</w:t>
      </w:r>
    </w:p>
    <w:p>
      <w:pPr>
        <w:pStyle w:val="Indenta"/>
        <w:rPr>
          <w:snapToGrid w:val="0"/>
        </w:rPr>
      </w:pPr>
      <w:r>
        <w:rPr>
          <w:snapToGrid w:val="0"/>
        </w:rPr>
        <w:tab/>
        <w:t>(d)</w:t>
      </w:r>
      <w:r>
        <w:rPr>
          <w:snapToGrid w:val="0"/>
        </w:rPr>
        <w:tab/>
        <w:t xml:space="preserve">has effect and the force of law in relation to the waters therein specified on and from the time of the making of the order, or such other subsequent time as is specified in the order, and may be made so as to apply only to the period specified in the </w:t>
      </w:r>
      <w:r>
        <w:t>order</w:t>
      </w:r>
      <w:r>
        <w:rPr>
          <w:snapToGrid w:val="0"/>
        </w:rPr>
        <w:t xml:space="preserve"> or without specifying any such period; and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keepNext/>
        <w:rPr>
          <w:snapToGrid w:val="0"/>
        </w:rPr>
      </w:pPr>
      <w:r>
        <w:rPr>
          <w:snapToGrid w:val="0"/>
        </w:rPr>
        <w:lastRenderedPageBreak/>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r>
      <w:r>
        <w:t>knowingly navigates a</w:t>
      </w:r>
      <w:r>
        <w:rPr>
          <w:snapToGrid w:val="0"/>
        </w:rPr>
        <w:t xml:space="preserve">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for this subsection: a fine of $5 000.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Ednotesubsection"/>
      </w:pPr>
      <w:r>
        <w:tab/>
        <w:t>[(5)</w:t>
      </w:r>
      <w:r>
        <w:tab/>
        <w:t>deleted]</w:t>
      </w:r>
    </w:p>
    <w:p>
      <w:pPr>
        <w:pStyle w:val="Footnotesection"/>
      </w:pPr>
      <w:r>
        <w:tab/>
        <w:t>[Section 66 amended: No. 35 of 1990 s. 13 and 21; No. 78 of 1995 s. 137; No. 24 of 2023 s. 50.]</w:t>
      </w:r>
    </w:p>
    <w:p>
      <w:pPr>
        <w:pStyle w:val="Heading5"/>
        <w:rPr>
          <w:snapToGrid w:val="0"/>
        </w:rPr>
      </w:pPr>
      <w:bookmarkStart w:id="173" w:name="_Toc153887515"/>
      <w:r>
        <w:rPr>
          <w:rStyle w:val="CharSectno"/>
        </w:rPr>
        <w:t>67</w:t>
      </w:r>
      <w:r>
        <w:rPr>
          <w:snapToGrid w:val="0"/>
        </w:rPr>
        <w:t>.</w:t>
      </w:r>
      <w:r>
        <w:rPr>
          <w:snapToGrid w:val="0"/>
        </w:rPr>
        <w:tab/>
        <w:t>Limiting speed of vessels</w:t>
      </w:r>
      <w:bookmarkEnd w:id="173"/>
    </w:p>
    <w:p>
      <w:pPr>
        <w:pStyle w:val="Subsection"/>
        <w:rPr>
          <w:snapToGrid w:val="0"/>
        </w:rPr>
      </w:pPr>
      <w:r>
        <w:rPr>
          <w:snapToGrid w:val="0"/>
        </w:rPr>
        <w:tab/>
        <w:t>(1)</w:t>
      </w:r>
      <w:r>
        <w:rPr>
          <w:snapToGrid w:val="0"/>
        </w:rPr>
        <w:tab/>
        <w:t xml:space="preserve">The chief executive officer may by </w:t>
      </w:r>
      <w:r>
        <w:t>order</w:t>
      </w:r>
      <w:r>
        <w:rPr>
          <w:snapToGrid w:val="0"/>
        </w:rPr>
        <w:t xml:space="preserve"> published in the </w:t>
      </w:r>
      <w:r>
        <w:rPr>
          <w:i/>
          <w:snapToGrid w:val="0"/>
        </w:rPr>
        <w:t>Gazette</w:t>
      </w:r>
      <w:r>
        <w:rPr>
          <w:snapToGrid w:val="0"/>
        </w:rPr>
        <w:t xml:space="preserve"> limit the speed at which vessels may be navigated in any </w:t>
      </w:r>
      <w:r>
        <w:t>State</w:t>
      </w:r>
      <w:r>
        <w:rPr>
          <w:snapToGrid w:val="0"/>
        </w:rPr>
        <w:t xml:space="preserve"> waters specified in the </w:t>
      </w:r>
      <w:r>
        <w:t>order.</w:t>
      </w:r>
    </w:p>
    <w:p>
      <w:pPr>
        <w:pStyle w:val="Subsection"/>
        <w:rPr>
          <w:snapToGrid w:val="0"/>
        </w:rPr>
      </w:pPr>
      <w:r>
        <w:rPr>
          <w:snapToGrid w:val="0"/>
        </w:rPr>
        <w:tab/>
        <w:t>(2)</w:t>
      </w:r>
      <w:r>
        <w:rPr>
          <w:snapToGrid w:val="0"/>
        </w:rPr>
        <w:tab/>
      </w:r>
      <w:r>
        <w:t>An order</w:t>
      </w:r>
      <w:r>
        <w:rPr>
          <w:snapToGrid w:val="0"/>
        </w:rPr>
        <w:t xml:space="preserve"> published under subsection (1) 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apply to vessels generally or to a particular vessel or class of vessels; and</w:t>
      </w:r>
    </w:p>
    <w:p>
      <w:pPr>
        <w:pStyle w:val="Indenta"/>
        <w:rPr>
          <w:snapToGrid w:val="0"/>
        </w:rPr>
      </w:pPr>
      <w:r>
        <w:rPr>
          <w:snapToGrid w:val="0"/>
        </w:rPr>
        <w:tab/>
        <w:t>(c)</w:t>
      </w:r>
      <w:r>
        <w:rPr>
          <w:snapToGrid w:val="0"/>
        </w:rPr>
        <w:tab/>
        <w:t xml:space="preserve">be of general application or may apply only in relation to the time, place and circumstances specified in the </w:t>
      </w:r>
      <w:r>
        <w:t>order; and</w:t>
      </w:r>
    </w:p>
    <w:p>
      <w:pPr>
        <w:pStyle w:val="Indenta"/>
        <w:rPr>
          <w:snapToGrid w:val="0"/>
        </w:rPr>
      </w:pPr>
      <w:r>
        <w:rPr>
          <w:snapToGrid w:val="0"/>
        </w:rPr>
        <w:tab/>
        <w:t>(d)</w:t>
      </w:r>
      <w:r>
        <w:rPr>
          <w:snapToGrid w:val="0"/>
        </w:rPr>
        <w:tab/>
        <w:t xml:space="preserve">be varied or cancelled by a further </w:t>
      </w:r>
      <w:r>
        <w:t>order</w:t>
      </w:r>
      <w:r>
        <w:rPr>
          <w:snapToGrid w:val="0"/>
        </w:rPr>
        <w:t xml:space="preserve"> published in the </w:t>
      </w:r>
      <w:r>
        <w:rPr>
          <w:i/>
          <w:snapToGrid w:val="0"/>
        </w:rPr>
        <w:t>Gazette</w:t>
      </w:r>
      <w:r>
        <w:rPr>
          <w:snapToGrid w:val="0"/>
        </w:rPr>
        <w:t>.</w:t>
      </w:r>
    </w:p>
    <w:p>
      <w:pPr>
        <w:pStyle w:val="Subsection"/>
        <w:rPr>
          <w:snapToGrid w:val="0"/>
        </w:rPr>
      </w:pPr>
      <w:r>
        <w:rPr>
          <w:snapToGrid w:val="0"/>
        </w:rPr>
        <w:lastRenderedPageBreak/>
        <w:tab/>
        <w:t>(3)</w:t>
      </w:r>
      <w:r>
        <w:rPr>
          <w:snapToGrid w:val="0"/>
        </w:rPr>
        <w:tab/>
        <w:t xml:space="preserve">A person who causes, permits or suffers a vessel to be navigated contrary to </w:t>
      </w:r>
      <w:r>
        <w:t>an order</w:t>
      </w:r>
      <w:r>
        <w:rPr>
          <w:snapToGrid w:val="0"/>
        </w:rPr>
        <w:t xml:space="preserve"> published under this section commits an offence.</w:t>
      </w:r>
    </w:p>
    <w:p>
      <w:pPr>
        <w:pStyle w:val="Penstart"/>
        <w:rPr>
          <w:snapToGrid w:val="0"/>
        </w:rPr>
      </w:pPr>
      <w:r>
        <w:rPr>
          <w:snapToGrid w:val="0"/>
        </w:rPr>
        <w:tab/>
      </w:r>
      <w:r>
        <w:t>Penalty for this subsection: a fine of $2 000.</w:t>
      </w:r>
    </w:p>
    <w:p>
      <w:pPr>
        <w:pStyle w:val="Footnotesection"/>
      </w:pPr>
      <w:r>
        <w:tab/>
        <w:t>[Section 67 amended: No. 35 of 1990 s. 21; No. 24 of 2023 s. 51.]</w:t>
      </w:r>
    </w:p>
    <w:p>
      <w:pPr>
        <w:pStyle w:val="Heading5"/>
        <w:rPr>
          <w:snapToGrid w:val="0"/>
        </w:rPr>
      </w:pPr>
      <w:bookmarkStart w:id="174" w:name="_Toc153887516"/>
      <w:r>
        <w:rPr>
          <w:rStyle w:val="CharSectno"/>
        </w:rPr>
        <w:t>68</w:t>
      </w:r>
      <w:r>
        <w:rPr>
          <w:snapToGrid w:val="0"/>
        </w:rPr>
        <w:t>.</w:t>
      </w:r>
      <w:r>
        <w:rPr>
          <w:snapToGrid w:val="0"/>
        </w:rPr>
        <w:tab/>
        <w:t>Speed measuring equipment</w:t>
      </w:r>
      <w:bookmarkEnd w:id="17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pPr>
      <w:bookmarkStart w:id="175" w:name="_Toc149055730"/>
      <w:bookmarkStart w:id="176" w:name="_Toc153887517"/>
      <w:r>
        <w:rPr>
          <w:rStyle w:val="CharSectno"/>
        </w:rPr>
        <w:lastRenderedPageBreak/>
        <w:t>69</w:t>
      </w:r>
      <w:r>
        <w:t>.</w:t>
      </w:r>
      <w:r>
        <w:tab/>
        <w:t>Offences relating to hatches</w:t>
      </w:r>
      <w:bookmarkEnd w:id="175"/>
      <w:bookmarkEnd w:id="176"/>
    </w:p>
    <w:p>
      <w:pPr>
        <w:pStyle w:val="Subsection"/>
        <w:rPr>
          <w:snapToGrid w:val="0"/>
        </w:rPr>
      </w:pPr>
      <w:r>
        <w:rPr>
          <w:snapToGrid w:val="0"/>
        </w:rPr>
        <w:tab/>
      </w:r>
      <w:r>
        <w:rPr>
          <w:snapToGrid w:val="0"/>
        </w:rPr>
        <w:tab/>
        <w:t xml:space="preserve">The master of a pleasure vessel or a prescribed vessel that departs from or arrives at any port in the State with the hatches of the </w:t>
      </w:r>
      <w:r>
        <w:t>vessel</w:t>
      </w:r>
      <w:r>
        <w:rPr>
          <w:snapToGrid w:val="0"/>
        </w:rPr>
        <w:t xml:space="preserve"> not properly battened down and secured, or not in a position and condition that they can be battened down and secured without delay, is guilty of an offence.</w:t>
      </w:r>
    </w:p>
    <w:p>
      <w:pPr>
        <w:pStyle w:val="Penstart"/>
      </w:pPr>
      <w:r>
        <w:tab/>
        <w:t>Penalty: a fine of $2 000.</w:t>
      </w:r>
    </w:p>
    <w:p>
      <w:pPr>
        <w:pStyle w:val="Footnotesection"/>
      </w:pPr>
      <w:r>
        <w:tab/>
        <w:t>[Section 69 inserted: No. 24 of 2023 s. 52.]</w:t>
      </w:r>
    </w:p>
    <w:p>
      <w:pPr>
        <w:pStyle w:val="Heading5"/>
        <w:rPr>
          <w:snapToGrid w:val="0"/>
        </w:rPr>
      </w:pPr>
      <w:bookmarkStart w:id="177" w:name="_Toc153887518"/>
      <w:r>
        <w:rPr>
          <w:rStyle w:val="CharSectno"/>
        </w:rPr>
        <w:t>70</w:t>
      </w:r>
      <w:r>
        <w:rPr>
          <w:snapToGrid w:val="0"/>
        </w:rPr>
        <w:t>.</w:t>
      </w:r>
      <w:r>
        <w:rPr>
          <w:snapToGrid w:val="0"/>
        </w:rPr>
        <w:tab/>
      </w:r>
      <w:r>
        <w:t>Offence of being on board vessel unlawfully</w:t>
      </w:r>
      <w:bookmarkEnd w:id="177"/>
    </w:p>
    <w:p>
      <w:pPr>
        <w:pStyle w:val="Subsection"/>
        <w:spacing w:before="120"/>
        <w:rPr>
          <w:snapToGrid w:val="0"/>
        </w:rPr>
      </w:pPr>
      <w:r>
        <w:rPr>
          <w:snapToGrid w:val="0"/>
        </w:rPr>
        <w:tab/>
        <w:t>(1)</w:t>
      </w:r>
      <w:r>
        <w:rPr>
          <w:snapToGrid w:val="0"/>
        </w:rPr>
        <w:tab/>
      </w:r>
      <w:r>
        <w:t>A person (other than an inspector or authorised person) must not,</w:t>
      </w:r>
      <w:r>
        <w:rPr>
          <w:snapToGrid w:val="0"/>
        </w:rPr>
        <w:t xml:space="preserve"> without reasonable excuse or the permission of the master </w:t>
      </w:r>
      <w:r>
        <w:t>of a vessel, board or remain alongside the vessel</w:t>
      </w:r>
      <w:r>
        <w:rPr>
          <w:snapToGrid w:val="0"/>
        </w:rPr>
        <w:t xml:space="preserve"> in any port during the night.</w:t>
      </w:r>
    </w:p>
    <w:p>
      <w:pPr>
        <w:pStyle w:val="Penstart"/>
        <w:rPr>
          <w:snapToGrid w:val="0"/>
        </w:rPr>
      </w:pPr>
      <w:r>
        <w:rPr>
          <w:snapToGrid w:val="0"/>
        </w:rPr>
        <w:tab/>
      </w:r>
      <w:r>
        <w:t>Penalty for this subsection: a fine of $500.</w:t>
      </w:r>
    </w:p>
    <w:p>
      <w:pPr>
        <w:pStyle w:val="Subsection"/>
        <w:spacing w:before="120"/>
        <w:rPr>
          <w:snapToGrid w:val="0"/>
        </w:rPr>
      </w:pPr>
      <w:r>
        <w:rPr>
          <w:snapToGrid w:val="0"/>
        </w:rPr>
        <w:tab/>
        <w:t>(2)</w:t>
      </w:r>
      <w:r>
        <w:rPr>
          <w:snapToGrid w:val="0"/>
        </w:rPr>
        <w:tab/>
        <w:t xml:space="preserve">The master or a </w:t>
      </w:r>
      <w:r>
        <w:t>police officer</w:t>
      </w:r>
      <w:r>
        <w:rPr>
          <w:snapToGrid w:val="0"/>
        </w:rPr>
        <w:t xml:space="preserve"> may apprehend and detain any person found to be offending against subsection (1) and a person so detained </w:t>
      </w:r>
      <w:r>
        <w:t>must</w:t>
      </w:r>
      <w:r>
        <w:rPr>
          <w:snapToGrid w:val="0"/>
        </w:rPr>
        <w:t xml:space="preserve"> be brought before a court as soon as practicable.</w:t>
      </w:r>
    </w:p>
    <w:p>
      <w:pPr>
        <w:pStyle w:val="Footnotesection"/>
        <w:spacing w:before="100"/>
        <w:ind w:left="890" w:hanging="890"/>
      </w:pPr>
      <w:r>
        <w:tab/>
        <w:t>[Section 70 amended: No. 35 of 1990 s. 21; No. 24 of 2023 s. 53.]</w:t>
      </w:r>
    </w:p>
    <w:p>
      <w:pPr>
        <w:pStyle w:val="Heading5"/>
        <w:spacing w:before="200"/>
        <w:rPr>
          <w:snapToGrid w:val="0"/>
        </w:rPr>
      </w:pPr>
      <w:bookmarkStart w:id="178" w:name="_Toc153887519"/>
      <w:r>
        <w:rPr>
          <w:rStyle w:val="CharSectno"/>
        </w:rPr>
        <w:t>71</w:t>
      </w:r>
      <w:r>
        <w:rPr>
          <w:snapToGrid w:val="0"/>
        </w:rPr>
        <w:t>.</w:t>
      </w:r>
      <w:r>
        <w:rPr>
          <w:snapToGrid w:val="0"/>
        </w:rPr>
        <w:tab/>
        <w:t>Removal of vessels constituting hazards or obstructions</w:t>
      </w:r>
      <w:bookmarkEnd w:id="178"/>
    </w:p>
    <w:p>
      <w:pPr>
        <w:pStyle w:val="Subsection"/>
        <w:spacing w:before="120"/>
        <w:rPr>
          <w:snapToGrid w:val="0"/>
        </w:rPr>
      </w:pPr>
      <w:r>
        <w:rPr>
          <w:snapToGrid w:val="0"/>
        </w:rPr>
        <w:tab/>
        <w:t>(1)</w:t>
      </w:r>
      <w:r>
        <w:rPr>
          <w:snapToGrid w:val="0"/>
        </w:rPr>
        <w:tab/>
        <w:t xml:space="preserve">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within such period, being not </w:t>
      </w:r>
      <w:r>
        <w:rPr>
          <w:snapToGrid w:val="0"/>
        </w:rPr>
        <w:lastRenderedPageBreak/>
        <w:t>less than 7 days after the date of service or publication of that notice, as is specified in that notice from all navigable waters or to a place specified in that notice.</w:t>
      </w:r>
    </w:p>
    <w:p>
      <w:pPr>
        <w:pStyle w:val="Subsection"/>
        <w:spacing w:before="120"/>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spacing w:before="120"/>
      </w:pPr>
      <w:r>
        <w:tab/>
        <w:t>(3)</w:t>
      </w:r>
      <w:r>
        <w:tab/>
        <w:t>The cost of removal under subsection (2) is a debt due to the Crown and a first charge in priority to all other claims on the navigational hazard.</w:t>
      </w:r>
    </w:p>
    <w:p>
      <w:pPr>
        <w:pStyle w:val="Subsection"/>
      </w:pPr>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p>
    <w:p>
      <w:pPr>
        <w:pStyle w:val="Subsection"/>
      </w:pPr>
      <w:r>
        <w:tab/>
        <w:t>(4B)</w:t>
      </w:r>
      <w:r>
        <w:tab/>
        <w:t xml:space="preserve">The chief executive officer may recover the cost of removal under subsection (2) by — </w:t>
      </w:r>
    </w:p>
    <w:p>
      <w:pPr>
        <w:pStyle w:val="Indenta"/>
      </w:pPr>
      <w:r>
        <w:tab/>
        <w:t>(a)</w:t>
      </w:r>
      <w:r>
        <w:tab/>
        <w:t>action in a court of competent jurisdiction against the owner of the navigational hazard; or</w:t>
      </w:r>
    </w:p>
    <w:p>
      <w:pPr>
        <w:pStyle w:val="Indenta"/>
      </w:pPr>
      <w:r>
        <w:tab/>
        <w:t>(b)</w:t>
      </w:r>
      <w:r>
        <w:tab/>
        <w:t>selling or causing to be sold the navigational hazard.</w:t>
      </w:r>
    </w:p>
    <w:p>
      <w:pPr>
        <w:pStyle w:val="Subsection"/>
      </w:pPr>
      <w:r>
        <w:tab/>
        <w:t>(4C)</w:t>
      </w:r>
      <w:r>
        <w:tab/>
        <w:t>If under subsection (4B)(b) any navigational hazard is sold in good faith to a person and the person takes the property in good faith, the person receives good title to the navigational hazard against every other person including its true owner.</w:t>
      </w:r>
    </w:p>
    <w:p>
      <w:pPr>
        <w:pStyle w:val="Subsection"/>
        <w:rPr>
          <w:snapToGrid w:val="0"/>
        </w:rPr>
      </w:pPr>
      <w:r>
        <w:rPr>
          <w:snapToGrid w:val="0"/>
        </w:rPr>
        <w:tab/>
        <w:t>(4)</w:t>
      </w:r>
      <w:r>
        <w:rPr>
          <w:snapToGrid w:val="0"/>
        </w:rPr>
        <w:tab/>
        <w:t xml:space="preserve">The proceeds of a sale referred to in </w:t>
      </w:r>
      <w:r>
        <w:t xml:space="preserve">subsection (4B)(b) </w:t>
      </w:r>
      <w:r>
        <w:rPr>
          <w:snapToGrid w:val="0"/>
        </w:rPr>
        <w:t>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 xml:space="preserve">and the balance, if any, of those proceeds shall he paid to the owner of the navigational hazard or, if the identity or whereabouts, or both, of that owner cannot be ascertained after </w:t>
      </w:r>
      <w:r>
        <w:rPr>
          <w:snapToGrid w:val="0"/>
        </w:rPr>
        <w:lastRenderedPageBreak/>
        <w:t>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No. 35 of 1990 s. 21; No. 6 of 1993 s. 11; No. 49 of 1996 s. 64; No. 77 of 2006 s. 4; No. 42 of 2011 s. 112.]</w:t>
      </w:r>
    </w:p>
    <w:p>
      <w:pPr>
        <w:pStyle w:val="Heading5"/>
        <w:rPr>
          <w:snapToGrid w:val="0"/>
        </w:rPr>
      </w:pPr>
      <w:bookmarkStart w:id="179" w:name="_Toc153887520"/>
      <w:r>
        <w:rPr>
          <w:rStyle w:val="CharSectno"/>
        </w:rPr>
        <w:t>72</w:t>
      </w:r>
      <w:r>
        <w:rPr>
          <w:snapToGrid w:val="0"/>
        </w:rPr>
        <w:t>.</w:t>
      </w:r>
      <w:r>
        <w:rPr>
          <w:snapToGrid w:val="0"/>
        </w:rPr>
        <w:tab/>
        <w:t>Offences in relation to disorderly persons on passenger ships</w:t>
      </w:r>
      <w:bookmarkEnd w:id="17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 or</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 or</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 or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 or</w:t>
      </w:r>
    </w:p>
    <w:p>
      <w:pPr>
        <w:pStyle w:val="Indenta"/>
        <w:rPr>
          <w:snapToGrid w:val="0"/>
        </w:rPr>
      </w:pPr>
      <w:r>
        <w:rPr>
          <w:snapToGrid w:val="0"/>
        </w:rPr>
        <w:lastRenderedPageBreak/>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 or</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 or</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 or</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 or</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180" w:name="_Toc153887521"/>
      <w:r>
        <w:rPr>
          <w:rStyle w:val="CharSectno"/>
        </w:rPr>
        <w:lastRenderedPageBreak/>
        <w:t>73</w:t>
      </w:r>
      <w:r>
        <w:rPr>
          <w:snapToGrid w:val="0"/>
        </w:rPr>
        <w:t>.</w:t>
      </w:r>
      <w:r>
        <w:rPr>
          <w:snapToGrid w:val="0"/>
        </w:rPr>
        <w:tab/>
        <w:t>Offences in relation to interference with machinery or obstruction of crew</w:t>
      </w:r>
      <w:bookmarkEnd w:id="180"/>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181" w:name="_Toc153887522"/>
      <w:r>
        <w:rPr>
          <w:rStyle w:val="CharSectno"/>
        </w:rPr>
        <w:t>74</w:t>
      </w:r>
      <w:r>
        <w:rPr>
          <w:snapToGrid w:val="0"/>
        </w:rPr>
        <w:t>.</w:t>
      </w:r>
      <w:r>
        <w:rPr>
          <w:snapToGrid w:val="0"/>
        </w:rPr>
        <w:tab/>
        <w:t>Penalty for refusing to give name and address etc.</w:t>
      </w:r>
      <w:bookmarkEnd w:id="181"/>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182" w:name="_Toc153887523"/>
      <w:r>
        <w:rPr>
          <w:rStyle w:val="CharSectno"/>
        </w:rPr>
        <w:t>75</w:t>
      </w:r>
      <w:r>
        <w:rPr>
          <w:snapToGrid w:val="0"/>
        </w:rPr>
        <w:t>.</w:t>
      </w:r>
      <w:r>
        <w:rPr>
          <w:snapToGrid w:val="0"/>
        </w:rPr>
        <w:tab/>
        <w:t>Arrest of offenders on passenger ships</w:t>
      </w:r>
      <w:bookmarkEnd w:id="182"/>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183" w:name="_Toc153284047"/>
      <w:bookmarkStart w:id="184" w:name="_Toc153284288"/>
      <w:bookmarkStart w:id="185" w:name="_Toc153284529"/>
      <w:bookmarkStart w:id="186" w:name="_Toc153544773"/>
      <w:bookmarkStart w:id="187" w:name="_Toc153796376"/>
      <w:bookmarkStart w:id="188" w:name="_Toc153887524"/>
      <w:r>
        <w:rPr>
          <w:rStyle w:val="CharPartNo"/>
        </w:rPr>
        <w:lastRenderedPageBreak/>
        <w:t>Part 3A</w:t>
      </w:r>
      <w:r>
        <w:rPr>
          <w:b w:val="0"/>
        </w:rPr>
        <w:t> </w:t>
      </w:r>
      <w:r>
        <w:t>—</w:t>
      </w:r>
      <w:r>
        <w:rPr>
          <w:b w:val="0"/>
        </w:rPr>
        <w:t> </w:t>
      </w:r>
      <w:r>
        <w:rPr>
          <w:rStyle w:val="CharPartText"/>
        </w:rPr>
        <w:t>Safe navigation of vessels, and alcohol and drug related offences</w:t>
      </w:r>
      <w:bookmarkEnd w:id="183"/>
      <w:bookmarkEnd w:id="184"/>
      <w:bookmarkEnd w:id="185"/>
      <w:bookmarkEnd w:id="186"/>
      <w:bookmarkEnd w:id="187"/>
      <w:bookmarkEnd w:id="188"/>
    </w:p>
    <w:p>
      <w:pPr>
        <w:pStyle w:val="Footnoteheading"/>
      </w:pPr>
      <w:r>
        <w:tab/>
        <w:t>[Heading inserted: No. 31 of 2023 s. 14(1).]</w:t>
      </w:r>
    </w:p>
    <w:p>
      <w:pPr>
        <w:pStyle w:val="Heading3"/>
      </w:pPr>
      <w:bookmarkStart w:id="189" w:name="_Toc153284048"/>
      <w:bookmarkStart w:id="190" w:name="_Toc153284289"/>
      <w:bookmarkStart w:id="191" w:name="_Toc153284530"/>
      <w:bookmarkStart w:id="192" w:name="_Toc153544774"/>
      <w:bookmarkStart w:id="193" w:name="_Toc153796377"/>
      <w:bookmarkStart w:id="194" w:name="_Toc153887525"/>
      <w:r>
        <w:rPr>
          <w:rStyle w:val="CharDivNo"/>
        </w:rPr>
        <w:t>Division 1</w:t>
      </w:r>
      <w:r>
        <w:t> — </w:t>
      </w:r>
      <w:r>
        <w:rPr>
          <w:rStyle w:val="CharDivText"/>
        </w:rPr>
        <w:t>Preliminary</w:t>
      </w:r>
      <w:bookmarkEnd w:id="189"/>
      <w:bookmarkEnd w:id="190"/>
      <w:bookmarkEnd w:id="191"/>
      <w:bookmarkEnd w:id="192"/>
      <w:bookmarkEnd w:id="193"/>
      <w:bookmarkEnd w:id="194"/>
    </w:p>
    <w:p>
      <w:pPr>
        <w:pStyle w:val="Footnoteheading"/>
      </w:pPr>
      <w:bookmarkStart w:id="195" w:name="_Toc153284531"/>
      <w:r>
        <w:tab/>
        <w:t>[Heading inserted: No. 31 of 2023 s. 14(1).]</w:t>
      </w:r>
    </w:p>
    <w:p>
      <w:pPr>
        <w:pStyle w:val="Heading5"/>
      </w:pPr>
      <w:bookmarkStart w:id="196" w:name="_Toc153887526"/>
      <w:r>
        <w:rPr>
          <w:rStyle w:val="CharSectno"/>
        </w:rPr>
        <w:t>75A</w:t>
      </w:r>
      <w:r>
        <w:t>.</w:t>
      </w:r>
      <w:r>
        <w:tab/>
        <w:t>Terms used</w:t>
      </w:r>
      <w:bookmarkEnd w:id="195"/>
      <w:bookmarkEnd w:id="196"/>
    </w:p>
    <w:p>
      <w:pPr>
        <w:pStyle w:val="Subsection"/>
      </w:pPr>
      <w:r>
        <w:tab/>
      </w:r>
      <w:r>
        <w:tab/>
        <w:t xml:space="preserve">In this Part — </w:t>
      </w:r>
    </w:p>
    <w:p>
      <w:pPr>
        <w:pStyle w:val="Defstart"/>
      </w:pPr>
      <w:r>
        <w:tab/>
      </w:r>
      <w:r>
        <w:rPr>
          <w:rStyle w:val="CharDefText"/>
        </w:rPr>
        <w:t>0.08+ and illicit drug offence</w:t>
      </w:r>
      <w:r>
        <w:t xml:space="preserve"> means an offence against section 75DD(1);</w:t>
      </w:r>
    </w:p>
    <w:p>
      <w:pPr>
        <w:pStyle w:val="Defstart"/>
      </w:pPr>
      <w:r>
        <w:tab/>
      </w:r>
      <w:r>
        <w:rPr>
          <w:rStyle w:val="CharDefText"/>
        </w:rPr>
        <w:t>0.08+ offence</w:t>
      </w:r>
      <w:r>
        <w:t xml:space="preserve"> means an offence against section 75DA(1);</w:t>
      </w:r>
    </w:p>
    <w:p>
      <w:pPr>
        <w:pStyle w:val="Defstart"/>
      </w:pPr>
      <w:r>
        <w:tab/>
      </w:r>
      <w:r>
        <w:rPr>
          <w:rStyle w:val="CharDefText"/>
        </w:rPr>
        <w:t>circumstances of aggravation</w:t>
      </w:r>
      <w:r>
        <w:t xml:space="preserve"> has the meaning given in section 75AF;</w:t>
      </w:r>
    </w:p>
    <w:p>
      <w:pPr>
        <w:pStyle w:val="Defstart"/>
      </w:pPr>
      <w:r>
        <w:tab/>
      </w:r>
      <w:r>
        <w:rPr>
          <w:rStyle w:val="CharDefText"/>
        </w:rPr>
        <w:t>involved</w:t>
      </w:r>
      <w:r>
        <w:t>, for a vessel in relation to an incident, has the meaning given in section 75AB;</w:t>
      </w:r>
    </w:p>
    <w:p>
      <w:pPr>
        <w:pStyle w:val="Defstart"/>
      </w:pPr>
      <w:r>
        <w:tab/>
      </w:r>
      <w:r>
        <w:rPr>
          <w:rStyle w:val="CharDefText"/>
        </w:rPr>
        <w:t>navigate</w:t>
      </w:r>
      <w:r>
        <w:t>, a vessel, has the meaning given in section 75AA(2);</w:t>
      </w:r>
    </w:p>
    <w:p>
      <w:pPr>
        <w:pStyle w:val="Defstart"/>
      </w:pPr>
      <w:r>
        <w:tab/>
      </w:r>
      <w:r>
        <w:rPr>
          <w:rStyle w:val="CharDefText"/>
        </w:rPr>
        <w:t>operate</w:t>
      </w:r>
      <w:r>
        <w:t>, a vessel, has the meaning given in section 75AA(1).</w:t>
      </w:r>
    </w:p>
    <w:p>
      <w:pPr>
        <w:pStyle w:val="Footnotesection"/>
        <w:ind w:left="890" w:hanging="890"/>
      </w:pPr>
      <w:r>
        <w:tab/>
        <w:t>[Section 75A inserted: No. 31 of 2023 s. 14(1).]</w:t>
      </w:r>
    </w:p>
    <w:p>
      <w:pPr>
        <w:pStyle w:val="Heading5"/>
      </w:pPr>
      <w:bookmarkStart w:id="197" w:name="_Toc153284532"/>
      <w:bookmarkStart w:id="198" w:name="_Toc153887527"/>
      <w:r>
        <w:rPr>
          <w:rStyle w:val="CharSectno"/>
        </w:rPr>
        <w:t>75AA</w:t>
      </w:r>
      <w:r>
        <w:t>.</w:t>
      </w:r>
      <w:r>
        <w:tab/>
        <w:t>When individual operates or navigates vessel</w:t>
      </w:r>
      <w:bookmarkEnd w:id="197"/>
      <w:bookmarkEnd w:id="198"/>
    </w:p>
    <w:p>
      <w:pPr>
        <w:pStyle w:val="Subsection"/>
      </w:pPr>
      <w:r>
        <w:tab/>
        <w:t>(1)</w:t>
      </w:r>
      <w:r>
        <w:tab/>
        <w:t xml:space="preserve">An individual </w:t>
      </w:r>
      <w:r>
        <w:rPr>
          <w:rStyle w:val="CharDefText"/>
        </w:rPr>
        <w:t>operates</w:t>
      </w:r>
      <w:r>
        <w:t xml:space="preserve"> a vessel if the individual — </w:t>
      </w:r>
    </w:p>
    <w:p>
      <w:pPr>
        <w:pStyle w:val="Indenta"/>
      </w:pPr>
      <w:r>
        <w:tab/>
        <w:t>(a)</w:t>
      </w:r>
      <w:r>
        <w:tab/>
        <w:t>determines or exercises control over the course or direction of the vessel, or the means of propulsion of the vessel, whether or not the vessel is underway or being towed by another vessel; or</w:t>
      </w:r>
    </w:p>
    <w:p>
      <w:pPr>
        <w:pStyle w:val="Indenta"/>
      </w:pPr>
      <w:r>
        <w:tab/>
        <w:t>(b)</w:t>
      </w:r>
      <w:r>
        <w:tab/>
        <w:t>pilots the vessel.</w:t>
      </w:r>
    </w:p>
    <w:p>
      <w:pPr>
        <w:pStyle w:val="Subsection"/>
      </w:pPr>
      <w:r>
        <w:tab/>
        <w:t>(2)</w:t>
      </w:r>
      <w:r>
        <w:tab/>
        <w:t xml:space="preserve">An individual </w:t>
      </w:r>
      <w:r>
        <w:rPr>
          <w:rStyle w:val="CharDefText"/>
        </w:rPr>
        <w:t>navigates</w:t>
      </w:r>
      <w:r>
        <w:t xml:space="preserve"> a vessel if the individual — </w:t>
      </w:r>
    </w:p>
    <w:p>
      <w:pPr>
        <w:pStyle w:val="Indenta"/>
      </w:pPr>
      <w:r>
        <w:tab/>
        <w:t>(a)</w:t>
      </w:r>
      <w:r>
        <w:tab/>
        <w:t>operates the vessel; or</w:t>
      </w:r>
    </w:p>
    <w:p>
      <w:pPr>
        <w:pStyle w:val="Indenta"/>
      </w:pPr>
      <w:r>
        <w:lastRenderedPageBreak/>
        <w:tab/>
        <w:t>(b)</w:t>
      </w:r>
      <w:r>
        <w:tab/>
        <w:t>is in command or charge of the vessel while the individual, or another individual or other individuals, operate or attempt to operate the vessel.</w:t>
      </w:r>
    </w:p>
    <w:p>
      <w:pPr>
        <w:pStyle w:val="Footnotesection"/>
        <w:ind w:left="890" w:hanging="890"/>
      </w:pPr>
      <w:r>
        <w:tab/>
        <w:t>[Section 75AA inserted: No. 31 of 2023 s. 14(1).]</w:t>
      </w:r>
    </w:p>
    <w:p>
      <w:pPr>
        <w:pStyle w:val="Heading5"/>
      </w:pPr>
      <w:bookmarkStart w:id="199" w:name="_Toc153284533"/>
      <w:bookmarkStart w:id="200" w:name="_Toc153887528"/>
      <w:r>
        <w:rPr>
          <w:rStyle w:val="CharSectno"/>
        </w:rPr>
        <w:t>75AB</w:t>
      </w:r>
      <w:r>
        <w:t>.</w:t>
      </w:r>
      <w:r>
        <w:tab/>
        <w:t>When vessel is involved in incident</w:t>
      </w:r>
      <w:bookmarkEnd w:id="199"/>
      <w:bookmarkEnd w:id="200"/>
    </w:p>
    <w:p>
      <w:pPr>
        <w:pStyle w:val="Subsection"/>
      </w:pPr>
      <w:r>
        <w:tab/>
      </w:r>
      <w:r>
        <w:tab/>
        <w:t xml:space="preserve">A vessel is </w:t>
      </w:r>
      <w:r>
        <w:rPr>
          <w:rStyle w:val="CharDefText"/>
        </w:rPr>
        <w:t>involved</w:t>
      </w:r>
      <w:r>
        <w:t xml:space="preserve"> in an incident if —</w:t>
      </w:r>
    </w:p>
    <w:p>
      <w:pPr>
        <w:pStyle w:val="Indenta"/>
      </w:pPr>
      <w:r>
        <w:tab/>
        <w:t>(a)</w:t>
      </w:r>
      <w:r>
        <w:tab/>
        <w:t>the presence of the vessel occasioned the incident; or</w:t>
      </w:r>
    </w:p>
    <w:p>
      <w:pPr>
        <w:pStyle w:val="Indenta"/>
      </w:pPr>
      <w:r>
        <w:tab/>
        <w:t>(b)</w:t>
      </w:r>
      <w:r>
        <w:tab/>
        <w:t xml:space="preserve">the use of the vessel is an immediate or proximate cause of the death of, or injury to, a person or damage to property occasioned by the incident. </w:t>
      </w:r>
    </w:p>
    <w:p>
      <w:pPr>
        <w:pStyle w:val="Footnotesection"/>
        <w:ind w:left="890" w:hanging="890"/>
      </w:pPr>
      <w:r>
        <w:tab/>
        <w:t>[Section 75AB inserted: No. 31 of 2023 s. 14(1).]</w:t>
      </w:r>
    </w:p>
    <w:p>
      <w:pPr>
        <w:pStyle w:val="Heading5"/>
      </w:pPr>
      <w:bookmarkStart w:id="201" w:name="_Toc153284534"/>
      <w:bookmarkStart w:id="202" w:name="_Toc153887529"/>
      <w:r>
        <w:rPr>
          <w:rStyle w:val="CharSectno"/>
        </w:rPr>
        <w:t>75AC</w:t>
      </w:r>
      <w:r>
        <w:t>.</w:t>
      </w:r>
      <w:r>
        <w:tab/>
        <w:t>Person taken to be in command or charge of vessel for purposes of Parts 3A and 3B</w:t>
      </w:r>
      <w:bookmarkEnd w:id="201"/>
      <w:bookmarkEnd w:id="202"/>
    </w:p>
    <w:p>
      <w:pPr>
        <w:pStyle w:val="Subsection"/>
      </w:pPr>
      <w:r>
        <w:tab/>
        <w:t>(1)</w:t>
      </w:r>
      <w:r>
        <w:tab/>
        <w:t xml:space="preserve">This section applies for the purposes of </w:t>
      </w:r>
      <w:r>
        <w:rPr>
          <w:color w:val="000000"/>
          <w:szCs w:val="24"/>
        </w:rPr>
        <w:t>Parts 3A and 3B and in the absence of proof to the contrary.</w:t>
      </w:r>
    </w:p>
    <w:p>
      <w:pPr>
        <w:pStyle w:val="Subsection"/>
      </w:pPr>
      <w:r>
        <w:tab/>
        <w:t>(2)</w:t>
      </w:r>
      <w:r>
        <w:tab/>
        <w:t>A person is taken to be in command or charge of a vessel at a particular time if, at that time</w:t>
      </w:r>
      <w:bookmarkStart w:id="203" w:name="GS6@Gs1@Hpa@EN"/>
      <w:bookmarkEnd w:id="203"/>
      <w:r>
        <w:t xml:space="preserve"> — </w:t>
      </w:r>
    </w:p>
    <w:p>
      <w:pPr>
        <w:pStyle w:val="Indenta"/>
      </w:pPr>
      <w:r>
        <w:rPr>
          <w:szCs w:val="24"/>
        </w:rPr>
        <w:tab/>
        <w:t>(a)</w:t>
      </w:r>
      <w:r>
        <w:rPr>
          <w:szCs w:val="24"/>
        </w:rPr>
        <w:tab/>
        <w:t>the</w:t>
      </w:r>
      <w:r>
        <w:rPr>
          <w:color w:val="000000"/>
          <w:szCs w:val="24"/>
        </w:rPr>
        <w:t xml:space="preserve"> person is the only person, or the only person who is 18 years of age or above, on the vessel; or</w:t>
      </w:r>
    </w:p>
    <w:p>
      <w:pPr>
        <w:pStyle w:val="Indenta"/>
      </w:pPr>
      <w:r>
        <w:tab/>
        <w:t>(b)</w:t>
      </w:r>
      <w:r>
        <w:tab/>
      </w:r>
      <w:bookmarkStart w:id="204" w:name="GS6@Gs1@Hpb@EN"/>
      <w:bookmarkEnd w:id="204"/>
      <w:r>
        <w:t>the person appears, without contradiction by any other person on the vessel, to be in command or charge of the vessel; or</w:t>
      </w:r>
      <w:bookmarkStart w:id="205" w:name="GS6@Gs1@Hpc@EN"/>
      <w:bookmarkEnd w:id="205"/>
      <w:r>
        <w:t xml:space="preserve"> </w:t>
      </w:r>
    </w:p>
    <w:p>
      <w:pPr>
        <w:pStyle w:val="Indenta"/>
      </w:pPr>
      <w:r>
        <w:tab/>
        <w:t>(c)</w:t>
      </w:r>
      <w:r>
        <w:tab/>
        <w:t>the other persons on the vessel, or a majority of them, acknowledge that the person is in charge of the vessel; or</w:t>
      </w:r>
    </w:p>
    <w:p>
      <w:pPr>
        <w:pStyle w:val="Indenta"/>
      </w:pPr>
      <w:r>
        <w:tab/>
        <w:t>(d)</w:t>
      </w:r>
      <w:r>
        <w:tab/>
      </w:r>
      <w:bookmarkStart w:id="206" w:name="GS6@Gs1@Hpd@EN"/>
      <w:bookmarkEnd w:id="206"/>
      <w:r>
        <w:t>of all the persons on the vessel, the person has ultimate control over the course or direction of the vessel, or the means of propulsion of the vessel, whether or not</w:t>
      </w:r>
      <w:bookmarkStart w:id="207" w:name="GS6@Gs2@Hpa@EN"/>
      <w:bookmarkEnd w:id="207"/>
      <w:r>
        <w:t> —</w:t>
      </w:r>
    </w:p>
    <w:p>
      <w:pPr>
        <w:pStyle w:val="Indenti"/>
      </w:pPr>
      <w:r>
        <w:rPr>
          <w:szCs w:val="24"/>
        </w:rPr>
        <w:tab/>
        <w:t>(i)</w:t>
      </w:r>
      <w:r>
        <w:rPr>
          <w:szCs w:val="24"/>
        </w:rPr>
        <w:tab/>
        <w:t>the vessel is underway; or</w:t>
      </w:r>
    </w:p>
    <w:p>
      <w:pPr>
        <w:pStyle w:val="Indenti"/>
        <w:rPr>
          <w:color w:val="000000"/>
        </w:rPr>
      </w:pPr>
      <w:r>
        <w:tab/>
        <w:t>(ii)</w:t>
      </w:r>
      <w:r>
        <w:tab/>
      </w:r>
      <w:bookmarkStart w:id="208" w:name="GS6@Gs2@Hpb@EN"/>
      <w:bookmarkEnd w:id="208"/>
      <w:r>
        <w:rPr>
          <w:color w:val="000000"/>
        </w:rPr>
        <w:t>the person is operating the vessel.</w:t>
      </w:r>
    </w:p>
    <w:p>
      <w:pPr>
        <w:pStyle w:val="PermNoteHeading"/>
      </w:pPr>
      <w:r>
        <w:lastRenderedPageBreak/>
        <w:tab/>
        <w:t>Example for this subsection:</w:t>
      </w:r>
    </w:p>
    <w:p>
      <w:pPr>
        <w:pStyle w:val="PermNoteText"/>
      </w:pPr>
      <w:r>
        <w:tab/>
      </w:r>
      <w:r>
        <w:tab/>
        <w:t>For the purposes of paragraph (b), the person says or does something that makes them appear to be in command or charge of the vessel.</w:t>
      </w:r>
    </w:p>
    <w:p>
      <w:pPr>
        <w:pStyle w:val="Subsection"/>
      </w:pPr>
      <w:r>
        <w:rPr>
          <w:szCs w:val="24"/>
        </w:rPr>
        <w:tab/>
        <w:t>(3)</w:t>
      </w:r>
      <w:r>
        <w:rPr>
          <w:szCs w:val="24"/>
        </w:rPr>
        <w:tab/>
      </w:r>
      <w:bookmarkStart w:id="209" w:name="GS6@Gs3@EN"/>
      <w:bookmarkEnd w:id="209"/>
      <w:r>
        <w:rPr>
          <w:szCs w:val="24"/>
        </w:rPr>
        <w:t xml:space="preserve">A person who owns a vessel </w:t>
      </w:r>
      <w:r>
        <w:rPr>
          <w:color w:val="000000"/>
          <w:szCs w:val="24"/>
        </w:rPr>
        <w:t xml:space="preserve">is taken to be in command or charge of the vessel </w:t>
      </w:r>
      <w:bookmarkStart w:id="210" w:name="GS6@Gs3@Hpa@EN"/>
      <w:bookmarkEnd w:id="210"/>
      <w:r>
        <w:rPr>
          <w:color w:val="000000"/>
          <w:szCs w:val="24"/>
        </w:rPr>
        <w:t>if the person</w:t>
      </w:r>
      <w:r>
        <w:rPr>
          <w:szCs w:val="24"/>
        </w:rPr>
        <w:t xml:space="preserve"> — </w:t>
      </w:r>
    </w:p>
    <w:p>
      <w:pPr>
        <w:pStyle w:val="Indenta"/>
      </w:pPr>
      <w:r>
        <w:rPr>
          <w:szCs w:val="24"/>
        </w:rPr>
        <w:tab/>
        <w:t>(a)</w:t>
      </w:r>
      <w:r>
        <w:rPr>
          <w:szCs w:val="24"/>
        </w:rPr>
        <w:tab/>
        <w:t xml:space="preserve">is </w:t>
      </w:r>
      <w:r>
        <w:rPr>
          <w:color w:val="000000"/>
          <w:szCs w:val="24"/>
        </w:rPr>
        <w:t>on the vessel; and</w:t>
      </w:r>
      <w:bookmarkStart w:id="211" w:name="GS6@Gs3@Hpb@EN"/>
      <w:bookmarkEnd w:id="211"/>
    </w:p>
    <w:p>
      <w:pPr>
        <w:pStyle w:val="Indenta"/>
      </w:pPr>
      <w:r>
        <w:tab/>
        <w:t>(b)</w:t>
      </w:r>
      <w:r>
        <w:tab/>
        <w:t>holds a marine qualification that authorises the person to navigate the vessel.</w:t>
      </w:r>
    </w:p>
    <w:p>
      <w:pPr>
        <w:pStyle w:val="Subsection"/>
      </w:pPr>
      <w:r>
        <w:rPr>
          <w:szCs w:val="24"/>
        </w:rPr>
        <w:tab/>
        <w:t>(4)</w:t>
      </w:r>
      <w:r>
        <w:rPr>
          <w:szCs w:val="24"/>
        </w:rPr>
        <w:tab/>
        <w:t xml:space="preserve">A person who has command or charge of a vessel continues to have command or charge of the vessel until the person has ensured that — </w:t>
      </w:r>
    </w:p>
    <w:p>
      <w:pPr>
        <w:pStyle w:val="Indenta"/>
      </w:pPr>
      <w:r>
        <w:tab/>
        <w:t>(a)</w:t>
      </w:r>
      <w:r>
        <w:tab/>
      </w:r>
      <w:r>
        <w:rPr>
          <w:szCs w:val="24"/>
        </w:rPr>
        <w:t xml:space="preserve">the command or charge of the vessel has been handed to another person; and </w:t>
      </w:r>
    </w:p>
    <w:p>
      <w:pPr>
        <w:pStyle w:val="Indenta"/>
      </w:pPr>
      <w:r>
        <w:tab/>
        <w:t>(b)</w:t>
      </w:r>
      <w:r>
        <w:tab/>
        <w:t>the other person has accepted the command or charge.</w:t>
      </w:r>
    </w:p>
    <w:p>
      <w:pPr>
        <w:pStyle w:val="Footnotesection"/>
        <w:ind w:left="890" w:hanging="890"/>
      </w:pPr>
      <w:r>
        <w:tab/>
        <w:t>[Section 75AC inserted: No. 31 of 2023 s. 14(1).]</w:t>
      </w:r>
    </w:p>
    <w:p>
      <w:pPr>
        <w:pStyle w:val="Heading5"/>
      </w:pPr>
      <w:bookmarkStart w:id="212" w:name="_Toc153284535"/>
      <w:bookmarkStart w:id="213" w:name="_Toc153887530"/>
      <w:r>
        <w:rPr>
          <w:rStyle w:val="CharSectno"/>
        </w:rPr>
        <w:t>75AD</w:t>
      </w:r>
      <w:r>
        <w:t>.</w:t>
      </w:r>
      <w:r>
        <w:tab/>
        <w:t>Person is incapable of having proper control of vessel</w:t>
      </w:r>
      <w:bookmarkEnd w:id="212"/>
      <w:bookmarkEnd w:id="213"/>
    </w:p>
    <w:p>
      <w:pPr>
        <w:pStyle w:val="Subsection"/>
      </w:pPr>
      <w:r>
        <w:tab/>
      </w:r>
      <w:r>
        <w:tab/>
        <w:t>For the purposes of this Part, a reference to a person being incapable of having proper control of a vessel includes —</w:t>
      </w:r>
    </w:p>
    <w:p>
      <w:pPr>
        <w:pStyle w:val="Indenta"/>
      </w:pPr>
      <w:r>
        <w:tab/>
        <w:t>(a)</w:t>
      </w:r>
      <w:r>
        <w:tab/>
        <w:t xml:space="preserve">a reference to the person being incapable of having proper control over — </w:t>
      </w:r>
    </w:p>
    <w:p>
      <w:pPr>
        <w:pStyle w:val="Indenti"/>
      </w:pPr>
      <w:r>
        <w:tab/>
        <w:t>(i)</w:t>
      </w:r>
      <w:r>
        <w:tab/>
        <w:t xml:space="preserve">the course or direction of the vessel; or </w:t>
      </w:r>
    </w:p>
    <w:p>
      <w:pPr>
        <w:pStyle w:val="Indenti"/>
      </w:pPr>
      <w:r>
        <w:tab/>
        <w:t>(ii)</w:t>
      </w:r>
      <w:r>
        <w:tab/>
        <w:t>the means of propulsion of the vessel;</w:t>
      </w:r>
    </w:p>
    <w:p>
      <w:pPr>
        <w:pStyle w:val="Indenta"/>
      </w:pPr>
      <w:r>
        <w:tab/>
      </w:r>
      <w:r>
        <w:tab/>
        <w:t>and</w:t>
      </w:r>
    </w:p>
    <w:p>
      <w:pPr>
        <w:pStyle w:val="Indenta"/>
      </w:pPr>
      <w:r>
        <w:tab/>
        <w:t>(b)</w:t>
      </w:r>
      <w:r>
        <w:tab/>
        <w:t>a reference to the person who is the pilot of the vessel being incapable of having proper conduct of the vessel; and</w:t>
      </w:r>
    </w:p>
    <w:p>
      <w:pPr>
        <w:pStyle w:val="Indenta"/>
      </w:pPr>
      <w:r>
        <w:tab/>
        <w:t>(c)</w:t>
      </w:r>
      <w:r>
        <w:tab/>
        <w:t>a reference to the person who is the master of a vessel being incapable of having proper command or charge of the vessel.</w:t>
      </w:r>
    </w:p>
    <w:p>
      <w:pPr>
        <w:pStyle w:val="Footnotesection"/>
        <w:ind w:left="890" w:hanging="890"/>
      </w:pPr>
      <w:r>
        <w:tab/>
        <w:t>[Section 75AD inserted: No. 31 of 2023 s. 14(1).]</w:t>
      </w:r>
    </w:p>
    <w:p>
      <w:pPr>
        <w:pStyle w:val="Heading5"/>
      </w:pPr>
      <w:bookmarkStart w:id="214" w:name="_Toc153284536"/>
      <w:bookmarkStart w:id="215" w:name="_Toc153887531"/>
      <w:r>
        <w:rPr>
          <w:rStyle w:val="CharSectno"/>
        </w:rPr>
        <w:lastRenderedPageBreak/>
        <w:t>75AE</w:t>
      </w:r>
      <w:r>
        <w:t>.</w:t>
      </w:r>
      <w:r>
        <w:tab/>
        <w:t>Person with BAC of 0.15 or above taken to be incapable of proper control</w:t>
      </w:r>
      <w:bookmarkEnd w:id="214"/>
      <w:bookmarkEnd w:id="215"/>
    </w:p>
    <w:p>
      <w:pPr>
        <w:pStyle w:val="Subsection"/>
      </w:pPr>
      <w:r>
        <w:tab/>
        <w:t>(1)</w:t>
      </w:r>
      <w:r>
        <w:tab/>
        <w:t>This section applies in a proceeding for an offence if it is alleged that, at the time of the alleged offence, the person charged was under the influence of alcohol to such an extent as to be incapable of having proper control of a vessel.</w:t>
      </w:r>
    </w:p>
    <w:p>
      <w:pPr>
        <w:pStyle w:val="Subsection"/>
      </w:pPr>
      <w:r>
        <w:tab/>
        <w:t>(2)</w:t>
      </w:r>
      <w:r>
        <w:tab/>
        <w:t>The person is taken to have been under the influence of alcohol to that extent at the time of the alleged offence if the person had a BAC of 0.15 g or above at that time.</w:t>
      </w:r>
    </w:p>
    <w:p>
      <w:pPr>
        <w:pStyle w:val="Footnotesection"/>
        <w:ind w:left="890" w:hanging="890"/>
      </w:pPr>
      <w:r>
        <w:tab/>
        <w:t>[Section 75AE inserted: No. 31 of 2023 s. 14(1).]</w:t>
      </w:r>
    </w:p>
    <w:p>
      <w:pPr>
        <w:pStyle w:val="Heading5"/>
      </w:pPr>
      <w:bookmarkStart w:id="216" w:name="_Toc153284537"/>
      <w:bookmarkStart w:id="217" w:name="_Toc153887532"/>
      <w:r>
        <w:rPr>
          <w:rStyle w:val="CharSectno"/>
        </w:rPr>
        <w:t>75AF</w:t>
      </w:r>
      <w:r>
        <w:t>.</w:t>
      </w:r>
      <w:r>
        <w:tab/>
        <w:t>Circumstances of aggravation</w:t>
      </w:r>
      <w:bookmarkEnd w:id="216"/>
      <w:bookmarkEnd w:id="217"/>
    </w:p>
    <w:p>
      <w:pPr>
        <w:pStyle w:val="Subsection"/>
      </w:pPr>
      <w:r>
        <w:tab/>
        <w:t>(1)</w:t>
      </w:r>
      <w:r>
        <w:tab/>
        <w:t xml:space="preserve">For the purposes of this Part, a person commits an offence, or navigates a vessel, in </w:t>
      </w:r>
      <w:r>
        <w:rPr>
          <w:rStyle w:val="CharDefText"/>
        </w:rPr>
        <w:t>circumstances of aggravation</w:t>
      </w:r>
      <w:r>
        <w:t xml:space="preserve"> if at the time of the alleged offence or navigation — </w:t>
      </w:r>
    </w:p>
    <w:p>
      <w:pPr>
        <w:pStyle w:val="Indenta"/>
      </w:pPr>
      <w:r>
        <w:tab/>
        <w:t>(a)</w:t>
      </w:r>
      <w:r>
        <w:tab/>
        <w:t>the person was unlawfully navigating the vessel without the consent of an owner or the master of the vessel; or</w:t>
      </w:r>
    </w:p>
    <w:p>
      <w:pPr>
        <w:pStyle w:val="Indenta"/>
      </w:pPr>
      <w:r>
        <w:tab/>
        <w:t>(b)</w:t>
      </w:r>
      <w:r>
        <w:tab/>
        <w:t>if a speed limit applied to the vessel or the waters in which it was operating — the person was navigating the vessel at a speed that exceeded the speed limit by 10 knots or more; or</w:t>
      </w:r>
    </w:p>
    <w:p>
      <w:pPr>
        <w:pStyle w:val="Indenta"/>
      </w:pPr>
      <w:r>
        <w:tab/>
        <w:t>(c)</w:t>
      </w:r>
      <w:r>
        <w:tab/>
        <w:t>the person was navigating the vessel to escape pursuit by an inspector or police officer.</w:t>
      </w:r>
    </w:p>
    <w:p>
      <w:pPr>
        <w:pStyle w:val="Subsection"/>
      </w:pPr>
      <w:r>
        <w:tab/>
        <w:t>(2)</w:t>
      </w:r>
      <w:r>
        <w:tab/>
        <w:t>Subsection (1)(c) applies whether the pursuit was proceeding, or had been suspended or terminated, at the time of the alleged offence.</w:t>
      </w:r>
    </w:p>
    <w:p>
      <w:pPr>
        <w:pStyle w:val="Footnotesection"/>
        <w:ind w:left="890" w:hanging="890"/>
      </w:pPr>
      <w:r>
        <w:tab/>
        <w:t>[Section 75AF inserted: No. 31 of 2023 s. 14(1).]</w:t>
      </w:r>
    </w:p>
    <w:p>
      <w:pPr>
        <w:pStyle w:val="Heading3"/>
      </w:pPr>
      <w:bookmarkStart w:id="218" w:name="_Toc153284056"/>
      <w:bookmarkStart w:id="219" w:name="_Toc153284297"/>
      <w:bookmarkStart w:id="220" w:name="_Toc153284538"/>
      <w:bookmarkStart w:id="221" w:name="_Toc153544782"/>
      <w:bookmarkStart w:id="222" w:name="_Toc153796385"/>
      <w:bookmarkStart w:id="223" w:name="_Toc153887533"/>
      <w:r>
        <w:rPr>
          <w:rStyle w:val="CharDivNo"/>
        </w:rPr>
        <w:t>Division 2</w:t>
      </w:r>
      <w:r>
        <w:t> — </w:t>
      </w:r>
      <w:r>
        <w:rPr>
          <w:rStyle w:val="CharDivText"/>
        </w:rPr>
        <w:t>Safe navigation of vessels and alcohol and drug related offences</w:t>
      </w:r>
      <w:bookmarkEnd w:id="218"/>
      <w:bookmarkEnd w:id="219"/>
      <w:bookmarkEnd w:id="220"/>
      <w:bookmarkEnd w:id="221"/>
      <w:bookmarkEnd w:id="222"/>
      <w:bookmarkEnd w:id="223"/>
    </w:p>
    <w:p>
      <w:pPr>
        <w:pStyle w:val="Footnoteheading"/>
      </w:pPr>
      <w:r>
        <w:tab/>
        <w:t>[Heading inserted: No. 31 of 2023 s. 14(1).]</w:t>
      </w:r>
    </w:p>
    <w:p>
      <w:pPr>
        <w:pStyle w:val="Heading4"/>
      </w:pPr>
      <w:bookmarkStart w:id="224" w:name="_Toc153284057"/>
      <w:bookmarkStart w:id="225" w:name="_Toc153284298"/>
      <w:bookmarkStart w:id="226" w:name="_Toc153284539"/>
      <w:bookmarkStart w:id="227" w:name="_Toc153544783"/>
      <w:bookmarkStart w:id="228" w:name="_Toc153796386"/>
      <w:bookmarkStart w:id="229" w:name="_Toc153887534"/>
      <w:r>
        <w:lastRenderedPageBreak/>
        <w:t>Subdivision 1 — Dangerous navigation of vessels occasioning death, grievous bodily harm or bodily harm</w:t>
      </w:r>
      <w:bookmarkEnd w:id="224"/>
      <w:bookmarkEnd w:id="225"/>
      <w:bookmarkEnd w:id="226"/>
      <w:bookmarkEnd w:id="227"/>
      <w:bookmarkEnd w:id="228"/>
      <w:bookmarkEnd w:id="229"/>
    </w:p>
    <w:p>
      <w:pPr>
        <w:pStyle w:val="Footnoteheading"/>
      </w:pPr>
      <w:r>
        <w:tab/>
        <w:t>[Heading inserted: No. 31 of 2023 s. 14(1).]</w:t>
      </w:r>
    </w:p>
    <w:p>
      <w:pPr>
        <w:pStyle w:val="Heading5"/>
      </w:pPr>
      <w:bookmarkStart w:id="230" w:name="_Toc153284540"/>
      <w:bookmarkStart w:id="231" w:name="_Toc153887535"/>
      <w:r>
        <w:rPr>
          <w:rStyle w:val="CharSectno"/>
        </w:rPr>
        <w:t>75B</w:t>
      </w:r>
      <w:r>
        <w:t>.</w:t>
      </w:r>
      <w:r>
        <w:tab/>
        <w:t>Dangerous navigation of vessel occasioning death</w:t>
      </w:r>
      <w:bookmarkEnd w:id="230"/>
      <w:bookmarkEnd w:id="231"/>
    </w:p>
    <w:p>
      <w:pPr>
        <w:pStyle w:val="Subsection"/>
      </w:pPr>
      <w:r>
        <w:tab/>
        <w:t>(1)</w:t>
      </w:r>
      <w:r>
        <w:tab/>
        <w:t>A person commits a crime if —</w:t>
      </w:r>
    </w:p>
    <w:p>
      <w:pPr>
        <w:pStyle w:val="Indenta"/>
      </w:pPr>
      <w:r>
        <w:tab/>
        <w:t>(a)</w:t>
      </w:r>
      <w:r>
        <w:tab/>
        <w:t>a vessel navigated by the person is involved in an incident occasioning the death of another person; and</w:t>
      </w:r>
    </w:p>
    <w:p>
      <w:pPr>
        <w:pStyle w:val="Indenta"/>
      </w:pPr>
      <w:r>
        <w:tab/>
        <w:t>(b)</w:t>
      </w:r>
      <w:r>
        <w:tab/>
        <w:t>at the time of the incident, the person was navigating the vessel while under the influence of alcohol, a drug, or alcohol and a drug to such an extent as to be incapable of having proper control of the vessel.</w:t>
      </w:r>
    </w:p>
    <w:p>
      <w:pPr>
        <w:pStyle w:val="Penstart"/>
      </w:pPr>
      <w:r>
        <w:tab/>
        <w:t>Alternative offence for this subsection: subsection (2)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75BA(1) or (2)</w:t>
            </w:r>
          </w:p>
        </w:tc>
        <w:tc>
          <w:tcPr>
            <w:tcW w:w="4082" w:type="dxa"/>
            <w:noWrap/>
          </w:tcPr>
          <w:p>
            <w:pPr>
              <w:pStyle w:val="TableNAm"/>
            </w:pPr>
            <w:r>
              <w:t>Dangerous navigation of vessel occasioning grievous bodily harm</w:t>
            </w:r>
          </w:p>
        </w:tc>
      </w:tr>
      <w:t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c>
          <w:tcPr>
            <w:tcW w:w="1985" w:type="dxa"/>
            <w:noWrap/>
          </w:tcPr>
          <w:p>
            <w:pPr>
              <w:pStyle w:val="TableNAm"/>
            </w:pPr>
            <w:r>
              <w:t>s. 75BE(1)</w:t>
            </w:r>
          </w:p>
        </w:tc>
        <w:tc>
          <w:tcPr>
            <w:tcW w:w="4082" w:type="dxa"/>
            <w:noWrap/>
          </w:tcPr>
          <w:p>
            <w:pPr>
              <w:pStyle w:val="TableNAm"/>
            </w:pPr>
            <w:r>
              <w:rPr>
                <w:noProof/>
              </w:rPr>
              <w:t>Dangerous navigation of vessel</w:t>
            </w:r>
          </w:p>
        </w:tc>
      </w:tr>
      <w:t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Penalty for this subsection: imprisonment for 20 years and a fine of any amount.</w:t>
      </w:r>
    </w:p>
    <w:p>
      <w:pPr>
        <w:pStyle w:val="Subsection"/>
        <w:keepNext/>
      </w:pPr>
      <w:r>
        <w:lastRenderedPageBreak/>
        <w:tab/>
        <w:t>(2)</w:t>
      </w:r>
      <w:r>
        <w:tab/>
        <w:t>A person commits a crime if —</w:t>
      </w:r>
    </w:p>
    <w:p>
      <w:pPr>
        <w:pStyle w:val="Indenta"/>
      </w:pPr>
      <w:r>
        <w:tab/>
        <w:t>(a)</w:t>
      </w:r>
      <w:r>
        <w:tab/>
        <w:t>a vessel navigated by the person is involved in an incident occasioning the death of another person; and</w:t>
      </w:r>
    </w:p>
    <w:p>
      <w:pPr>
        <w:pStyle w:val="Indenta"/>
      </w:pPr>
      <w:r>
        <w:tab/>
        <w:t>(b)</w:t>
      </w:r>
      <w:r>
        <w:tab/>
        <w:t>at the time of the incident, the person was navigating the vessel in a manner that is dangerous to the public or to any person, having regard to all the circumstances of the case.</w:t>
      </w:r>
    </w:p>
    <w:p>
      <w:pPr>
        <w:pStyle w:val="Penstart"/>
      </w:pPr>
      <w:r>
        <w:tab/>
        <w:t>Alternative offence for this subsection: subsection (1)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rPr>
          <w:cantSplit/>
        </w:trPr>
        <w:tc>
          <w:tcPr>
            <w:tcW w:w="1985" w:type="dxa"/>
            <w:noWrap/>
          </w:tcPr>
          <w:p>
            <w:pPr>
              <w:pStyle w:val="TableNAm"/>
            </w:pPr>
            <w:r>
              <w:t>s. 75BA(1) or (2)</w:t>
            </w:r>
          </w:p>
        </w:tc>
        <w:tc>
          <w:tcPr>
            <w:tcW w:w="4082" w:type="dxa"/>
            <w:noWrap/>
          </w:tcPr>
          <w:p>
            <w:pPr>
              <w:pStyle w:val="TableNAm"/>
            </w:pPr>
            <w:r>
              <w:t>Dangerous navigation of vessel occasioning grievous bodily harm</w:t>
            </w:r>
          </w:p>
        </w:tc>
      </w:tr>
      <w:tr>
        <w:trPr>
          <w:cantSplit/>
        </w:trP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rPr>
          <w:cantSplit/>
        </w:trP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rPr>
          <w:cantSplit/>
        </w:trPr>
        <w:tc>
          <w:tcPr>
            <w:tcW w:w="1985" w:type="dxa"/>
            <w:noWrap/>
          </w:tcPr>
          <w:p>
            <w:pPr>
              <w:pStyle w:val="TableNAm"/>
            </w:pPr>
            <w:r>
              <w:t>s. 75BE(1)</w:t>
            </w:r>
          </w:p>
        </w:tc>
        <w:tc>
          <w:tcPr>
            <w:tcW w:w="4082" w:type="dxa"/>
            <w:noWrap/>
          </w:tcPr>
          <w:p>
            <w:pPr>
              <w:pStyle w:val="TableNAm"/>
            </w:pPr>
            <w:r>
              <w:rPr>
                <w:noProof/>
              </w:rPr>
              <w:t>Dangerous navigation of vessel</w:t>
            </w:r>
          </w:p>
        </w:tc>
      </w:tr>
      <w:tr>
        <w:trPr>
          <w:cantSplit/>
        </w:trP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Penalty for this subsection:</w:t>
      </w:r>
    </w:p>
    <w:p>
      <w:pPr>
        <w:pStyle w:val="Penpara"/>
      </w:pPr>
      <w:r>
        <w:tab/>
        <w:t>(a)</w:t>
      </w:r>
      <w:r>
        <w:tab/>
        <w:t>if the offence is committed in circumstances of aggravation — imprisonment for 20 years and a fine of any amount;</w:t>
      </w:r>
    </w:p>
    <w:p>
      <w:pPr>
        <w:pStyle w:val="Penpara"/>
      </w:pPr>
      <w:r>
        <w:tab/>
        <w:t>(b)</w:t>
      </w:r>
      <w:r>
        <w:tab/>
        <w:t>otherwise — imprisonment for 10 years and a fine of any amount.</w:t>
      </w:r>
    </w:p>
    <w:p>
      <w:pPr>
        <w:pStyle w:val="Subsection"/>
      </w:pPr>
      <w:r>
        <w:tab/>
        <w:t>(3)</w:t>
      </w:r>
      <w:r>
        <w:tab/>
        <w:t xml:space="preserve">A court sentencing a person for an offence against subsection (1) or (2) must order that the person is disqualified </w:t>
      </w:r>
      <w:r>
        <w:lastRenderedPageBreak/>
        <w:t>from holding or obtaining a WA marine qualification for a period of not less than 2 years.</w:t>
      </w:r>
    </w:p>
    <w:p>
      <w:pPr>
        <w:pStyle w:val="Footnotesection"/>
        <w:ind w:left="890" w:hanging="890"/>
      </w:pPr>
      <w:r>
        <w:tab/>
        <w:t>[Section 75B inserted: No. 31 of 2023 s. 14(1).]</w:t>
      </w:r>
    </w:p>
    <w:p>
      <w:pPr>
        <w:pStyle w:val="Heading5"/>
      </w:pPr>
      <w:bookmarkStart w:id="232" w:name="_Toc153284541"/>
      <w:bookmarkStart w:id="233" w:name="_Toc153887536"/>
      <w:r>
        <w:rPr>
          <w:rStyle w:val="CharSectno"/>
        </w:rPr>
        <w:t>75BA</w:t>
      </w:r>
      <w:r>
        <w:t>.</w:t>
      </w:r>
      <w:r>
        <w:tab/>
        <w:t>Dangerous navigation of vessel occasioning grievous bodily harm</w:t>
      </w:r>
      <w:bookmarkEnd w:id="232"/>
      <w:bookmarkEnd w:id="233"/>
      <w:r>
        <w:t xml:space="preserve"> </w:t>
      </w:r>
    </w:p>
    <w:p>
      <w:pPr>
        <w:pStyle w:val="Subsection"/>
      </w:pPr>
      <w:r>
        <w:tab/>
        <w:t>(1)</w:t>
      </w:r>
      <w:r>
        <w:tab/>
        <w:t>A person commits a crime if —</w:t>
      </w:r>
    </w:p>
    <w:p>
      <w:pPr>
        <w:pStyle w:val="Indenta"/>
      </w:pPr>
      <w:r>
        <w:tab/>
        <w:t>(a)</w:t>
      </w:r>
      <w:r>
        <w:tab/>
        <w:t>a vessel navigated by the person is involved in an incident occasioning grievous bodily harm to another person; and</w:t>
      </w:r>
    </w:p>
    <w:p>
      <w:pPr>
        <w:pStyle w:val="Indenta"/>
      </w:pPr>
      <w:r>
        <w:tab/>
        <w:t>(b)</w:t>
      </w:r>
      <w:r>
        <w:tab/>
        <w:t>at the time of the incident, the person was navigating the vessel while under the influence of alcohol, a drug, or alcohol and a drug to such an extent as to be incapable of having proper control of the vessel.</w:t>
      </w:r>
    </w:p>
    <w:p>
      <w:pPr>
        <w:pStyle w:val="Penstart"/>
      </w:pPr>
      <w:r>
        <w:tab/>
        <w:t>Alternative offence for this subsection: subsection (2)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c>
          <w:tcPr>
            <w:tcW w:w="1985" w:type="dxa"/>
            <w:noWrap/>
          </w:tcPr>
          <w:p>
            <w:pPr>
              <w:pStyle w:val="TableNAm"/>
            </w:pPr>
            <w:r>
              <w:t>s. 75BE(1)</w:t>
            </w:r>
          </w:p>
        </w:tc>
        <w:tc>
          <w:tcPr>
            <w:tcW w:w="4082" w:type="dxa"/>
            <w:noWrap/>
          </w:tcPr>
          <w:p>
            <w:pPr>
              <w:pStyle w:val="TableNAm"/>
            </w:pPr>
            <w:r>
              <w:rPr>
                <w:noProof/>
              </w:rPr>
              <w:t>Dangerous navigation of vessel</w:t>
            </w:r>
          </w:p>
        </w:tc>
      </w:tr>
      <w:t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Penalty for this subsection: imprisonment for 14 years and a fine of any amount.</w:t>
      </w:r>
    </w:p>
    <w:p>
      <w:pPr>
        <w:pStyle w:val="Penstart"/>
      </w:pPr>
      <w:r>
        <w:tab/>
        <w:t>Summary conviction penalty for this subsection: imprisonment for 3 years or a fine of $36 000.</w:t>
      </w:r>
    </w:p>
    <w:p>
      <w:pPr>
        <w:pStyle w:val="Subsection"/>
      </w:pPr>
      <w:r>
        <w:lastRenderedPageBreak/>
        <w:tab/>
        <w:t>(2)</w:t>
      </w:r>
      <w:r>
        <w:tab/>
        <w:t>A person commits a crime if —</w:t>
      </w:r>
    </w:p>
    <w:p>
      <w:pPr>
        <w:pStyle w:val="Indenta"/>
      </w:pPr>
      <w:r>
        <w:tab/>
        <w:t>(a)</w:t>
      </w:r>
      <w:r>
        <w:tab/>
        <w:t>a vessel navigated by the person is involved in an incident occasioning grievous bodily harm to another person; and</w:t>
      </w:r>
    </w:p>
    <w:p>
      <w:pPr>
        <w:pStyle w:val="Indenta"/>
      </w:pPr>
      <w:r>
        <w:tab/>
        <w:t>(b)</w:t>
      </w:r>
      <w:r>
        <w:tab/>
        <w:t>at the time of the incident, the person was navigating the vessel in a manner that is dangerous to the public or to any person, having regard to all the circumstances of the case.</w:t>
      </w:r>
    </w:p>
    <w:p>
      <w:pPr>
        <w:pStyle w:val="Penstart"/>
      </w:pPr>
      <w:r>
        <w:tab/>
        <w:t>Alternative offence for this subsection: subsection (1)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rPr>
          <w:cantSplit/>
        </w:trPr>
        <w:tc>
          <w:tcPr>
            <w:tcW w:w="1985" w:type="dxa"/>
            <w:noWrap/>
          </w:tcPr>
          <w:p>
            <w:pPr>
              <w:pStyle w:val="TableNAm"/>
            </w:pPr>
            <w:r>
              <w:t>s. 75BB(1) or (3)</w:t>
            </w:r>
          </w:p>
        </w:tc>
        <w:tc>
          <w:tcPr>
            <w:tcW w:w="4082" w:type="dxa"/>
            <w:noWrap/>
          </w:tcPr>
          <w:p>
            <w:pPr>
              <w:pStyle w:val="TableNAm"/>
            </w:pPr>
            <w:r>
              <w:rPr>
                <w:noProof/>
              </w:rPr>
              <w:t>Dangerous navigation of vessel occasioning bodily harm</w:t>
            </w:r>
          </w:p>
        </w:tc>
      </w:tr>
      <w:tr>
        <w:trPr>
          <w:cantSplit/>
        </w:trP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rPr>
          <w:cantSplit/>
        </w:trPr>
        <w:tc>
          <w:tcPr>
            <w:tcW w:w="1985" w:type="dxa"/>
            <w:noWrap/>
          </w:tcPr>
          <w:p>
            <w:pPr>
              <w:pStyle w:val="TableNAm"/>
              <w:keepNext/>
            </w:pPr>
            <w:r>
              <w:t>s. 75BE(1)</w:t>
            </w:r>
          </w:p>
        </w:tc>
        <w:tc>
          <w:tcPr>
            <w:tcW w:w="4082" w:type="dxa"/>
            <w:noWrap/>
          </w:tcPr>
          <w:p>
            <w:pPr>
              <w:pStyle w:val="TableNAm"/>
            </w:pPr>
            <w:r>
              <w:rPr>
                <w:noProof/>
              </w:rPr>
              <w:t>Dangerous navigation of vessel</w:t>
            </w:r>
          </w:p>
        </w:tc>
      </w:tr>
      <w:tr>
        <w:trPr>
          <w:cantSplit/>
        </w:trP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 xml:space="preserve">Penalty for this subsection: </w:t>
      </w:r>
    </w:p>
    <w:p>
      <w:pPr>
        <w:pStyle w:val="Penpara"/>
      </w:pPr>
      <w:r>
        <w:tab/>
        <w:t>(a)</w:t>
      </w:r>
      <w:r>
        <w:tab/>
        <w:t>if the offence is committed in circumstances of aggravation — imprisonment for 14 years and a fine of any amount;</w:t>
      </w:r>
    </w:p>
    <w:p>
      <w:pPr>
        <w:pStyle w:val="Penpara"/>
      </w:pPr>
      <w:r>
        <w:tab/>
        <w:t>(b)</w:t>
      </w:r>
      <w:r>
        <w:tab/>
        <w:t>otherwise — imprisonment for 7 years or a fine of any amount.</w:t>
      </w:r>
    </w:p>
    <w:p>
      <w:pPr>
        <w:pStyle w:val="Penstart"/>
      </w:pPr>
      <w:r>
        <w:tab/>
        <w:t>Summary conviction penalty for this subsection: imprisonment for 3 years or a fine of $36 000.</w:t>
      </w:r>
    </w:p>
    <w:p>
      <w:pPr>
        <w:pStyle w:val="Subsection"/>
      </w:pPr>
      <w:r>
        <w:lastRenderedPageBreak/>
        <w:tab/>
        <w:t>(3)</w:t>
      </w:r>
      <w:r>
        <w:tab/>
        <w:t>A court sentencing a person for an offence against subsection (1) or (2) must order that the person is disqualified from holding or obtaining a WA marine qualification for a period of not less than 2 years.</w:t>
      </w:r>
    </w:p>
    <w:p>
      <w:pPr>
        <w:pStyle w:val="Footnotesection"/>
        <w:ind w:left="890" w:hanging="890"/>
      </w:pPr>
      <w:r>
        <w:tab/>
        <w:t>[Section 75BA inserted: No. 31 of 2023 s. 14(1).]</w:t>
      </w:r>
    </w:p>
    <w:p>
      <w:pPr>
        <w:pStyle w:val="Heading5"/>
      </w:pPr>
      <w:bookmarkStart w:id="234" w:name="_Toc153284542"/>
      <w:bookmarkStart w:id="235" w:name="_Toc153887537"/>
      <w:r>
        <w:rPr>
          <w:rStyle w:val="CharSectno"/>
        </w:rPr>
        <w:t>75BB</w:t>
      </w:r>
      <w:r>
        <w:t>.</w:t>
      </w:r>
      <w:r>
        <w:tab/>
        <w:t>Dangerous navigation of vessel occasioning bodily harm</w:t>
      </w:r>
      <w:bookmarkEnd w:id="234"/>
      <w:bookmarkEnd w:id="235"/>
      <w:r>
        <w:t xml:space="preserve"> </w:t>
      </w:r>
    </w:p>
    <w:p>
      <w:pPr>
        <w:pStyle w:val="Subsection"/>
      </w:pPr>
      <w:r>
        <w:tab/>
        <w:t>(1)</w:t>
      </w:r>
      <w:r>
        <w:tab/>
        <w:t>A person commits a crime if —</w:t>
      </w:r>
    </w:p>
    <w:p>
      <w:pPr>
        <w:pStyle w:val="Indenta"/>
      </w:pPr>
      <w:r>
        <w:tab/>
        <w:t>(a)</w:t>
      </w:r>
      <w:r>
        <w:tab/>
        <w:t>a vessel navigated by the person is involved in an incident occasioning bodily harm to another person; and</w:t>
      </w:r>
    </w:p>
    <w:p>
      <w:pPr>
        <w:pStyle w:val="Indenta"/>
      </w:pPr>
      <w:r>
        <w:tab/>
        <w:t>(b)</w:t>
      </w:r>
      <w:r>
        <w:tab/>
        <w:t>at the time of the incident, the person was navigating the vessel while under the influence of alcohol, a drug, or alcohol and a drug to such an extent as to be incapable of having proper control of the vessel.</w:t>
      </w:r>
    </w:p>
    <w:p>
      <w:pPr>
        <w:pStyle w:val="Penstart"/>
      </w:pPr>
      <w:r>
        <w:tab/>
        <w:t>Alternative offence for this subsection: subsection (3)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c>
          <w:tcPr>
            <w:tcW w:w="1985" w:type="dxa"/>
            <w:noWrap/>
          </w:tcPr>
          <w:p>
            <w:pPr>
              <w:pStyle w:val="TableNAm"/>
            </w:pPr>
            <w:r>
              <w:t>s. 75BE(1)</w:t>
            </w:r>
          </w:p>
        </w:tc>
        <w:tc>
          <w:tcPr>
            <w:tcW w:w="4082" w:type="dxa"/>
            <w:noWrap/>
          </w:tcPr>
          <w:p>
            <w:pPr>
              <w:pStyle w:val="TableNAm"/>
            </w:pPr>
            <w:r>
              <w:rPr>
                <w:noProof/>
              </w:rPr>
              <w:t>Dangerous navigation of vessel</w:t>
            </w:r>
          </w:p>
        </w:tc>
      </w:tr>
      <w:t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Penalty for this subsection: imprisonment for 10 years and a fine of any amount.</w:t>
      </w:r>
    </w:p>
    <w:p>
      <w:pPr>
        <w:pStyle w:val="Penstart"/>
      </w:pPr>
      <w:r>
        <w:tab/>
        <w:t>Summary conviction penalty for this subsection: imprisonment for 3 years or a fine of $36 000.</w:t>
      </w:r>
    </w:p>
    <w:p>
      <w:pPr>
        <w:pStyle w:val="Subsection"/>
      </w:pPr>
      <w:r>
        <w:lastRenderedPageBreak/>
        <w:tab/>
        <w:t>(2)</w:t>
      </w:r>
      <w:r>
        <w:tab/>
        <w:t xml:space="preserve">A court sentencing a person for an offence against subsection (1) must order that the person is disqualified from holding or obtaining a WA marine qualification as follows — </w:t>
      </w:r>
    </w:p>
    <w:p>
      <w:pPr>
        <w:pStyle w:val="Indenta"/>
      </w:pPr>
      <w:r>
        <w:tab/>
        <w:t>(a)</w:t>
      </w:r>
      <w:r>
        <w:tab/>
        <w:t>if the person is convicted on indictment — for a period of not less than 2 years;</w:t>
      </w:r>
    </w:p>
    <w:p>
      <w:pPr>
        <w:pStyle w:val="Indenta"/>
      </w:pPr>
      <w:r>
        <w:tab/>
        <w:t>(b)</w:t>
      </w:r>
      <w:r>
        <w:tab/>
        <w:t>if the person is convicted summarily — for a period of not less than 18 months.</w:t>
      </w:r>
    </w:p>
    <w:p>
      <w:pPr>
        <w:pStyle w:val="Subsection"/>
      </w:pPr>
      <w:r>
        <w:tab/>
        <w:t>(3)</w:t>
      </w:r>
      <w:r>
        <w:tab/>
        <w:t>A person commits a crime if —</w:t>
      </w:r>
    </w:p>
    <w:p>
      <w:pPr>
        <w:pStyle w:val="Indenta"/>
      </w:pPr>
      <w:r>
        <w:tab/>
        <w:t>(a)</w:t>
      </w:r>
      <w:r>
        <w:tab/>
        <w:t>a vessel navigated by the person is involved in an incident occasioning bodily harm to another person; and</w:t>
      </w:r>
    </w:p>
    <w:p>
      <w:pPr>
        <w:pStyle w:val="Indenta"/>
      </w:pPr>
      <w:r>
        <w:tab/>
        <w:t>(b)</w:t>
      </w:r>
      <w:r>
        <w:tab/>
        <w:t>at the time of the incident, the person was navigating the vessel in a manner that is dangerous to the public or to any person, having regard to all the circumstances of the case.</w:t>
      </w:r>
    </w:p>
    <w:p>
      <w:pPr>
        <w:pStyle w:val="Penstart"/>
      </w:pPr>
      <w:r>
        <w:tab/>
        <w:t>Alternative offence for this subsection: subsection (1) or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rPr>
          <w:cantSplit/>
        </w:trP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r>
        <w:trPr>
          <w:cantSplit/>
        </w:trPr>
        <w:tc>
          <w:tcPr>
            <w:tcW w:w="1985" w:type="dxa"/>
            <w:noWrap/>
          </w:tcPr>
          <w:p>
            <w:pPr>
              <w:pStyle w:val="TableNAm"/>
            </w:pPr>
            <w:r>
              <w:t>s. 75BE(1)</w:t>
            </w:r>
          </w:p>
        </w:tc>
        <w:tc>
          <w:tcPr>
            <w:tcW w:w="4082" w:type="dxa"/>
            <w:noWrap/>
          </w:tcPr>
          <w:p>
            <w:pPr>
              <w:pStyle w:val="TableNAm"/>
            </w:pPr>
            <w:r>
              <w:rPr>
                <w:noProof/>
              </w:rPr>
              <w:t>Dangerous navigation of vessel</w:t>
            </w:r>
          </w:p>
        </w:tc>
      </w:tr>
      <w:tr>
        <w:trPr>
          <w:cantSplit/>
        </w:trPr>
        <w:tc>
          <w:tcPr>
            <w:tcW w:w="1985" w:type="dxa"/>
            <w:noWrap/>
          </w:tcPr>
          <w:p>
            <w:pPr>
              <w:pStyle w:val="TableNAm"/>
            </w:pPr>
            <w:r>
              <w:t>s. 75BF</w:t>
            </w:r>
          </w:p>
        </w:tc>
        <w:tc>
          <w:tcPr>
            <w:tcW w:w="4082" w:type="dxa"/>
            <w:noWrap/>
          </w:tcPr>
          <w:p>
            <w:pPr>
              <w:pStyle w:val="TableNAm"/>
            </w:pPr>
            <w:r>
              <w:rPr>
                <w:noProof/>
              </w:rPr>
              <w:t>Careless navigation of vessel</w:t>
            </w:r>
          </w:p>
        </w:tc>
      </w:tr>
    </w:tbl>
    <w:p>
      <w:pPr>
        <w:pStyle w:val="Penstart"/>
      </w:pPr>
      <w:r>
        <w:tab/>
        <w:t>Penalty for this subsection:</w:t>
      </w:r>
    </w:p>
    <w:p>
      <w:pPr>
        <w:pStyle w:val="Penpara"/>
      </w:pPr>
      <w:r>
        <w:tab/>
        <w:t>(a)</w:t>
      </w:r>
      <w:r>
        <w:tab/>
        <w:t xml:space="preserve">if the offence is committed in circumstances of aggravation — </w:t>
      </w:r>
    </w:p>
    <w:p>
      <w:pPr>
        <w:pStyle w:val="Pensubpara"/>
      </w:pPr>
      <w:r>
        <w:tab/>
        <w:t>(i)</w:t>
      </w:r>
      <w:r>
        <w:tab/>
        <w:t>if the person is convicted on indictment — imprisonment for 10 years or a fine of any amount;</w:t>
      </w:r>
    </w:p>
    <w:p>
      <w:pPr>
        <w:pStyle w:val="Pensubpara"/>
      </w:pPr>
      <w:r>
        <w:lastRenderedPageBreak/>
        <w:tab/>
        <w:t>(ii)</w:t>
      </w:r>
      <w:r>
        <w:tab/>
        <w:t>if the person is convicted summarily — imprisonment for 3 years or a fine of $36 000;</w:t>
      </w:r>
    </w:p>
    <w:p>
      <w:pPr>
        <w:pStyle w:val="Penpara"/>
      </w:pPr>
      <w:r>
        <w:tab/>
        <w:t>(b)</w:t>
      </w:r>
      <w:r>
        <w:tab/>
        <w:t xml:space="preserve">otherwise — </w:t>
      </w:r>
    </w:p>
    <w:p>
      <w:pPr>
        <w:pStyle w:val="Pensubpara"/>
      </w:pPr>
      <w:r>
        <w:tab/>
        <w:t>(i)</w:t>
      </w:r>
      <w:r>
        <w:tab/>
        <w:t>for a first offence, imprisonment for 9 months or a fine of $9 000;</w:t>
      </w:r>
    </w:p>
    <w:p>
      <w:pPr>
        <w:pStyle w:val="Pensubpara"/>
      </w:pPr>
      <w:r>
        <w:tab/>
        <w:t>(ii)</w:t>
      </w:r>
      <w:r>
        <w:tab/>
        <w:t>for a second or subsequent offence, imprisonment for 18 months or a fine of $18 000.</w:t>
      </w:r>
    </w:p>
    <w:p>
      <w:pPr>
        <w:pStyle w:val="Subsection"/>
      </w:pPr>
      <w:r>
        <w:tab/>
        <w:t>(4)</w:t>
      </w:r>
      <w:r>
        <w:tab/>
        <w:t xml:space="preserve">A court sentencing a person for an offence against subsection (3) must order that the person is disqualified from holding or obtaining a WA marine qualification as follows — </w:t>
      </w:r>
    </w:p>
    <w:p>
      <w:pPr>
        <w:pStyle w:val="Indenta"/>
      </w:pPr>
      <w:r>
        <w:tab/>
        <w:t>(a)</w:t>
      </w:r>
      <w:r>
        <w:tab/>
        <w:t xml:space="preserve">if the offence is committed in circumstances of aggravation — a period of not less than 2 years; </w:t>
      </w:r>
    </w:p>
    <w:p>
      <w:pPr>
        <w:pStyle w:val="Indenta"/>
      </w:pPr>
      <w:r>
        <w:tab/>
        <w:t>(b)</w:t>
      </w:r>
      <w:r>
        <w:tab/>
        <w:t>otherwise — a period of not less than 12 months.</w:t>
      </w:r>
    </w:p>
    <w:p>
      <w:pPr>
        <w:pStyle w:val="Footnotesection"/>
        <w:ind w:left="890" w:hanging="890"/>
      </w:pPr>
      <w:r>
        <w:tab/>
        <w:t>[Section 75BB inserted: No. 31 of 2023 s. 14(1).]</w:t>
      </w:r>
    </w:p>
    <w:p>
      <w:pPr>
        <w:pStyle w:val="Heading5"/>
      </w:pPr>
      <w:bookmarkStart w:id="236" w:name="_Toc153284543"/>
      <w:bookmarkStart w:id="237" w:name="_Toc153887538"/>
      <w:r>
        <w:rPr>
          <w:rStyle w:val="CharSectno"/>
        </w:rPr>
        <w:t>75BC</w:t>
      </w:r>
      <w:r>
        <w:t>.</w:t>
      </w:r>
      <w:r>
        <w:tab/>
        <w:t>Careless navigation of vessel occasioning death, grievous bodily harm or bodily harm</w:t>
      </w:r>
      <w:bookmarkEnd w:id="236"/>
      <w:bookmarkEnd w:id="237"/>
    </w:p>
    <w:p>
      <w:pPr>
        <w:pStyle w:val="Subsection"/>
      </w:pPr>
      <w:r>
        <w:tab/>
        <w:t>(1)</w:t>
      </w:r>
      <w:r>
        <w:tab/>
        <w:t>A person commits an offence if —</w:t>
      </w:r>
    </w:p>
    <w:p>
      <w:pPr>
        <w:pStyle w:val="Indenta"/>
      </w:pPr>
      <w:r>
        <w:tab/>
        <w:t>(a)</w:t>
      </w:r>
      <w:r>
        <w:tab/>
        <w:t>a vessel navigated by the person is involved in an incident occasioning the death of, or grievous bodily harm or bodily harm to, another person; and</w:t>
      </w:r>
    </w:p>
    <w:p>
      <w:pPr>
        <w:pStyle w:val="Indenta"/>
      </w:pPr>
      <w:r>
        <w:tab/>
        <w:t>(b)</w:t>
      </w:r>
      <w:r>
        <w:tab/>
        <w:t>at the time of the incident, the person was navigating the vessel without due care and attention.</w:t>
      </w:r>
    </w:p>
    <w:p>
      <w:pPr>
        <w:pStyle w:val="Penstart"/>
      </w:pPr>
      <w:r>
        <w:tab/>
        <w:t>Alternative offence for this subsection: section 75BF (Careless navigation</w:t>
      </w:r>
      <w:r>
        <w:rPr>
          <w:noProof/>
        </w:rPr>
        <w:t xml:space="preserve"> of vessel</w:t>
      </w:r>
      <w:r>
        <w:t>).</w:t>
      </w:r>
    </w:p>
    <w:p>
      <w:pPr>
        <w:pStyle w:val="Penstart"/>
      </w:pPr>
      <w:r>
        <w:tab/>
        <w:t>Penalty for this subsection: imprisonment for 3 years or a fine of $36 000.</w:t>
      </w:r>
    </w:p>
    <w:p>
      <w:pPr>
        <w:pStyle w:val="Subsection"/>
      </w:pPr>
      <w:r>
        <w:tab/>
        <w:t>(2)</w:t>
      </w:r>
      <w:r>
        <w:tab/>
        <w:t>A court sentencing a person for an offence against subsection (1) must order that the person is disqualified from holding or obtaining a WA marine qualification for a period of not less than 3 months.</w:t>
      </w:r>
    </w:p>
    <w:p>
      <w:pPr>
        <w:pStyle w:val="Footnotesection"/>
        <w:ind w:left="890" w:hanging="890"/>
      </w:pPr>
      <w:r>
        <w:lastRenderedPageBreak/>
        <w:tab/>
        <w:t>[Section 75BC inserted: No. 31 of 2023 s. 14(1).]</w:t>
      </w:r>
    </w:p>
    <w:p>
      <w:pPr>
        <w:pStyle w:val="Heading4"/>
      </w:pPr>
      <w:bookmarkStart w:id="238" w:name="_Toc153284062"/>
      <w:bookmarkStart w:id="239" w:name="_Toc153284303"/>
      <w:bookmarkStart w:id="240" w:name="_Toc153284544"/>
      <w:bookmarkStart w:id="241" w:name="_Toc153544788"/>
      <w:bookmarkStart w:id="242" w:name="_Toc153796391"/>
      <w:bookmarkStart w:id="243" w:name="_Toc153887539"/>
      <w:r>
        <w:t>Subdivision 2 — Reckless, dangerous and careless navigation of vessels</w:t>
      </w:r>
      <w:bookmarkEnd w:id="238"/>
      <w:bookmarkEnd w:id="239"/>
      <w:bookmarkEnd w:id="240"/>
      <w:bookmarkEnd w:id="241"/>
      <w:bookmarkEnd w:id="242"/>
      <w:bookmarkEnd w:id="243"/>
    </w:p>
    <w:p>
      <w:pPr>
        <w:pStyle w:val="Footnoteheading"/>
      </w:pPr>
      <w:r>
        <w:tab/>
        <w:t>[Heading inserted: No. 31 of 2023 s. 14(1).]</w:t>
      </w:r>
    </w:p>
    <w:p>
      <w:pPr>
        <w:pStyle w:val="Heading5"/>
      </w:pPr>
      <w:bookmarkStart w:id="244" w:name="_Toc153284545"/>
      <w:bookmarkStart w:id="245" w:name="_Toc153887540"/>
      <w:r>
        <w:rPr>
          <w:rStyle w:val="CharSectno"/>
        </w:rPr>
        <w:t>75BD</w:t>
      </w:r>
      <w:r>
        <w:t>.</w:t>
      </w:r>
      <w:r>
        <w:tab/>
        <w:t>Reckless navigation of vessel</w:t>
      </w:r>
      <w:bookmarkEnd w:id="244"/>
      <w:bookmarkEnd w:id="245"/>
    </w:p>
    <w:p>
      <w:pPr>
        <w:pStyle w:val="Subsection"/>
      </w:pPr>
      <w:r>
        <w:tab/>
        <w:t>(1)</w:t>
      </w:r>
      <w:r>
        <w:tab/>
        <w:t xml:space="preserve">A person commits an offence if the person wilfully navigates a vessel in a manner that is — </w:t>
      </w:r>
    </w:p>
    <w:p>
      <w:pPr>
        <w:pStyle w:val="Indenta"/>
      </w:pPr>
      <w:r>
        <w:tab/>
        <w:t>(a)</w:t>
      </w:r>
      <w:r>
        <w:tab/>
        <w:t xml:space="preserve">inherently dangerous; or </w:t>
      </w:r>
    </w:p>
    <w:p>
      <w:pPr>
        <w:pStyle w:val="Indenta"/>
      </w:pPr>
      <w:r>
        <w:tab/>
        <w:t>(b)</w:t>
      </w:r>
      <w:r>
        <w:tab/>
        <w:t>dangerous to the public or to any person, having regard to all the circumstances of the case.</w:t>
      </w:r>
    </w:p>
    <w:p>
      <w:pPr>
        <w:pStyle w:val="Penstart"/>
      </w:pPr>
      <w:r>
        <w:tab/>
        <w:t>Penalty for this subsection:</w:t>
      </w:r>
    </w:p>
    <w:p>
      <w:pPr>
        <w:pStyle w:val="Penpara"/>
      </w:pPr>
      <w:r>
        <w:tab/>
        <w:t>(a)</w:t>
      </w:r>
      <w:r>
        <w:tab/>
        <w:t>for a first offence, a fine of $6 000;</w:t>
      </w:r>
    </w:p>
    <w:p>
      <w:pPr>
        <w:pStyle w:val="Penpara"/>
      </w:pPr>
      <w:r>
        <w:tab/>
        <w:t>(b)</w:t>
      </w:r>
      <w:r>
        <w:tab/>
        <w:t>for a second offence, a fine of $9 000;</w:t>
      </w:r>
    </w:p>
    <w:p>
      <w:pPr>
        <w:pStyle w:val="Penpara"/>
      </w:pPr>
      <w:r>
        <w:tab/>
        <w:t>(c)</w:t>
      </w:r>
      <w:r>
        <w:tab/>
        <w:t>for a third or subsequent offence, a fine of $12 000.</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75BE(1)</w:t>
            </w:r>
          </w:p>
        </w:tc>
        <w:tc>
          <w:tcPr>
            <w:tcW w:w="4082" w:type="dxa"/>
            <w:noWrap/>
          </w:tcPr>
          <w:p>
            <w:pPr>
              <w:pStyle w:val="TableNAm"/>
            </w:pPr>
            <w:r>
              <w:rPr>
                <w:noProof/>
              </w:rPr>
              <w:t>Dangerous navigation of vessel</w:t>
            </w:r>
          </w:p>
        </w:tc>
      </w:tr>
      <w:tr>
        <w:tc>
          <w:tcPr>
            <w:tcW w:w="1985" w:type="dxa"/>
            <w:noWrap/>
          </w:tcPr>
          <w:p>
            <w:pPr>
              <w:pStyle w:val="TableNAm"/>
            </w:pPr>
            <w:r>
              <w:t>s. 75BF</w:t>
            </w:r>
          </w:p>
        </w:tc>
        <w:tc>
          <w:tcPr>
            <w:tcW w:w="4082" w:type="dxa"/>
            <w:noWrap/>
          </w:tcPr>
          <w:p>
            <w:pPr>
              <w:pStyle w:val="TableNAm"/>
              <w:rPr>
                <w:noProof/>
              </w:rPr>
            </w:pPr>
            <w:r>
              <w:rPr>
                <w:noProof/>
              </w:rPr>
              <w:t>Careless navigation</w:t>
            </w:r>
            <w:r>
              <w:t xml:space="preserve"> of vessel</w:t>
            </w:r>
          </w:p>
        </w:tc>
      </w:tr>
    </w:tbl>
    <w:p>
      <w:pPr>
        <w:pStyle w:val="Subsection"/>
      </w:pPr>
      <w:r>
        <w:tab/>
        <w:t>(2)</w:t>
      </w:r>
      <w:r>
        <w:tab/>
        <w:t>If an offence against subsection (1) is committed in the circumstance of aggravation referred to in section 75AF(1)(c), the offence is a crime.</w:t>
      </w:r>
    </w:p>
    <w:p>
      <w:pPr>
        <w:pStyle w:val="Penstart"/>
      </w:pPr>
      <w:r>
        <w:tab/>
        <w:t>Alternative offence for this subsection: an offence specified in the Table.</w:t>
      </w:r>
    </w:p>
    <w:p>
      <w:pPr>
        <w:pStyle w:val="THeadingNAm"/>
      </w:pPr>
      <w:r>
        <w:lastRenderedPageBreak/>
        <w:t>Table — Alternative offence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rPr>
          <w:cantSplit/>
        </w:trPr>
        <w:tc>
          <w:tcPr>
            <w:tcW w:w="1985" w:type="dxa"/>
            <w:noWrap/>
          </w:tcPr>
          <w:p>
            <w:pPr>
              <w:pStyle w:val="TableNAm"/>
            </w:pPr>
            <w:r>
              <w:t>s. 75BE(1)</w:t>
            </w:r>
          </w:p>
        </w:tc>
        <w:tc>
          <w:tcPr>
            <w:tcW w:w="4082" w:type="dxa"/>
            <w:noWrap/>
          </w:tcPr>
          <w:p>
            <w:pPr>
              <w:pStyle w:val="TableNAm"/>
            </w:pPr>
            <w:r>
              <w:rPr>
                <w:noProof/>
              </w:rPr>
              <w:t>Dangerous navigation of vessel</w:t>
            </w:r>
          </w:p>
        </w:tc>
      </w:tr>
      <w:tr>
        <w:trPr>
          <w:cantSplit/>
        </w:trPr>
        <w:tc>
          <w:tcPr>
            <w:tcW w:w="1985" w:type="dxa"/>
            <w:noWrap/>
          </w:tcPr>
          <w:p>
            <w:pPr>
              <w:pStyle w:val="TableNAm"/>
            </w:pPr>
            <w:r>
              <w:t>s. 75BF</w:t>
            </w:r>
          </w:p>
        </w:tc>
        <w:tc>
          <w:tcPr>
            <w:tcW w:w="4082" w:type="dxa"/>
            <w:noWrap/>
          </w:tcPr>
          <w:p>
            <w:pPr>
              <w:pStyle w:val="TableNAm"/>
              <w:rPr>
                <w:noProof/>
              </w:rPr>
            </w:pPr>
            <w:r>
              <w:rPr>
                <w:noProof/>
              </w:rPr>
              <w:t>Careless navigation</w:t>
            </w:r>
            <w:r>
              <w:t xml:space="preserve"> of vessel</w:t>
            </w:r>
          </w:p>
        </w:tc>
      </w:tr>
    </w:tbl>
    <w:p>
      <w:pPr>
        <w:pStyle w:val="Penstart"/>
      </w:pPr>
      <w:r>
        <w:tab/>
        <w:t>Penalty for this subsection: imprisonment for 5 years.</w:t>
      </w:r>
    </w:p>
    <w:p>
      <w:pPr>
        <w:pStyle w:val="Penstart"/>
      </w:pPr>
      <w:r>
        <w:tab/>
        <w:t>Summary conviction penalty for this subsection: imprisonment for 2 years.</w:t>
      </w:r>
    </w:p>
    <w:p>
      <w:pPr>
        <w:pStyle w:val="Subsection"/>
      </w:pPr>
      <w:r>
        <w:tab/>
        <w:t>(3)</w:t>
      </w:r>
      <w:r>
        <w:tab/>
        <w:t xml:space="preserve">A court sentencing a person for an offence against subsection (1) must order that the person is disqualified from holding or obtaining a WA marine qualification as follows — </w:t>
      </w:r>
    </w:p>
    <w:p>
      <w:pPr>
        <w:pStyle w:val="Indenta"/>
      </w:pPr>
      <w:r>
        <w:tab/>
        <w:t>(a)</w:t>
      </w:r>
      <w:r>
        <w:tab/>
        <w:t xml:space="preserve">for an offence committed in a circumstance of aggravation — </w:t>
      </w:r>
    </w:p>
    <w:p>
      <w:pPr>
        <w:pStyle w:val="Indenti"/>
      </w:pPr>
      <w:r>
        <w:tab/>
        <w:t>(i)</w:t>
      </w:r>
      <w:r>
        <w:tab/>
        <w:t>for a first or second offence, for a period of not less than 2 years; or</w:t>
      </w:r>
    </w:p>
    <w:p>
      <w:pPr>
        <w:pStyle w:val="Indenti"/>
      </w:pPr>
      <w:r>
        <w:tab/>
        <w:t>(ii)</w:t>
      </w:r>
      <w:r>
        <w:tab/>
        <w:t>for a third or subsequent offence, permanently;</w:t>
      </w:r>
    </w:p>
    <w:p>
      <w:pPr>
        <w:pStyle w:val="Indenta"/>
      </w:pPr>
      <w:r>
        <w:tab/>
        <w:t>(b)</w:t>
      </w:r>
      <w:r>
        <w:tab/>
        <w:t xml:space="preserve">otherwise — </w:t>
      </w:r>
    </w:p>
    <w:p>
      <w:pPr>
        <w:pStyle w:val="Indenti"/>
      </w:pPr>
      <w:r>
        <w:tab/>
        <w:t>(i)</w:t>
      </w:r>
      <w:r>
        <w:tab/>
        <w:t>for a first offence, for a period of not less than 6 months; or</w:t>
      </w:r>
    </w:p>
    <w:p>
      <w:pPr>
        <w:pStyle w:val="Indenti"/>
      </w:pPr>
      <w:r>
        <w:tab/>
        <w:t>(ii)</w:t>
      </w:r>
      <w:r>
        <w:tab/>
        <w:t>for a second offence, for a period of not less than 12 months; or</w:t>
      </w:r>
    </w:p>
    <w:p>
      <w:pPr>
        <w:pStyle w:val="Indenti"/>
      </w:pPr>
      <w:r>
        <w:tab/>
        <w:t>(iii)</w:t>
      </w:r>
      <w:r>
        <w:tab/>
        <w:t>for a third or subsequent offence, permanently.</w:t>
      </w:r>
    </w:p>
    <w:p>
      <w:pPr>
        <w:pStyle w:val="Subsection"/>
      </w:pPr>
      <w:r>
        <w:tab/>
        <w:t>(4)</w:t>
      </w:r>
      <w:r>
        <w:tab/>
        <w:t>A police officer may arrest a person for an offence against subsection (1) without a warrant.</w:t>
      </w:r>
    </w:p>
    <w:p>
      <w:pPr>
        <w:pStyle w:val="Footnotesection"/>
        <w:ind w:left="890" w:hanging="890"/>
      </w:pPr>
      <w:r>
        <w:tab/>
        <w:t>[Section 75BD inserted: No. 31 of 2023 s. 14(1).]</w:t>
      </w:r>
    </w:p>
    <w:p>
      <w:pPr>
        <w:pStyle w:val="Heading5"/>
      </w:pPr>
      <w:bookmarkStart w:id="246" w:name="_Toc153284546"/>
      <w:bookmarkStart w:id="247" w:name="_Toc153887541"/>
      <w:r>
        <w:rPr>
          <w:rStyle w:val="CharSectno"/>
        </w:rPr>
        <w:t>75BE</w:t>
      </w:r>
      <w:r>
        <w:t>.</w:t>
      </w:r>
      <w:r>
        <w:tab/>
        <w:t>Dangerous navigation of vessel</w:t>
      </w:r>
      <w:bookmarkEnd w:id="246"/>
      <w:bookmarkEnd w:id="247"/>
    </w:p>
    <w:p>
      <w:pPr>
        <w:pStyle w:val="Subsection"/>
      </w:pPr>
      <w:r>
        <w:tab/>
        <w:t>(1)</w:t>
      </w:r>
      <w:r>
        <w:tab/>
        <w:t>A person commits an offence if the person navigates a vessel in a manner that is dangerous to the public or to any person, having regard to all the circumstances of the case.</w:t>
      </w:r>
    </w:p>
    <w:p>
      <w:pPr>
        <w:pStyle w:val="Penstart"/>
      </w:pPr>
      <w:r>
        <w:lastRenderedPageBreak/>
        <w:tab/>
        <w:t>Alternative offence for this subsection: section 75BF (Careless navigation of vessel).</w:t>
      </w:r>
    </w:p>
    <w:p>
      <w:pPr>
        <w:pStyle w:val="Penstart"/>
      </w:pPr>
      <w:r>
        <w:tab/>
        <w:t>Penalty for this subsection:</w:t>
      </w:r>
    </w:p>
    <w:p>
      <w:pPr>
        <w:pStyle w:val="Penpara"/>
      </w:pPr>
      <w:r>
        <w:tab/>
        <w:t>(a)</w:t>
      </w:r>
      <w:r>
        <w:tab/>
        <w:t>for an offence committed in the circumstance of aggravation referred to in section 75AF(1)(c) — imprisonment for 3 years or a fine of $36 000;</w:t>
      </w:r>
    </w:p>
    <w:p>
      <w:pPr>
        <w:pStyle w:val="Penpara"/>
      </w:pPr>
      <w:r>
        <w:tab/>
        <w:t>(b)</w:t>
      </w:r>
      <w:r>
        <w:tab/>
        <w:t xml:space="preserve">otherwise — </w:t>
      </w:r>
    </w:p>
    <w:p>
      <w:pPr>
        <w:pStyle w:val="Pensubpara"/>
      </w:pPr>
      <w:r>
        <w:tab/>
        <w:t>(i)</w:t>
      </w:r>
      <w:r>
        <w:tab/>
        <w:t>for a first offence, a fine of $3 000;</w:t>
      </w:r>
    </w:p>
    <w:p>
      <w:pPr>
        <w:pStyle w:val="Pensubpara"/>
      </w:pPr>
      <w:r>
        <w:tab/>
        <w:t>(ii)</w:t>
      </w:r>
      <w:r>
        <w:tab/>
        <w:t>for a second or subsequent offence, a fine of $6 000.</w:t>
      </w:r>
    </w:p>
    <w:p>
      <w:pPr>
        <w:pStyle w:val="Subsection"/>
      </w:pPr>
      <w:r>
        <w:tab/>
        <w:t>(2)</w:t>
      </w:r>
      <w:r>
        <w:tab/>
        <w:t xml:space="preserve">A court sentencing a person for an offence against subsection (1) must order that the offender is disqualified from holding or obtaining a WA marine qualification as follows — </w:t>
      </w:r>
    </w:p>
    <w:p>
      <w:pPr>
        <w:pStyle w:val="Indenta"/>
      </w:pPr>
      <w:r>
        <w:tab/>
        <w:t>(a)</w:t>
      </w:r>
      <w:r>
        <w:tab/>
        <w:t>for an offence committed in the circumstance of aggravation referred to in section 75AF(1)(c) — for a period of not less than 2 years;</w:t>
      </w:r>
    </w:p>
    <w:p>
      <w:pPr>
        <w:pStyle w:val="Indenta"/>
      </w:pPr>
      <w:r>
        <w:tab/>
        <w:t>(b)</w:t>
      </w:r>
      <w:r>
        <w:tab/>
        <w:t>if paragraph (a) does not apply and the offence is a second or subsequent offence — for a period of not less than 12 months.</w:t>
      </w:r>
    </w:p>
    <w:p>
      <w:pPr>
        <w:pStyle w:val="Subsection"/>
      </w:pPr>
      <w:r>
        <w:tab/>
        <w:t>(3)</w:t>
      </w:r>
      <w:r>
        <w:tab/>
        <w:t>In determining whether an offence against subsection (1) is a first, second or subsequent offence, a previous offence against a provision specified in the Table must be taken into account as if it were a previous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TableNAm"/>
              <w:jc w:val="center"/>
              <w:rPr>
                <w:b/>
                <w:bCs/>
              </w:rPr>
            </w:pPr>
            <w:r>
              <w:rPr>
                <w:b/>
                <w:bCs/>
              </w:rPr>
              <w:t>Section no.</w:t>
            </w:r>
          </w:p>
        </w:tc>
        <w:tc>
          <w:tcPr>
            <w:tcW w:w="4082" w:type="dxa"/>
            <w:noWrap/>
          </w:tcPr>
          <w:p>
            <w:pPr>
              <w:pStyle w:val="TableNAm"/>
              <w:jc w:val="center"/>
              <w:rPr>
                <w:b/>
                <w:bCs/>
              </w:rPr>
            </w:pPr>
            <w:r>
              <w:rPr>
                <w:b/>
                <w:bCs/>
              </w:rPr>
              <w:t>Section heading</w:t>
            </w:r>
          </w:p>
        </w:tc>
      </w:tr>
      <w:tr>
        <w:tc>
          <w:tcPr>
            <w:tcW w:w="1985" w:type="dxa"/>
            <w:noWrap/>
          </w:tcPr>
          <w:p>
            <w:pPr>
              <w:pStyle w:val="TableNAm"/>
            </w:pPr>
            <w:r>
              <w:t>s. 75B(1) or (2)</w:t>
            </w:r>
          </w:p>
        </w:tc>
        <w:tc>
          <w:tcPr>
            <w:tcW w:w="4082" w:type="dxa"/>
            <w:noWrap/>
          </w:tcPr>
          <w:p>
            <w:pPr>
              <w:pStyle w:val="TableNAm"/>
            </w:pPr>
            <w:r>
              <w:rPr>
                <w:noProof/>
              </w:rPr>
              <w:t>Dangerous navigation of vessel occasioning death</w:t>
            </w:r>
          </w:p>
        </w:tc>
      </w:tr>
      <w:tr>
        <w:tc>
          <w:tcPr>
            <w:tcW w:w="1985" w:type="dxa"/>
            <w:noWrap/>
          </w:tcPr>
          <w:p>
            <w:pPr>
              <w:pStyle w:val="TableNAm"/>
            </w:pPr>
            <w:r>
              <w:t>s. 75BA(1) or (2)</w:t>
            </w:r>
          </w:p>
        </w:tc>
        <w:tc>
          <w:tcPr>
            <w:tcW w:w="4082" w:type="dxa"/>
            <w:noWrap/>
          </w:tcPr>
          <w:p>
            <w:pPr>
              <w:pStyle w:val="TableNAm"/>
            </w:pPr>
            <w:r>
              <w:rPr>
                <w:noProof/>
              </w:rPr>
              <w:t>Dangerous navigation of vessel occasioning grievous bodily harm</w:t>
            </w:r>
          </w:p>
        </w:tc>
      </w:tr>
      <w:tr>
        <w:tc>
          <w:tcPr>
            <w:tcW w:w="1985" w:type="dxa"/>
            <w:noWrap/>
          </w:tcPr>
          <w:p>
            <w:pPr>
              <w:pStyle w:val="TableNAm"/>
            </w:pPr>
            <w:r>
              <w:lastRenderedPageBreak/>
              <w:t>s. 75BB(1) or (3)</w:t>
            </w:r>
          </w:p>
        </w:tc>
        <w:tc>
          <w:tcPr>
            <w:tcW w:w="4082" w:type="dxa"/>
            <w:noWrap/>
          </w:tcPr>
          <w:p>
            <w:pPr>
              <w:pStyle w:val="TableNAm"/>
            </w:pPr>
            <w:r>
              <w:rPr>
                <w:noProof/>
              </w:rPr>
              <w:t>Dangerous navigation of vessel occasioning bodily harm</w:t>
            </w:r>
          </w:p>
        </w:tc>
      </w:tr>
      <w:tr>
        <w:tc>
          <w:tcPr>
            <w:tcW w:w="1985" w:type="dxa"/>
            <w:noWrap/>
          </w:tcPr>
          <w:p>
            <w:pPr>
              <w:pStyle w:val="TableNAm"/>
            </w:pPr>
            <w:r>
              <w:t>s. 75BC(1)</w:t>
            </w:r>
          </w:p>
        </w:tc>
        <w:tc>
          <w:tcPr>
            <w:tcW w:w="4082" w:type="dxa"/>
            <w:noWrap/>
          </w:tcPr>
          <w:p>
            <w:pPr>
              <w:pStyle w:val="TableNAm"/>
            </w:pPr>
            <w:r>
              <w:rPr>
                <w:noProof/>
              </w:rPr>
              <w:t>Careless navigation of vessel occasioning death, grievous bodily harm or bodily harm</w:t>
            </w:r>
          </w:p>
        </w:tc>
      </w:tr>
    </w:tbl>
    <w:p>
      <w:pPr>
        <w:pStyle w:val="Footnotesection"/>
        <w:ind w:left="890" w:hanging="890"/>
      </w:pPr>
      <w:bookmarkStart w:id="248" w:name="_Toc153284547"/>
      <w:r>
        <w:tab/>
        <w:t>[Section 75BE inserted: No. 31 of 2023 s. 14(1).]</w:t>
      </w:r>
    </w:p>
    <w:p>
      <w:pPr>
        <w:pStyle w:val="Heading5"/>
      </w:pPr>
      <w:bookmarkStart w:id="249" w:name="_Toc153887542"/>
      <w:r>
        <w:rPr>
          <w:rStyle w:val="CharSectno"/>
        </w:rPr>
        <w:t>75BF</w:t>
      </w:r>
      <w:r>
        <w:t>.</w:t>
      </w:r>
      <w:r>
        <w:tab/>
        <w:t>Careless navigation of vessel</w:t>
      </w:r>
      <w:bookmarkEnd w:id="248"/>
      <w:bookmarkEnd w:id="249"/>
    </w:p>
    <w:p>
      <w:pPr>
        <w:pStyle w:val="Subsection"/>
      </w:pPr>
      <w:r>
        <w:tab/>
      </w:r>
      <w:r>
        <w:tab/>
        <w:t>A person commits an offence if the person navigates a vessel without due care and attention.</w:t>
      </w:r>
    </w:p>
    <w:p>
      <w:pPr>
        <w:pStyle w:val="Penstart"/>
      </w:pPr>
      <w:r>
        <w:tab/>
        <w:t>Penalty: a fine of $1 500.</w:t>
      </w:r>
    </w:p>
    <w:p>
      <w:pPr>
        <w:pStyle w:val="Footnotesection"/>
        <w:ind w:left="890" w:hanging="890"/>
      </w:pPr>
      <w:r>
        <w:tab/>
        <w:t>[Section 75BF inserted: No. 31 of 2023 s. 14(1).]</w:t>
      </w:r>
    </w:p>
    <w:p>
      <w:pPr>
        <w:pStyle w:val="Heading4"/>
      </w:pPr>
      <w:bookmarkStart w:id="250" w:name="_Toc153284066"/>
      <w:bookmarkStart w:id="251" w:name="_Toc153284307"/>
      <w:bookmarkStart w:id="252" w:name="_Toc153284548"/>
      <w:bookmarkStart w:id="253" w:name="_Toc153544792"/>
      <w:bookmarkStart w:id="254" w:name="_Toc153796395"/>
      <w:bookmarkStart w:id="255" w:name="_Toc153887543"/>
      <w:r>
        <w:t>Subdivision 3 — Provisions relating to offences in Subdivisions 1 and 2</w:t>
      </w:r>
      <w:bookmarkEnd w:id="250"/>
      <w:bookmarkEnd w:id="251"/>
      <w:bookmarkEnd w:id="252"/>
      <w:bookmarkEnd w:id="253"/>
      <w:bookmarkEnd w:id="254"/>
      <w:bookmarkEnd w:id="255"/>
    </w:p>
    <w:p>
      <w:pPr>
        <w:pStyle w:val="Footnoteheading"/>
      </w:pPr>
      <w:r>
        <w:tab/>
        <w:t>[Heading inserted: No. 31 of 2023 s. 14(1).]</w:t>
      </w:r>
    </w:p>
    <w:p>
      <w:pPr>
        <w:pStyle w:val="Heading5"/>
      </w:pPr>
      <w:bookmarkStart w:id="256" w:name="_Toc153284549"/>
      <w:bookmarkStart w:id="257" w:name="_Toc153887544"/>
      <w:r>
        <w:rPr>
          <w:rStyle w:val="CharSectno"/>
        </w:rPr>
        <w:t>75BG</w:t>
      </w:r>
      <w:r>
        <w:t>.</w:t>
      </w:r>
      <w:r>
        <w:tab/>
        <w:t>Application of Subdivision</w:t>
      </w:r>
      <w:bookmarkEnd w:id="256"/>
      <w:bookmarkEnd w:id="257"/>
    </w:p>
    <w:p>
      <w:pPr>
        <w:pStyle w:val="Subsection"/>
      </w:pPr>
      <w:r>
        <w:tab/>
      </w:r>
      <w:r>
        <w:tab/>
        <w:t>This Subdivision applies for the purposes of an offence against a provision of Subdivision 1 or 2.</w:t>
      </w:r>
    </w:p>
    <w:p>
      <w:pPr>
        <w:pStyle w:val="Footnotesection"/>
        <w:ind w:left="890" w:hanging="890"/>
      </w:pPr>
      <w:r>
        <w:tab/>
        <w:t>[Section 75BG inserted: No. 31 of 2023 s. 14(1).]</w:t>
      </w:r>
    </w:p>
    <w:p>
      <w:pPr>
        <w:pStyle w:val="Heading5"/>
      </w:pPr>
      <w:bookmarkStart w:id="258" w:name="_Toc153284550"/>
      <w:bookmarkStart w:id="259" w:name="_Toc153887545"/>
      <w:r>
        <w:rPr>
          <w:rStyle w:val="CharSectno"/>
        </w:rPr>
        <w:t>75BH</w:t>
      </w:r>
      <w:r>
        <w:t>.</w:t>
      </w:r>
      <w:r>
        <w:tab/>
        <w:t>Circumstances occasioning death, grievous bodily harm or bodily harm</w:t>
      </w:r>
      <w:bookmarkEnd w:id="258"/>
      <w:bookmarkEnd w:id="259"/>
    </w:p>
    <w:p>
      <w:pPr>
        <w:pStyle w:val="Subsection"/>
      </w:pPr>
      <w:r>
        <w:tab/>
      </w:r>
      <w:r>
        <w:tab/>
        <w:t xml:space="preserve">The circumstances in which a vessel is involved in an incident occasioning the death of, or grievous bodily harm or bodily harm to, a person include circumstances in which the death or harm is occasioned through any of the following — </w:t>
      </w:r>
    </w:p>
    <w:p>
      <w:pPr>
        <w:pStyle w:val="Indenta"/>
      </w:pPr>
      <w:r>
        <w:lastRenderedPageBreak/>
        <w:tab/>
        <w:t>(a)</w:t>
      </w:r>
      <w:r>
        <w:tab/>
        <w:t>the vessel overturning or running aground while the person is in or on the vessel (whether as a passenger or otherwise);</w:t>
      </w:r>
    </w:p>
    <w:p>
      <w:pPr>
        <w:pStyle w:val="Indenta"/>
      </w:pPr>
      <w:r>
        <w:tab/>
        <w:t>(b)</w:t>
      </w:r>
      <w:r>
        <w:tab/>
        <w:t>the person falling from the vessel, or being thrown or ejected from the vessel, while in or on the vessel (whether as a passenger or otherwise);</w:t>
      </w:r>
    </w:p>
    <w:p>
      <w:pPr>
        <w:pStyle w:val="Indenta"/>
      </w:pPr>
      <w:r>
        <w:tab/>
        <w:t>(c)</w:t>
      </w:r>
      <w:r>
        <w:tab/>
        <w:t>an impact between any object or thing and the vessel while the person is in or on the vessel (whether as a passenger or otherwise);</w:t>
      </w:r>
    </w:p>
    <w:p>
      <w:pPr>
        <w:pStyle w:val="Indenta"/>
      </w:pPr>
      <w:r>
        <w:tab/>
        <w:t>(d)</w:t>
      </w:r>
      <w:r>
        <w:tab/>
        <w:t>an impact between the person and the vessel;</w:t>
      </w:r>
    </w:p>
    <w:p>
      <w:pPr>
        <w:pStyle w:val="Indenta"/>
      </w:pPr>
      <w:r>
        <w:tab/>
        <w:t>(e)</w:t>
      </w:r>
      <w:r>
        <w:tab/>
        <w:t>an impact between the vessel and another vessel, or an object or thing, while the person is on or near the other vessel, object or thing;</w:t>
      </w:r>
    </w:p>
    <w:p>
      <w:pPr>
        <w:pStyle w:val="Indenta"/>
      </w:pPr>
      <w:r>
        <w:tab/>
        <w:t>(f)</w:t>
      </w:r>
      <w:r>
        <w:tab/>
        <w:t>an impact between the person and any object on or attached to the vessel;</w:t>
      </w:r>
    </w:p>
    <w:p>
      <w:pPr>
        <w:pStyle w:val="Indenta"/>
      </w:pPr>
      <w:r>
        <w:tab/>
        <w:t>(g)</w:t>
      </w:r>
      <w:r>
        <w:tab/>
        <w:t>an impact between the person and any object that is in motion having fallen from the vessel;</w:t>
      </w:r>
    </w:p>
    <w:p>
      <w:pPr>
        <w:pStyle w:val="Indenta"/>
      </w:pPr>
      <w:r>
        <w:tab/>
        <w:t>(h)</w:t>
      </w:r>
      <w:r>
        <w:tab/>
        <w:t>an impact between any object or thing and the person while the person is in or on the vessel (whether as a passenger or otherwise);</w:t>
      </w:r>
    </w:p>
    <w:p>
      <w:pPr>
        <w:pStyle w:val="Indenta"/>
      </w:pPr>
      <w:r>
        <w:tab/>
        <w:t>(i)</w:t>
      </w:r>
      <w:r>
        <w:tab/>
        <w:t>the vessel causing an impact between other vessels or between another vessel and any object, thing or person;</w:t>
      </w:r>
    </w:p>
    <w:p>
      <w:pPr>
        <w:pStyle w:val="Indenta"/>
      </w:pPr>
      <w:r>
        <w:tab/>
        <w:t>(j)</w:t>
      </w:r>
      <w:r>
        <w:tab/>
        <w:t>the vessel causing another vessel to overturn or run aground;</w:t>
      </w:r>
    </w:p>
    <w:p>
      <w:pPr>
        <w:pStyle w:val="Indenta"/>
      </w:pPr>
      <w:r>
        <w:tab/>
        <w:t>(k)</w:t>
      </w:r>
      <w:r>
        <w:tab/>
        <w:t>the vessel causing a person (whether as a passenger or otherwise) in or on another vessel to fall from that other vessel.</w:t>
      </w:r>
    </w:p>
    <w:p>
      <w:pPr>
        <w:pStyle w:val="Footnotesection"/>
        <w:ind w:left="890" w:hanging="890"/>
      </w:pPr>
      <w:r>
        <w:tab/>
        <w:t>[Section 75BH inserted: No. 31 of 2023 s. 14(1).]</w:t>
      </w:r>
    </w:p>
    <w:p>
      <w:pPr>
        <w:pStyle w:val="Heading5"/>
      </w:pPr>
      <w:bookmarkStart w:id="260" w:name="_Toc153284551"/>
      <w:bookmarkStart w:id="261" w:name="_Toc153887546"/>
      <w:r>
        <w:rPr>
          <w:rStyle w:val="CharSectno"/>
        </w:rPr>
        <w:lastRenderedPageBreak/>
        <w:t>75BI</w:t>
      </w:r>
      <w:r>
        <w:t>.</w:t>
      </w:r>
      <w:r>
        <w:tab/>
        <w:t>Provisions for offences involving incidents occasioning death, grievous bodily harm or bodily harm</w:t>
      </w:r>
      <w:bookmarkEnd w:id="260"/>
      <w:bookmarkEnd w:id="261"/>
    </w:p>
    <w:p>
      <w:pPr>
        <w:pStyle w:val="Subsection"/>
      </w:pPr>
      <w:r>
        <w:tab/>
        <w:t>(1)</w:t>
      </w:r>
      <w:r>
        <w:tab/>
        <w:t xml:space="preserve">This section applies for the purposes of an offence involving an incident that occasioned the death of, or grievous bodily harm or bodily harm to, a person (the </w:t>
      </w:r>
      <w:r>
        <w:rPr>
          <w:rStyle w:val="CharDefText"/>
        </w:rPr>
        <w:t>casualty</w:t>
      </w:r>
      <w:r>
        <w:t>).</w:t>
      </w:r>
    </w:p>
    <w:p>
      <w:pPr>
        <w:pStyle w:val="Subsection"/>
      </w:pPr>
      <w:r>
        <w:tab/>
        <w:t>(2)</w:t>
      </w:r>
      <w:r>
        <w:tab/>
        <w:t xml:space="preserve">It is immaterial that the death, grievous bodily harm or bodily harm — </w:t>
      </w:r>
    </w:p>
    <w:p>
      <w:pPr>
        <w:pStyle w:val="Indenta"/>
      </w:pPr>
      <w:r>
        <w:tab/>
        <w:t>(a)</w:t>
      </w:r>
      <w:r>
        <w:tab/>
        <w:t>might have been avoided by proper precaution on the part of a person other than the person charged; or</w:t>
      </w:r>
    </w:p>
    <w:p>
      <w:pPr>
        <w:pStyle w:val="Indenta"/>
      </w:pPr>
      <w:r>
        <w:tab/>
        <w:t>(b)</w:t>
      </w:r>
      <w:r>
        <w:tab/>
        <w:t>might have been prevented if the casualty received proper care or treatment.</w:t>
      </w:r>
    </w:p>
    <w:p>
      <w:pPr>
        <w:pStyle w:val="Subsection"/>
      </w:pPr>
      <w:r>
        <w:tab/>
        <w:t>(3)</w:t>
      </w:r>
      <w:r>
        <w:tab/>
        <w:t xml:space="preserve">The incident is taken to have caused the death of the casualty if — </w:t>
      </w:r>
    </w:p>
    <w:p>
      <w:pPr>
        <w:pStyle w:val="Indenta"/>
      </w:pPr>
      <w:r>
        <w:tab/>
        <w:t>(a)</w:t>
      </w:r>
      <w:r>
        <w:tab/>
        <w:t xml:space="preserve">the incident occasions grievous bodily harm to the casualty; and </w:t>
      </w:r>
    </w:p>
    <w:p>
      <w:pPr>
        <w:pStyle w:val="Indenta"/>
      </w:pPr>
      <w:r>
        <w:tab/>
        <w:t>(b)</w:t>
      </w:r>
      <w:r>
        <w:tab/>
        <w:t xml:space="preserve">the casualty receives surgical or medical treatment for the harm; and </w:t>
      </w:r>
    </w:p>
    <w:p>
      <w:pPr>
        <w:pStyle w:val="Indenta"/>
      </w:pPr>
      <w:r>
        <w:tab/>
        <w:t>(c)</w:t>
      </w:r>
      <w:r>
        <w:tab/>
        <w:t>the death results from the harm or the treatment.</w:t>
      </w:r>
    </w:p>
    <w:p>
      <w:pPr>
        <w:pStyle w:val="Subsection"/>
      </w:pPr>
      <w:r>
        <w:tab/>
        <w:t>(4)</w:t>
      </w:r>
      <w:r>
        <w:tab/>
        <w:t>Subsection (3) applies even though the immediate cause of the casualty’s death was the surgical or medical treatment, if the treatment was reasonably proper in the circumstances and provided in good faith.</w:t>
      </w:r>
    </w:p>
    <w:p>
      <w:pPr>
        <w:pStyle w:val="Footnotesection"/>
        <w:ind w:left="890" w:hanging="890"/>
      </w:pPr>
      <w:r>
        <w:tab/>
        <w:t>[Section 75BI inserted: No. 31 of 2023 s. 14(1).]</w:t>
      </w:r>
    </w:p>
    <w:p>
      <w:pPr>
        <w:pStyle w:val="Heading5"/>
      </w:pPr>
      <w:bookmarkStart w:id="262" w:name="_Toc153284552"/>
      <w:bookmarkStart w:id="263" w:name="_Toc153887547"/>
      <w:r>
        <w:rPr>
          <w:rStyle w:val="CharSectno"/>
        </w:rPr>
        <w:t>75BJ</w:t>
      </w:r>
      <w:r>
        <w:t>.</w:t>
      </w:r>
      <w:r>
        <w:tab/>
        <w:t>Defence: death or harm not attributable to alcohol or drugs</w:t>
      </w:r>
      <w:bookmarkEnd w:id="262"/>
      <w:bookmarkEnd w:id="263"/>
    </w:p>
    <w:p>
      <w:pPr>
        <w:pStyle w:val="Subsection"/>
      </w:pPr>
      <w:r>
        <w:tab/>
        <w:t>(1)</w:t>
      </w:r>
      <w:r>
        <w:tab/>
        <w:t>This section applies if it is alleged that an offence involving an incident that occasioned the death of, or grievous bodily harm or bodily harm to, a person occurred while the person charged was under the influence of alcohol, a drug, or alcohol and a drug.</w:t>
      </w:r>
    </w:p>
    <w:p>
      <w:pPr>
        <w:pStyle w:val="Subsection"/>
      </w:pPr>
      <w:r>
        <w:tab/>
        <w:t>(2)</w:t>
      </w:r>
      <w:r>
        <w:tab/>
        <w:t xml:space="preserve">It is a defence to a charge of the offence for the person charged to prove that the death, grievous bodily harm or bodily harm </w:t>
      </w:r>
      <w:r>
        <w:lastRenderedPageBreak/>
        <w:t>was not attributable to the fact that the person charged was under the influence of alcohol, the drug, or alcohol and the drug.</w:t>
      </w:r>
    </w:p>
    <w:p>
      <w:pPr>
        <w:pStyle w:val="Footnotesection"/>
        <w:ind w:left="890" w:hanging="890"/>
      </w:pPr>
      <w:r>
        <w:tab/>
        <w:t>[Section 75BJ inserted: No. 31 of 2023 s. 14(1).]</w:t>
      </w:r>
    </w:p>
    <w:p>
      <w:pPr>
        <w:pStyle w:val="Heading5"/>
      </w:pPr>
      <w:bookmarkStart w:id="264" w:name="_Toc153284553"/>
      <w:bookmarkStart w:id="265" w:name="_Toc153887548"/>
      <w:r>
        <w:rPr>
          <w:rStyle w:val="CharSectno"/>
        </w:rPr>
        <w:t>75BK</w:t>
      </w:r>
      <w:r>
        <w:t>.</w:t>
      </w:r>
      <w:r>
        <w:tab/>
        <w:t>Defence: death or harm not attributable to manner of operation or level of care and attention</w:t>
      </w:r>
      <w:bookmarkEnd w:id="264"/>
      <w:bookmarkEnd w:id="265"/>
    </w:p>
    <w:p>
      <w:pPr>
        <w:pStyle w:val="Subsection"/>
      </w:pPr>
      <w:r>
        <w:tab/>
        <w:t>(1)</w:t>
      </w:r>
      <w:r>
        <w:tab/>
        <w:t xml:space="preserve">This section applies if it is alleged that an offence involving an incident that occasioned the death of, or grievous bodily harm or bodily harm to, a person occurred while the person charged was navigating the vessel. </w:t>
      </w:r>
    </w:p>
    <w:p>
      <w:pPr>
        <w:pStyle w:val="Subsection"/>
      </w:pPr>
      <w:r>
        <w:tab/>
        <w:t>(2)</w:t>
      </w:r>
      <w:r>
        <w:tab/>
        <w:t xml:space="preserve">It is a defence to a charge of the offence for the person charged to prove that the death, grievous bodily harm or bodily harm was not attributable to — </w:t>
      </w:r>
    </w:p>
    <w:p>
      <w:pPr>
        <w:pStyle w:val="Indenta"/>
      </w:pPr>
      <w:r>
        <w:tab/>
        <w:t>(a)</w:t>
      </w:r>
      <w:r>
        <w:tab/>
        <w:t>the manner in which the person navigated the vessel; or</w:t>
      </w:r>
    </w:p>
    <w:p>
      <w:pPr>
        <w:pStyle w:val="Indenta"/>
      </w:pPr>
      <w:r>
        <w:tab/>
        <w:t>(b)</w:t>
      </w:r>
      <w:r>
        <w:tab/>
        <w:t>the person’s level of care or attention when navigating the vessel.</w:t>
      </w:r>
    </w:p>
    <w:p>
      <w:pPr>
        <w:pStyle w:val="Footnotesection"/>
        <w:ind w:left="890" w:hanging="890"/>
      </w:pPr>
      <w:r>
        <w:tab/>
        <w:t>[Section 75BK inserted: No. 31 of 2023 s. 14(1).]</w:t>
      </w:r>
    </w:p>
    <w:p>
      <w:pPr>
        <w:pStyle w:val="Heading5"/>
      </w:pPr>
      <w:bookmarkStart w:id="266" w:name="_Toc153284554"/>
      <w:bookmarkStart w:id="267" w:name="_Toc153887549"/>
      <w:r>
        <w:rPr>
          <w:rStyle w:val="CharSectno"/>
        </w:rPr>
        <w:t>75BL</w:t>
      </w:r>
      <w:r>
        <w:t>.</w:t>
      </w:r>
      <w:r>
        <w:tab/>
        <w:t>Defence: inspector or police officer navigating vessel in certain circumstances</w:t>
      </w:r>
      <w:bookmarkEnd w:id="266"/>
      <w:bookmarkEnd w:id="267"/>
    </w:p>
    <w:p>
      <w:pPr>
        <w:pStyle w:val="Subsection"/>
      </w:pPr>
      <w:r>
        <w:tab/>
        <w:t>(1)</w:t>
      </w:r>
      <w:r>
        <w:tab/>
        <w:t xml:space="preserve">This section applies if it is alleged that the person charged with an offence navigated a vessel in a manner that was — </w:t>
      </w:r>
    </w:p>
    <w:p>
      <w:pPr>
        <w:pStyle w:val="Indenta"/>
      </w:pPr>
      <w:r>
        <w:tab/>
        <w:t>(a)</w:t>
      </w:r>
      <w:r>
        <w:tab/>
        <w:t>inherently dangerous; or</w:t>
      </w:r>
    </w:p>
    <w:p>
      <w:pPr>
        <w:pStyle w:val="Indenta"/>
      </w:pPr>
      <w:r>
        <w:tab/>
        <w:t>(b)</w:t>
      </w:r>
      <w:r>
        <w:tab/>
        <w:t>dangerous to the public or to any person.</w:t>
      </w:r>
    </w:p>
    <w:p>
      <w:pPr>
        <w:pStyle w:val="Subsection"/>
      </w:pPr>
      <w:r>
        <w:tab/>
        <w:t>(2)</w:t>
      </w:r>
      <w:r>
        <w:tab/>
        <w:t xml:space="preserve">It is a defence to a charge of the offence for the person charged to prove that, at the time of the alleged offence — </w:t>
      </w:r>
    </w:p>
    <w:p>
      <w:pPr>
        <w:pStyle w:val="Indenta"/>
      </w:pPr>
      <w:r>
        <w:tab/>
        <w:t>(a)</w:t>
      </w:r>
      <w:r>
        <w:tab/>
        <w:t>the person was on official duty as an inspector or police officer; and</w:t>
      </w:r>
    </w:p>
    <w:p>
      <w:pPr>
        <w:pStyle w:val="Indenta"/>
      </w:pPr>
      <w:r>
        <w:tab/>
        <w:t>(b)</w:t>
      </w:r>
      <w:r>
        <w:tab/>
        <w:t xml:space="preserve">the person navigated the vessel substantially in accordance with — </w:t>
      </w:r>
    </w:p>
    <w:p>
      <w:pPr>
        <w:pStyle w:val="Indenti"/>
      </w:pPr>
      <w:r>
        <w:lastRenderedPageBreak/>
        <w:tab/>
        <w:t>(i)</w:t>
      </w:r>
      <w:r>
        <w:tab/>
        <w:t xml:space="preserve">the chief executive officer’s or Commissioner of Police’s policies and guidelines relating to navigating vessels; and </w:t>
      </w:r>
    </w:p>
    <w:p>
      <w:pPr>
        <w:pStyle w:val="Indenti"/>
      </w:pPr>
      <w:r>
        <w:tab/>
        <w:t>(ii)</w:t>
      </w:r>
      <w:r>
        <w:tab/>
        <w:t>a direction given under any of those policies or guidelines;</w:t>
      </w:r>
    </w:p>
    <w:p>
      <w:pPr>
        <w:pStyle w:val="Indenta"/>
      </w:pPr>
      <w:r>
        <w:tab/>
      </w:r>
      <w:r>
        <w:tab/>
        <w:t>and</w:t>
      </w:r>
    </w:p>
    <w:p>
      <w:pPr>
        <w:pStyle w:val="Indenta"/>
      </w:pPr>
      <w:r>
        <w:tab/>
        <w:t>(c)</w:t>
      </w:r>
      <w:r>
        <w:tab/>
        <w:t>it was reasonable and in the public interest for the person charged to navigate the vessel in that manner, having regard to all of the circumstances of the case.</w:t>
      </w:r>
    </w:p>
    <w:p>
      <w:pPr>
        <w:pStyle w:val="Footnotesection"/>
        <w:ind w:left="890" w:hanging="890"/>
      </w:pPr>
      <w:r>
        <w:tab/>
        <w:t>[Section 75BL inserted: No. 31 of 2023 s. 14(1).]</w:t>
      </w:r>
    </w:p>
    <w:p>
      <w:pPr>
        <w:pStyle w:val="Heading3"/>
      </w:pPr>
      <w:bookmarkStart w:id="268" w:name="_Toc153284073"/>
      <w:bookmarkStart w:id="269" w:name="_Toc153284314"/>
      <w:bookmarkStart w:id="270" w:name="_Toc153284555"/>
      <w:bookmarkStart w:id="271" w:name="_Toc153544799"/>
      <w:bookmarkStart w:id="272" w:name="_Toc153796402"/>
      <w:bookmarkStart w:id="273" w:name="_Toc153887550"/>
      <w:r>
        <w:rPr>
          <w:rStyle w:val="CharDivNo"/>
        </w:rPr>
        <w:t>Division 3</w:t>
      </w:r>
      <w:r>
        <w:t> — </w:t>
      </w:r>
      <w:r>
        <w:rPr>
          <w:rStyle w:val="CharDivText"/>
        </w:rPr>
        <w:t>Navigation of vessels while under the influence of alcohol or drugs or impaired by drugs</w:t>
      </w:r>
      <w:bookmarkEnd w:id="268"/>
      <w:bookmarkEnd w:id="269"/>
      <w:bookmarkEnd w:id="270"/>
      <w:bookmarkEnd w:id="271"/>
      <w:bookmarkEnd w:id="272"/>
      <w:bookmarkEnd w:id="273"/>
    </w:p>
    <w:p>
      <w:pPr>
        <w:pStyle w:val="Footnoteheading"/>
      </w:pPr>
      <w:r>
        <w:tab/>
        <w:t>[Heading inserted: No. 31 of 2023 s. 14(1).]</w:t>
      </w:r>
    </w:p>
    <w:p>
      <w:pPr>
        <w:pStyle w:val="Heading5"/>
      </w:pPr>
      <w:bookmarkStart w:id="274" w:name="_Toc153284556"/>
      <w:bookmarkStart w:id="275" w:name="_Toc153887551"/>
      <w:r>
        <w:rPr>
          <w:rStyle w:val="CharSectno"/>
        </w:rPr>
        <w:t>75C</w:t>
      </w:r>
      <w:r>
        <w:t>.</w:t>
      </w:r>
      <w:r>
        <w:tab/>
        <w:t>Navigation of vessel while under influence of alcohol or drugs</w:t>
      </w:r>
      <w:bookmarkEnd w:id="274"/>
      <w:bookmarkEnd w:id="275"/>
    </w:p>
    <w:p>
      <w:pPr>
        <w:pStyle w:val="Subsection"/>
      </w:pPr>
      <w:r>
        <w:tab/>
        <w:t>(1)</w:t>
      </w:r>
      <w:r>
        <w:tab/>
        <w:t>A person commits an offence if the person navigates, or attempts to operate, a vessel while under the influence of alcohol or a drug to such an extent as to be incapable of having proper control of the vessel.</w:t>
      </w:r>
    </w:p>
    <w:p>
      <w:pPr>
        <w:pStyle w:val="Penstart"/>
      </w:pPr>
      <w:r>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75CD(1)</w:t>
            </w:r>
          </w:p>
        </w:tc>
        <w:tc>
          <w:tcPr>
            <w:tcW w:w="4649" w:type="dxa"/>
            <w:noWrap/>
          </w:tcPr>
          <w:p>
            <w:pPr>
              <w:pStyle w:val="TableNAm"/>
            </w:pPr>
            <w:r>
              <w:rPr>
                <w:noProof/>
              </w:rPr>
              <w:t>Navigation of vessel while impaired by drugs</w:t>
            </w:r>
          </w:p>
        </w:tc>
      </w:tr>
      <w:tr>
        <w:trPr>
          <w:cantSplit/>
        </w:trPr>
        <w:tc>
          <w:tcPr>
            <w:tcW w:w="1418" w:type="dxa"/>
            <w:noWrap/>
          </w:tcPr>
          <w:p>
            <w:pPr>
              <w:pStyle w:val="TableNAm"/>
            </w:pPr>
            <w:r>
              <w:t>s. 75D(1)</w:t>
            </w:r>
          </w:p>
        </w:tc>
        <w:tc>
          <w:tcPr>
            <w:tcW w:w="4649" w:type="dxa"/>
            <w:noWrap/>
          </w:tcPr>
          <w:p>
            <w:pPr>
              <w:pStyle w:val="TableNAm"/>
              <w:rPr>
                <w:noProof/>
              </w:rPr>
            </w:pPr>
            <w:r>
              <w:rPr>
                <w:noProof/>
              </w:rPr>
              <w:t>Navigation of vessel while BAC is 0.05 or above</w:t>
            </w:r>
          </w:p>
        </w:tc>
      </w:tr>
      <w:tr>
        <w:trPr>
          <w:cantSplit/>
        </w:trP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rPr>
          <w:cantSplit/>
        </w:trPr>
        <w:tc>
          <w:tcPr>
            <w:tcW w:w="1418" w:type="dxa"/>
            <w:noWrap/>
          </w:tcPr>
          <w:p>
            <w:pPr>
              <w:pStyle w:val="TableNAm"/>
            </w:pPr>
            <w:r>
              <w:lastRenderedPageBreak/>
              <w:t>s. 75DB(1)</w:t>
            </w:r>
          </w:p>
        </w:tc>
        <w:tc>
          <w:tcPr>
            <w:tcW w:w="4649" w:type="dxa"/>
            <w:noWrap/>
          </w:tcPr>
          <w:p>
            <w:pPr>
              <w:pStyle w:val="TableNAm"/>
              <w:rPr>
                <w:noProof/>
              </w:rPr>
            </w:pPr>
            <w:r>
              <w:rPr>
                <w:noProof/>
              </w:rPr>
              <w:t>Navigation of vessel while prescribed illicit drug present</w:t>
            </w:r>
          </w:p>
        </w:tc>
      </w:tr>
    </w:tbl>
    <w:p>
      <w:pPr>
        <w:pStyle w:val="Penstart"/>
      </w:pPr>
      <w:r>
        <w:tab/>
        <w:t>Penalty for this subsection:</w:t>
      </w:r>
    </w:p>
    <w:p>
      <w:pPr>
        <w:pStyle w:val="Penpara"/>
      </w:pPr>
      <w:r>
        <w:tab/>
        <w:t>(a)</w:t>
      </w:r>
      <w:r>
        <w:tab/>
        <w:t xml:space="preserve">for a first offence — </w:t>
      </w:r>
    </w:p>
    <w:p>
      <w:pPr>
        <w:pStyle w:val="Pensubpara"/>
      </w:pPr>
      <w:r>
        <w:tab/>
        <w:t>(i)</w:t>
      </w:r>
      <w:r>
        <w:tab/>
        <w:t>if the person has 1 or more previous convictions for a 0.08+ offence — a fine of not less than $2 400 or more than $3 750;</w:t>
      </w:r>
    </w:p>
    <w:p>
      <w:pPr>
        <w:pStyle w:val="Pensubpara"/>
      </w:pPr>
      <w:r>
        <w:tab/>
        <w:t>(ii)</w:t>
      </w:r>
      <w:r>
        <w:tab/>
        <w:t>if the person has 1 or more previous convictions for a 0.08+ and illicit drug offence — a fine of not less than $2 750 or more than $3 750;</w:t>
      </w:r>
    </w:p>
    <w:p>
      <w:pPr>
        <w:pStyle w:val="Pensubpara"/>
      </w:pPr>
      <w:r>
        <w:tab/>
        <w:t>(iii)</w:t>
      </w:r>
      <w:r>
        <w:tab/>
        <w:t>if the person has 1 or more previous convictions for a 0.08+ offence and 1 or more previous convictions for a 0.08+ and illicit drug offence — a fine of not less than $2 750 or more than $3 750;</w:t>
      </w:r>
    </w:p>
    <w:p>
      <w:pPr>
        <w:pStyle w:val="Pensubpara"/>
      </w:pPr>
      <w:r>
        <w:tab/>
        <w:t>(iv)</w:t>
      </w:r>
      <w:r>
        <w:tab/>
        <w:t>in any other case — a fine of not less than $2 050 or more than $3 750;</w:t>
      </w:r>
    </w:p>
    <w:p>
      <w:pPr>
        <w:pStyle w:val="Penpara"/>
      </w:pPr>
      <w:r>
        <w:tab/>
        <w:t>(b)</w:t>
      </w:r>
      <w:r>
        <w:tab/>
        <w:t>for a second offence, imprisonment for 9 months or a fine of not less than $3 150 or more than $5 250;</w:t>
      </w:r>
    </w:p>
    <w:p>
      <w:pPr>
        <w:pStyle w:val="Penpara"/>
      </w:pPr>
      <w:r>
        <w:tab/>
        <w:t>(c)</w:t>
      </w:r>
      <w:r>
        <w:tab/>
        <w:t>for a third or subsequent offence, imprisonment for 18 months or a fine of not less than $3 150 or more than $7 500.</w:t>
      </w:r>
    </w:p>
    <w:p>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pPr>
        <w:pStyle w:val="THeadingNAm"/>
      </w:pPr>
      <w:r>
        <w:lastRenderedPageBreak/>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c>
          <w:tcPr>
            <w:tcW w:w="4068" w:type="dxa"/>
            <w:tcBorders>
              <w:top w:val="single" w:sz="4" w:space="0" w:color="auto"/>
              <w:left w:val="single" w:sz="4" w:space="0" w:color="auto"/>
              <w:bottom w:val="single" w:sz="4" w:space="0" w:color="auto"/>
              <w:right w:val="single" w:sz="4" w:space="0" w:color="auto"/>
            </w:tcBorders>
            <w:noWrap/>
            <w:vAlign w:val="center"/>
          </w:tcPr>
          <w:p>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TableNAm"/>
              <w:keepNext/>
              <w:jc w:val="center"/>
              <w:rPr>
                <w:b/>
                <w:bCs/>
              </w:rPr>
            </w:pPr>
            <w:r>
              <w:rPr>
                <w:b/>
                <w:bCs/>
              </w:rPr>
              <w:t>Disqualification</w:t>
            </w:r>
          </w:p>
        </w:tc>
      </w:tr>
      <w:tr>
        <w:tc>
          <w:tcPr>
            <w:tcW w:w="4068" w:type="dxa"/>
            <w:tcBorders>
              <w:top w:val="single" w:sz="4" w:space="0" w:color="auto"/>
              <w:left w:val="single" w:sz="4" w:space="0" w:color="000000" w:themeColor="text1"/>
              <w:right w:val="single" w:sz="4" w:space="0" w:color="000000" w:themeColor="text1"/>
            </w:tcBorders>
            <w:noWrap/>
          </w:tcPr>
          <w:p>
            <w:pPr>
              <w:pStyle w:val="TableNAm"/>
              <w:keepNext/>
              <w:ind w:left="507" w:hanging="507"/>
              <w:rPr>
                <w:szCs w:val="24"/>
              </w:rPr>
            </w:pPr>
            <w:r>
              <w:rPr>
                <w:szCs w:val="24"/>
              </w:rPr>
              <w:t xml:space="preserve">First offence: </w:t>
            </w:r>
          </w:p>
          <w:p>
            <w:pPr>
              <w:pStyle w:val="TableNAm"/>
              <w:keepNext/>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pPr>
              <w:pStyle w:val="TableNAm"/>
              <w:keepNext/>
              <w:jc w:val="center"/>
              <w:rPr>
                <w:szCs w:val="24"/>
              </w:rPr>
            </w:pPr>
          </w:p>
          <w:p>
            <w:pPr>
              <w:pStyle w:val="TableNAm"/>
              <w:keepNext/>
              <w:jc w:val="center"/>
              <w:rPr>
                <w:szCs w:val="24"/>
              </w:rPr>
            </w:pPr>
            <w:r>
              <w:rPr>
                <w:szCs w:val="24"/>
              </w:rPr>
              <w:t>18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30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27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c>
          <w:tcPr>
            <w:tcW w:w="4068" w:type="dxa"/>
            <w:tcBorders>
              <w:left w:val="single" w:sz="4" w:space="0" w:color="000000" w:themeColor="text1"/>
              <w:bottom w:val="single" w:sz="4" w:space="0" w:color="000000" w:themeColor="text1"/>
              <w:right w:val="single" w:sz="4" w:space="0" w:color="000000" w:themeColor="text1"/>
            </w:tcBorders>
            <w:noWrap/>
          </w:tcPr>
          <w:p>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10 months</w:t>
            </w:r>
          </w:p>
        </w:tc>
      </w:tr>
      <w:t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30 months</w:t>
            </w:r>
          </w:p>
        </w:tc>
      </w:tr>
      <w:t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Permanent</w:t>
            </w:r>
          </w:p>
        </w:tc>
      </w:tr>
    </w:tbl>
    <w:p>
      <w:pPr>
        <w:pStyle w:val="Subsection"/>
      </w:pPr>
      <w:r>
        <w:tab/>
        <w:t>(3)</w:t>
      </w:r>
      <w:r>
        <w:tab/>
        <w:t xml:space="preserve">In determining whether an offence against subsection (1) is a first, second or subsequent offence, a previous offence against a provision specified in the Table must be taken into account as if it were an offence against subsection (1). </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60"/>
        <w:gridCol w:w="4507"/>
      </w:tblGrid>
      <w:tr>
        <w:trPr>
          <w:cantSplit/>
          <w:tblHeader/>
        </w:trPr>
        <w:tc>
          <w:tcPr>
            <w:tcW w:w="1560" w:type="dxa"/>
            <w:noWrap/>
          </w:tcPr>
          <w:p>
            <w:pPr>
              <w:pStyle w:val="TableNAm"/>
              <w:jc w:val="center"/>
              <w:rPr>
                <w:b/>
                <w:bCs/>
              </w:rPr>
            </w:pPr>
            <w:r>
              <w:rPr>
                <w:b/>
                <w:bCs/>
              </w:rPr>
              <w:t>Section no.</w:t>
            </w:r>
          </w:p>
        </w:tc>
        <w:tc>
          <w:tcPr>
            <w:tcW w:w="4507" w:type="dxa"/>
            <w:noWrap/>
          </w:tcPr>
          <w:p>
            <w:pPr>
              <w:pStyle w:val="TableNAm"/>
              <w:jc w:val="center"/>
              <w:rPr>
                <w:b/>
                <w:bCs/>
              </w:rPr>
            </w:pPr>
            <w:r>
              <w:rPr>
                <w:b/>
                <w:bCs/>
              </w:rPr>
              <w:t>Section heading</w:t>
            </w:r>
          </w:p>
        </w:tc>
      </w:tr>
      <w:tr>
        <w:trPr>
          <w:cantSplit/>
        </w:trPr>
        <w:tc>
          <w:tcPr>
            <w:tcW w:w="1560" w:type="dxa"/>
            <w:noWrap/>
          </w:tcPr>
          <w:p>
            <w:pPr>
              <w:pStyle w:val="TableNAm"/>
            </w:pPr>
            <w:r>
              <w:t>s. 75CA(1)</w:t>
            </w:r>
          </w:p>
        </w:tc>
        <w:tc>
          <w:tcPr>
            <w:tcW w:w="4507" w:type="dxa"/>
            <w:noWrap/>
          </w:tcPr>
          <w:p>
            <w:pPr>
              <w:pStyle w:val="TableNAm"/>
            </w:pPr>
            <w:r>
              <w:rPr>
                <w:noProof/>
              </w:rPr>
              <w:t>Navigation of vessel while under influence of both alcohol and drugs</w:t>
            </w:r>
          </w:p>
        </w:tc>
      </w:tr>
      <w:tr>
        <w:trPr>
          <w:cantSplit/>
        </w:trPr>
        <w:tc>
          <w:tcPr>
            <w:tcW w:w="1560" w:type="dxa"/>
            <w:noWrap/>
          </w:tcPr>
          <w:p>
            <w:pPr>
              <w:pStyle w:val="TableNAm"/>
            </w:pPr>
            <w:r>
              <w:lastRenderedPageBreak/>
              <w:t>s. 75CD(1)</w:t>
            </w:r>
          </w:p>
        </w:tc>
        <w:tc>
          <w:tcPr>
            <w:tcW w:w="4507" w:type="dxa"/>
            <w:noWrap/>
          </w:tcPr>
          <w:p>
            <w:pPr>
              <w:pStyle w:val="TableNAm"/>
            </w:pPr>
            <w:r>
              <w:rPr>
                <w:noProof/>
              </w:rPr>
              <w:t>Navigation of vessel while impaired by drugs</w:t>
            </w:r>
          </w:p>
        </w:tc>
      </w:tr>
      <w:tr>
        <w:trPr>
          <w:cantSplit/>
        </w:trPr>
        <w:tc>
          <w:tcPr>
            <w:tcW w:w="1560" w:type="dxa"/>
            <w:noWrap/>
          </w:tcPr>
          <w:p>
            <w:pPr>
              <w:pStyle w:val="TableNAm"/>
            </w:pPr>
            <w:r>
              <w:t>s. 75HB(1)</w:t>
            </w:r>
          </w:p>
        </w:tc>
        <w:tc>
          <w:tcPr>
            <w:tcW w:w="4507" w:type="dxa"/>
            <w:noWrap/>
          </w:tcPr>
          <w:p>
            <w:pPr>
              <w:pStyle w:val="TableNAm"/>
            </w:pPr>
            <w:r>
              <w:rPr>
                <w:noProof/>
              </w:rPr>
              <w:t>Failure to comply with requirement: breath analysis, blood sample or stop vessel or navigate to specified place</w:t>
            </w:r>
          </w:p>
        </w:tc>
      </w:tr>
      <w:tr>
        <w:trPr>
          <w:cantSplit/>
        </w:trPr>
        <w:tc>
          <w:tcPr>
            <w:tcW w:w="1560" w:type="dxa"/>
            <w:noWrap/>
          </w:tcPr>
          <w:p>
            <w:pPr>
              <w:pStyle w:val="TableNAm"/>
            </w:pPr>
            <w:r>
              <w:t>s. 75HC(1)</w:t>
            </w:r>
          </w:p>
        </w:tc>
        <w:tc>
          <w:tcPr>
            <w:tcW w:w="4507" w:type="dxa"/>
            <w:noWrap/>
          </w:tcPr>
          <w:p>
            <w:pPr>
              <w:pStyle w:val="TableNAm"/>
            </w:pPr>
            <w:r>
              <w:rPr>
                <w:noProof/>
              </w:rPr>
              <w:t>Failure to comply with requirement: incident occasioning death, grievous bodily harm or bodily harm</w:t>
            </w:r>
          </w:p>
        </w:tc>
      </w:tr>
      <w:tr>
        <w:trPr>
          <w:cantSplit/>
        </w:trPr>
        <w:tc>
          <w:tcPr>
            <w:tcW w:w="1560" w:type="dxa"/>
            <w:noWrap/>
          </w:tcPr>
          <w:p>
            <w:pPr>
              <w:pStyle w:val="TableNAm"/>
            </w:pPr>
            <w:r>
              <w:t>s. 75HE(1)</w:t>
            </w:r>
          </w:p>
        </w:tc>
        <w:tc>
          <w:tcPr>
            <w:tcW w:w="4507" w:type="dxa"/>
            <w:noWrap/>
          </w:tcPr>
          <w:p>
            <w:pPr>
              <w:pStyle w:val="TableNAm"/>
              <w:rPr>
                <w:noProof/>
              </w:rPr>
            </w:pPr>
            <w:r>
              <w:rPr>
                <w:noProof/>
              </w:rPr>
              <w:t>Failure to comply with requirements relating to assessment of drug impairment</w:t>
            </w:r>
          </w:p>
        </w:tc>
      </w:tr>
      <w:tr>
        <w:trPr>
          <w:cantSplit/>
        </w:trPr>
        <w:tc>
          <w:tcPr>
            <w:tcW w:w="1560" w:type="dxa"/>
            <w:noWrap/>
          </w:tcPr>
          <w:p>
            <w:pPr>
              <w:pStyle w:val="TableNAm"/>
            </w:pPr>
            <w:r>
              <w:t>s. 75HI(1)</w:t>
            </w:r>
          </w:p>
        </w:tc>
        <w:tc>
          <w:tcPr>
            <w:tcW w:w="4507"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Subsection"/>
      </w:pPr>
      <w:r>
        <w:tab/>
        <w:t>(5)</w:t>
      </w:r>
      <w:r>
        <w:tab/>
        <w:t>The charging of a person for an offence against this section does not limit the operation of sections 75EE, 75EF, 75EH, 75EN and 75EO.</w:t>
      </w:r>
    </w:p>
    <w:p>
      <w:pPr>
        <w:pStyle w:val="Footnotesection"/>
        <w:ind w:left="890" w:hanging="890"/>
      </w:pPr>
      <w:r>
        <w:tab/>
        <w:t>[Section 75C inserted: No. 31 of 2023 s. 14(1).]</w:t>
      </w:r>
    </w:p>
    <w:p>
      <w:pPr>
        <w:pStyle w:val="Heading5"/>
      </w:pPr>
      <w:bookmarkStart w:id="276" w:name="_Toc153284557"/>
      <w:bookmarkStart w:id="277" w:name="_Toc153887552"/>
      <w:r>
        <w:rPr>
          <w:rStyle w:val="CharSectno"/>
        </w:rPr>
        <w:t>75CA</w:t>
      </w:r>
      <w:r>
        <w:t>.</w:t>
      </w:r>
      <w:r>
        <w:tab/>
        <w:t>Navigation of vessel while under influence of both alcohol and drugs</w:t>
      </w:r>
      <w:bookmarkEnd w:id="276"/>
      <w:bookmarkEnd w:id="277"/>
    </w:p>
    <w:p>
      <w:pPr>
        <w:pStyle w:val="Subsection"/>
      </w:pPr>
      <w:r>
        <w:tab/>
        <w:t>(1)</w:t>
      </w:r>
      <w:r>
        <w:tab/>
        <w:t>A person commits an offence if the person navigates, or attempts to operate, a vessel while under the influence of alcohol and a drug to such an extent as to be incapable of having proper control of the vessel.</w:t>
      </w:r>
    </w:p>
    <w:p>
      <w:pPr>
        <w:pStyle w:val="Penstart"/>
      </w:pPr>
      <w:r>
        <w:tab/>
        <w:t>Alternative offence for this subsection: an offence specified in the Table.</w:t>
      </w:r>
    </w:p>
    <w:p>
      <w:pPr>
        <w:pStyle w:val="THeadingNAm"/>
      </w:pPr>
      <w:r>
        <w:lastRenderedPageBreak/>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75CD(1)</w:t>
            </w:r>
          </w:p>
        </w:tc>
        <w:tc>
          <w:tcPr>
            <w:tcW w:w="4649" w:type="dxa"/>
            <w:noWrap/>
          </w:tcPr>
          <w:p>
            <w:pPr>
              <w:pStyle w:val="TableNAm"/>
            </w:pPr>
            <w:r>
              <w:rPr>
                <w:noProof/>
              </w:rPr>
              <w:t>Navigation of vessel while impaired by drugs</w:t>
            </w:r>
          </w:p>
        </w:tc>
      </w:tr>
      <w:tr>
        <w:tc>
          <w:tcPr>
            <w:tcW w:w="1418" w:type="dxa"/>
            <w:noWrap/>
          </w:tcPr>
          <w:p>
            <w:pPr>
              <w:pStyle w:val="TableNAm"/>
            </w:pPr>
            <w:r>
              <w:t>s. 75D(1)</w:t>
            </w:r>
          </w:p>
        </w:tc>
        <w:tc>
          <w:tcPr>
            <w:tcW w:w="4649" w:type="dxa"/>
            <w:noWrap/>
          </w:tcPr>
          <w:p>
            <w:pPr>
              <w:pStyle w:val="TableNAm"/>
              <w:rPr>
                <w:noProof/>
              </w:rPr>
            </w:pPr>
            <w:r>
              <w:rPr>
                <w:noProof/>
              </w:rPr>
              <w:t>Navigation of vessel while BAC is 0.05 or above</w:t>
            </w:r>
          </w:p>
        </w:tc>
      </w:tr>
      <w:tr>
        <w:tc>
          <w:tcPr>
            <w:tcW w:w="1418" w:type="dxa"/>
            <w:noWrap/>
          </w:tcPr>
          <w:p>
            <w:pPr>
              <w:pStyle w:val="TableNAm"/>
            </w:pPr>
            <w:r>
              <w:t>s. 75DA(1)</w:t>
            </w:r>
          </w:p>
        </w:tc>
        <w:tc>
          <w:tcPr>
            <w:tcW w:w="4649" w:type="dxa"/>
            <w:noWrap/>
          </w:tcPr>
          <w:p>
            <w:pPr>
              <w:pStyle w:val="TableNAm"/>
              <w:rPr>
                <w:noProof/>
              </w:rPr>
            </w:pPr>
            <w:r>
              <w:rPr>
                <w:noProof/>
              </w:rPr>
              <w:t>Navigation of vessel while BAC is 0.08 or above</w:t>
            </w:r>
          </w:p>
        </w:tc>
      </w:tr>
      <w:t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r>
        <w:tc>
          <w:tcPr>
            <w:tcW w:w="1418" w:type="dxa"/>
            <w:noWrap/>
          </w:tcPr>
          <w:p>
            <w:pPr>
              <w:pStyle w:val="TableNAm"/>
            </w:pPr>
            <w:r>
              <w:t>s. 75DC(1)</w:t>
            </w:r>
          </w:p>
        </w:tc>
        <w:tc>
          <w:tcPr>
            <w:tcW w:w="4649" w:type="dxa"/>
            <w:noWrap/>
          </w:tcPr>
          <w:p>
            <w:pPr>
              <w:pStyle w:val="TableNAm"/>
              <w:rPr>
                <w:noProof/>
              </w:rPr>
            </w:pPr>
            <w:r>
              <w:rPr>
                <w:noProof/>
              </w:rPr>
              <w:t>Navigation of vessel while BAC is 0.05 or above and prescribed illicit drug present</w:t>
            </w:r>
          </w:p>
        </w:tc>
      </w:tr>
      <w:tr>
        <w:tc>
          <w:tcPr>
            <w:tcW w:w="1418" w:type="dxa"/>
            <w:noWrap/>
          </w:tcPr>
          <w:p>
            <w:pPr>
              <w:pStyle w:val="TableNAm"/>
            </w:pPr>
            <w:r>
              <w:t>s. 75DD(1)</w:t>
            </w:r>
          </w:p>
        </w:tc>
        <w:tc>
          <w:tcPr>
            <w:tcW w:w="4649" w:type="dxa"/>
            <w:noWrap/>
          </w:tcPr>
          <w:p>
            <w:pPr>
              <w:pStyle w:val="TableNAm"/>
              <w:rPr>
                <w:noProof/>
              </w:rPr>
            </w:pPr>
            <w:r>
              <w:rPr>
                <w:noProof/>
              </w:rPr>
              <w:t>Navigation of vessel while BAC is 0.08 or above and prescribed illicit drug present</w:t>
            </w:r>
          </w:p>
        </w:tc>
      </w:tr>
    </w:tbl>
    <w:p>
      <w:pPr>
        <w:pStyle w:val="Penstart"/>
      </w:pPr>
      <w:r>
        <w:tab/>
        <w:t>Penalty for this subsection:</w:t>
      </w:r>
    </w:p>
    <w:p>
      <w:pPr>
        <w:pStyle w:val="Penpara"/>
      </w:pPr>
      <w:r>
        <w:tab/>
        <w:t>(a)</w:t>
      </w:r>
      <w:r>
        <w:tab/>
        <w:t xml:space="preserve">for a first offence — </w:t>
      </w:r>
    </w:p>
    <w:p>
      <w:pPr>
        <w:pStyle w:val="Pensubpara"/>
      </w:pPr>
      <w:r>
        <w:tab/>
        <w:t>(i)</w:t>
      </w:r>
      <w:r>
        <w:tab/>
        <w:t>if the person has 1 or more previous convictions for a 0.08+ offence — a fine of not less than $2 400 or more than $5 650;</w:t>
      </w:r>
    </w:p>
    <w:p>
      <w:pPr>
        <w:pStyle w:val="Pensubpara"/>
      </w:pPr>
      <w:r>
        <w:tab/>
        <w:t>(ii)</w:t>
      </w:r>
      <w:r>
        <w:tab/>
        <w:t>if the person has 1 or more previous convictions for a 0.08+ and illicit drug offence — a fine of not less than $3 600 or more than $5 650;</w:t>
      </w:r>
    </w:p>
    <w:p>
      <w:pPr>
        <w:pStyle w:val="Pensubpara"/>
      </w:pPr>
      <w:r>
        <w:tab/>
        <w:t>(iii)</w:t>
      </w:r>
      <w:r>
        <w:tab/>
        <w:t xml:space="preserve">if the person has 1 or more previous convictions for a 0.08+ offence and 1 or more previous convictions for a 0.08+ and illicit </w:t>
      </w:r>
      <w:r>
        <w:lastRenderedPageBreak/>
        <w:t>drug offence — a fine of not less than $3 600 or more than $5 650;</w:t>
      </w:r>
    </w:p>
    <w:p>
      <w:pPr>
        <w:pStyle w:val="Pensubpara"/>
      </w:pPr>
      <w:r>
        <w:tab/>
        <w:t>(iv)</w:t>
      </w:r>
      <w:r>
        <w:tab/>
        <w:t>in any other case — a fine of not less than $2 050 or more than $5 650;</w:t>
      </w:r>
    </w:p>
    <w:p>
      <w:pPr>
        <w:pStyle w:val="Penpara"/>
      </w:pPr>
      <w:r>
        <w:tab/>
        <w:t>(b)</w:t>
      </w:r>
      <w:r>
        <w:tab/>
        <w:t>for a second offence, imprisonment for 9 months or a fine of not less than $4 750 or more than $7 900;</w:t>
      </w:r>
    </w:p>
    <w:p>
      <w:pPr>
        <w:pStyle w:val="Penpara"/>
      </w:pPr>
      <w:r>
        <w:tab/>
        <w:t>(c)</w:t>
      </w:r>
      <w:r>
        <w:tab/>
        <w:t>for a third or subsequent offence, imprisonment for 18 months or a fine of not less than $4 750 or more than $11 250.</w:t>
      </w:r>
    </w:p>
    <w:p>
      <w:pPr>
        <w:pStyle w:val="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pPr>
        <w:pStyle w:val="THeadingNAm"/>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rPr>
          <w:cantSplit/>
          <w:tblHeader/>
        </w:trPr>
        <w:tc>
          <w:tcPr>
            <w:tcW w:w="4068" w:type="dxa"/>
            <w:tcBorders>
              <w:top w:val="single" w:sz="4" w:space="0" w:color="auto"/>
              <w:left w:val="single" w:sz="4" w:space="0" w:color="auto"/>
              <w:bottom w:val="single" w:sz="4" w:space="0" w:color="auto"/>
              <w:right w:val="single" w:sz="4" w:space="0" w:color="auto"/>
            </w:tcBorders>
            <w:noWrap/>
            <w:vAlign w:val="center"/>
          </w:tcPr>
          <w:p>
            <w:pPr>
              <w:pStyle w:val="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TableNAm"/>
              <w:keepNext/>
              <w:jc w:val="center"/>
              <w:rPr>
                <w:b/>
                <w:bCs/>
              </w:rPr>
            </w:pPr>
            <w:r>
              <w:rPr>
                <w:b/>
                <w:bCs/>
              </w:rPr>
              <w:t>Disqualification</w:t>
            </w:r>
          </w:p>
        </w:tc>
      </w:tr>
      <w:tr>
        <w:trPr>
          <w:cantSplit/>
        </w:trPr>
        <w:tc>
          <w:tcPr>
            <w:tcW w:w="4068" w:type="dxa"/>
            <w:tcBorders>
              <w:top w:val="single" w:sz="4" w:space="0" w:color="auto"/>
              <w:left w:val="single" w:sz="4" w:space="0" w:color="000000" w:themeColor="text1"/>
              <w:right w:val="single" w:sz="4" w:space="0" w:color="000000" w:themeColor="text1"/>
            </w:tcBorders>
            <w:noWrap/>
          </w:tcPr>
          <w:p>
            <w:pPr>
              <w:pStyle w:val="TableNAm"/>
              <w:ind w:left="507" w:hanging="507"/>
              <w:rPr>
                <w:szCs w:val="24"/>
              </w:rPr>
            </w:pPr>
            <w:r>
              <w:rPr>
                <w:szCs w:val="24"/>
              </w:rPr>
              <w:t xml:space="preserve">First offence: </w:t>
            </w:r>
          </w:p>
          <w:p>
            <w:pPr>
              <w:pStyle w:val="TableNAm"/>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pPr>
              <w:pStyle w:val="TableNAm"/>
              <w:jc w:val="center"/>
              <w:rPr>
                <w:szCs w:val="24"/>
              </w:rPr>
            </w:pPr>
          </w:p>
          <w:p>
            <w:pPr>
              <w:pStyle w:val="TableNAm"/>
              <w:jc w:val="center"/>
              <w:rPr>
                <w:szCs w:val="24"/>
              </w:rPr>
            </w:pPr>
            <w:r>
              <w:rPr>
                <w:szCs w:val="24"/>
              </w:rPr>
              <w:t>18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30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27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left w:val="single" w:sz="4" w:space="0" w:color="000000" w:themeColor="text1"/>
              <w:right w:val="single" w:sz="4" w:space="0" w:color="000000" w:themeColor="text1"/>
            </w:tcBorders>
            <w:noWrap/>
          </w:tcPr>
          <w:p>
            <w:pPr>
              <w:pStyle w:val="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left w:val="single" w:sz="4" w:space="0" w:color="000000" w:themeColor="text1"/>
              <w:bottom w:val="single" w:sz="4" w:space="0" w:color="000000" w:themeColor="text1"/>
              <w:right w:val="single" w:sz="4" w:space="0" w:color="000000" w:themeColor="text1"/>
            </w:tcBorders>
            <w:noWrap/>
          </w:tcPr>
          <w:p>
            <w:pPr>
              <w:pStyle w:val="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15 months</w:t>
            </w:r>
          </w:p>
        </w:tc>
      </w:tr>
      <w:tr>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lastRenderedPageBreak/>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42 months</w:t>
            </w:r>
          </w:p>
        </w:tc>
      </w:tr>
      <w:tr>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TableNAm"/>
              <w:rPr>
                <w:szCs w:val="24"/>
              </w:rPr>
            </w:pPr>
            <w:r>
              <w:rPr>
                <w:szCs w:val="24"/>
              </w:rPr>
              <w:t>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TableNAm"/>
              <w:jc w:val="center"/>
              <w:rPr>
                <w:szCs w:val="24"/>
              </w:rPr>
            </w:pPr>
            <w:r>
              <w:rPr>
                <w:szCs w:val="24"/>
              </w:rPr>
              <w:t>Permanent</w:t>
            </w:r>
          </w:p>
        </w:tc>
      </w:tr>
    </w:tbl>
    <w:p>
      <w:pPr>
        <w:pStyle w:val="Subsection"/>
      </w:pPr>
      <w:r>
        <w:tab/>
        <w:t>(3)</w:t>
      </w:r>
      <w:r>
        <w:tab/>
        <w:t>In determining whether an offence against subsection (1) is a first, second or subsequent offence, a previous offence against a 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75CD(1)</w:t>
            </w:r>
          </w:p>
        </w:tc>
        <w:tc>
          <w:tcPr>
            <w:tcW w:w="4649" w:type="dxa"/>
            <w:noWrap/>
          </w:tcPr>
          <w:p>
            <w:pPr>
              <w:pStyle w:val="TableNAm"/>
            </w:pPr>
            <w:r>
              <w:rPr>
                <w:noProof/>
              </w:rPr>
              <w:t>Navigation of vessel while impaired by drugs</w:t>
            </w:r>
          </w:p>
        </w:tc>
      </w:tr>
      <w:tr>
        <w:tc>
          <w:tcPr>
            <w:tcW w:w="1418" w:type="dxa"/>
            <w:noWrap/>
          </w:tcPr>
          <w:p>
            <w:pPr>
              <w:pStyle w:val="TableNAm"/>
            </w:pPr>
            <w:r>
              <w:t>s. 75HB(1)</w:t>
            </w:r>
          </w:p>
        </w:tc>
        <w:tc>
          <w:tcPr>
            <w:tcW w:w="4649" w:type="dxa"/>
            <w:noWrap/>
          </w:tcPr>
          <w:p>
            <w:pPr>
              <w:pStyle w:val="TableNAm"/>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pPr>
            <w:r>
              <w:rPr>
                <w:noProof/>
              </w:rPr>
              <w:t>Failure to comply with requirement: incident occasioning death, grievous bodily harm or bodily harm</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Subsection"/>
      </w:pPr>
      <w:r>
        <w:tab/>
        <w:t>(5)</w:t>
      </w:r>
      <w:r>
        <w:tab/>
        <w:t>The charging of a person for an offence against this section does not limit the operation of sections 75EE, 75EF, 75EH, 75EN and 75EO.</w:t>
      </w:r>
    </w:p>
    <w:p>
      <w:pPr>
        <w:pStyle w:val="Footnotesection"/>
        <w:ind w:left="890" w:hanging="890"/>
      </w:pPr>
      <w:r>
        <w:tab/>
        <w:t>[Section 75CA inserted: No. 31 of 2023 s. 14(1).]</w:t>
      </w:r>
    </w:p>
    <w:p>
      <w:pPr>
        <w:pStyle w:val="Heading5"/>
      </w:pPr>
      <w:bookmarkStart w:id="278" w:name="_Toc153284558"/>
      <w:bookmarkStart w:id="279" w:name="_Toc153887553"/>
      <w:r>
        <w:rPr>
          <w:rStyle w:val="CharSectno"/>
        </w:rPr>
        <w:lastRenderedPageBreak/>
        <w:t>75CB</w:t>
      </w:r>
      <w:r>
        <w:t>.</w:t>
      </w:r>
      <w:r>
        <w:tab/>
        <w:t>Defence: under influence of drug prescribed or administered for therapeutic reasons</w:t>
      </w:r>
      <w:bookmarkEnd w:id="278"/>
      <w:bookmarkEnd w:id="279"/>
    </w:p>
    <w:p>
      <w:pPr>
        <w:pStyle w:val="Subsection"/>
      </w:pPr>
      <w:r>
        <w:tab/>
        <w:t>(1)</w:t>
      </w:r>
      <w:r>
        <w:tab/>
        <w:t>This section applies in relation to an offence against section 75C(1) or 75CA(1) if it is alleged, or it appears on the evidence, that the person charged was under the influence of a particular drug.</w:t>
      </w:r>
    </w:p>
    <w:p>
      <w:pPr>
        <w:pStyle w:val="Subsection"/>
      </w:pPr>
      <w:r>
        <w:tab/>
        <w:t>(2)</w:t>
      </w:r>
      <w:r>
        <w:tab/>
        <w:t xml:space="preserve">It is a defence to a charge of the offence for the person charged to prove that — </w:t>
      </w:r>
    </w:p>
    <w:p>
      <w:pPr>
        <w:pStyle w:val="Indenta"/>
      </w:pPr>
      <w:r>
        <w:tab/>
        <w:t>(a)</w:t>
      </w:r>
      <w:r>
        <w:tab/>
        <w:t>the particular drug was prescribed for, or administered to, the person by a medical practitioner, nurse practitioner or dentist for therapeutic reasons; and</w:t>
      </w:r>
    </w:p>
    <w:p>
      <w:pPr>
        <w:pStyle w:val="Indenta"/>
      </w:pPr>
      <w:r>
        <w:tab/>
        <w:t>(b)</w:t>
      </w:r>
      <w:r>
        <w:tab/>
        <w:t>the person was not aware, and could not reasonably have been expected to be aware, that the particular drug was likely to affect the person in a way that would be inconsistent with the person being capable of having proper control of a vessel.</w:t>
      </w:r>
    </w:p>
    <w:p>
      <w:pPr>
        <w:pStyle w:val="Footnotesection"/>
        <w:ind w:left="890" w:hanging="890"/>
      </w:pPr>
      <w:r>
        <w:tab/>
        <w:t>[Section 75CB inserted: No. 31 of 2023 s. 14(1).]</w:t>
      </w:r>
    </w:p>
    <w:p>
      <w:pPr>
        <w:pStyle w:val="Heading5"/>
      </w:pPr>
      <w:bookmarkStart w:id="280" w:name="_Toc153284559"/>
      <w:bookmarkStart w:id="281" w:name="_Toc153887554"/>
      <w:r>
        <w:rPr>
          <w:rStyle w:val="CharSectno"/>
        </w:rPr>
        <w:t>75CC</w:t>
      </w:r>
      <w:r>
        <w:t>.</w:t>
      </w:r>
      <w:r>
        <w:tab/>
        <w:t>Master must not permit person under influence of alcohol or drugs or both to operate vessel</w:t>
      </w:r>
      <w:bookmarkEnd w:id="280"/>
      <w:bookmarkEnd w:id="281"/>
    </w:p>
    <w:p>
      <w:pPr>
        <w:pStyle w:val="Subsection"/>
      </w:pPr>
      <w:r>
        <w:tab/>
      </w:r>
      <w:r>
        <w:tab/>
        <w:t>The master of a vessel commits an offence if the master —</w:t>
      </w:r>
    </w:p>
    <w:p>
      <w:pPr>
        <w:pStyle w:val="Indenta"/>
      </w:pPr>
      <w:r>
        <w:tab/>
        <w:t>(a)</w:t>
      </w:r>
      <w:r>
        <w:tab/>
        <w:t xml:space="preserve">is aware or has reason to suspect that another person is under the influence of alcohol, a drug or alcohol and a drug; and </w:t>
      </w:r>
    </w:p>
    <w:p>
      <w:pPr>
        <w:pStyle w:val="Indenta"/>
      </w:pPr>
      <w:r>
        <w:tab/>
        <w:t>(b)</w:t>
      </w:r>
      <w:r>
        <w:tab/>
        <w:t>permits the other person to operate the vessel.</w:t>
      </w:r>
    </w:p>
    <w:p>
      <w:pPr>
        <w:pStyle w:val="Penstart"/>
      </w:pPr>
      <w:r>
        <w:tab/>
        <w:t>Penalty: a fine of $3 750.</w:t>
      </w:r>
    </w:p>
    <w:p>
      <w:pPr>
        <w:pStyle w:val="Footnotesection"/>
        <w:ind w:left="890" w:hanging="890"/>
      </w:pPr>
      <w:bookmarkStart w:id="282" w:name="_Toc153284560"/>
      <w:r>
        <w:tab/>
        <w:t>[Section 75CC inserted: No. 31 of 2023 s. 14(1).]</w:t>
      </w:r>
    </w:p>
    <w:p>
      <w:pPr>
        <w:pStyle w:val="Heading5"/>
      </w:pPr>
      <w:bookmarkStart w:id="283" w:name="_Toc153887555"/>
      <w:r>
        <w:rPr>
          <w:rStyle w:val="CharSectno"/>
        </w:rPr>
        <w:t>75CD</w:t>
      </w:r>
      <w:r>
        <w:t>.</w:t>
      </w:r>
      <w:r>
        <w:tab/>
        <w:t>Navigation of vessel while impaired by drugs</w:t>
      </w:r>
      <w:bookmarkEnd w:id="282"/>
      <w:bookmarkEnd w:id="283"/>
    </w:p>
    <w:p>
      <w:pPr>
        <w:pStyle w:val="Subsection"/>
      </w:pPr>
      <w:r>
        <w:tab/>
        <w:t>(1)</w:t>
      </w:r>
      <w:r>
        <w:tab/>
        <w:t>A person commits an offence if the person navigates, or attempts to operate, a vessel while the person is impaired by a drug.</w:t>
      </w:r>
    </w:p>
    <w:p>
      <w:pPr>
        <w:pStyle w:val="Penstart"/>
      </w:pPr>
      <w:r>
        <w:lastRenderedPageBreak/>
        <w:tab/>
        <w:t>Alternative offence for this subsection: an offence specified in the Table.</w:t>
      </w:r>
    </w:p>
    <w:p>
      <w:pPr>
        <w:pStyle w:val="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rPr>
          <w:cantSplit/>
        </w:trP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rPr>
          <w:cantSplit/>
        </w:trPr>
        <w:tc>
          <w:tcPr>
            <w:tcW w:w="1418" w:type="dxa"/>
            <w:noWrap/>
          </w:tcPr>
          <w:p>
            <w:pPr>
              <w:pStyle w:val="TableNAm"/>
            </w:pPr>
            <w:r>
              <w:t>s. 75CA(1)</w:t>
            </w:r>
          </w:p>
        </w:tc>
        <w:tc>
          <w:tcPr>
            <w:tcW w:w="4649" w:type="dxa"/>
            <w:noWrap/>
          </w:tcPr>
          <w:p>
            <w:pPr>
              <w:pStyle w:val="TableNAm"/>
            </w:pPr>
            <w:r>
              <w:rPr>
                <w:noProof/>
              </w:rPr>
              <w:t>Navigation of vessel while under influence of both alcohol and drugs</w:t>
            </w:r>
          </w:p>
        </w:tc>
      </w:tr>
      <w:tr>
        <w:trPr>
          <w:cantSplit/>
        </w:trPr>
        <w:tc>
          <w:tcPr>
            <w:tcW w:w="1418" w:type="dxa"/>
            <w:noWrap/>
          </w:tcPr>
          <w:p>
            <w:pPr>
              <w:pStyle w:val="TableNAm"/>
            </w:pPr>
            <w:r>
              <w:t>s. 75DB(1)</w:t>
            </w:r>
          </w:p>
        </w:tc>
        <w:tc>
          <w:tcPr>
            <w:tcW w:w="4649" w:type="dxa"/>
            <w:noWrap/>
          </w:tcPr>
          <w:p>
            <w:pPr>
              <w:pStyle w:val="TableNAm"/>
              <w:rPr>
                <w:noProof/>
              </w:rPr>
            </w:pPr>
            <w:r>
              <w:rPr>
                <w:noProof/>
              </w:rPr>
              <w:t>Navigation of vessel while prescribed illicit drug present</w:t>
            </w:r>
          </w:p>
        </w:tc>
      </w:tr>
    </w:tbl>
    <w:p>
      <w:pPr>
        <w:pStyle w:val="Penstart"/>
      </w:pPr>
      <w:r>
        <w:tab/>
        <w:t>Penalty for this subsection:</w:t>
      </w:r>
    </w:p>
    <w:p>
      <w:pPr>
        <w:pStyle w:val="Penpara"/>
      </w:pPr>
      <w:r>
        <w:tab/>
        <w:t>(a)</w:t>
      </w:r>
      <w:r>
        <w:tab/>
        <w:t>for a first offence, a fine of not less than $1 700 or more than $3 750;</w:t>
      </w:r>
    </w:p>
    <w:p>
      <w:pPr>
        <w:pStyle w:val="Penpara"/>
      </w:pPr>
      <w:r>
        <w:tab/>
        <w:t>(b)</w:t>
      </w:r>
      <w:r>
        <w:tab/>
        <w:t>for a second offence, imprisonment for 9 months or a fine of not less than $3 150 or more than $5 250;</w:t>
      </w:r>
    </w:p>
    <w:p>
      <w:pPr>
        <w:pStyle w:val="Penpara"/>
      </w:pPr>
      <w:r>
        <w:tab/>
        <w:t>(c)</w:t>
      </w:r>
      <w:r>
        <w:tab/>
        <w:t>for a third or subsequent offence, imprisonment for 18 months or a fine of not less than $3 150 or more than $7 500.</w:t>
      </w:r>
    </w:p>
    <w:p>
      <w:pPr>
        <w:pStyle w:val="Subsection"/>
      </w:pPr>
      <w:r>
        <w:tab/>
        <w:t>(2)</w:t>
      </w:r>
      <w:r>
        <w:tab/>
        <w:t xml:space="preserve">A court sentencing a person for an offence against subsection (1) must order that the person is disqualified from holding or obtaining a WA marine qualification as follows — </w:t>
      </w:r>
    </w:p>
    <w:p>
      <w:pPr>
        <w:pStyle w:val="Indenta"/>
      </w:pPr>
      <w:r>
        <w:tab/>
        <w:t>(a)</w:t>
      </w:r>
      <w:r>
        <w:tab/>
        <w:t>for a first offence, for a period of not less than 10 months;</w:t>
      </w:r>
    </w:p>
    <w:p>
      <w:pPr>
        <w:pStyle w:val="Indenta"/>
      </w:pPr>
      <w:r>
        <w:tab/>
        <w:t>(b)</w:t>
      </w:r>
      <w:r>
        <w:tab/>
        <w:t>for a second offence, for a period of not less than 30 months;</w:t>
      </w:r>
    </w:p>
    <w:p>
      <w:pPr>
        <w:pStyle w:val="Indenta"/>
      </w:pPr>
      <w:r>
        <w:tab/>
        <w:t>(c)</w:t>
      </w:r>
      <w:r>
        <w:tab/>
        <w:t>for a third or subsequent offence, permanently.</w:t>
      </w:r>
    </w:p>
    <w:p>
      <w:pPr>
        <w:pStyle w:val="Subsection"/>
      </w:pPr>
      <w:r>
        <w:tab/>
        <w:t>(3)</w:t>
      </w:r>
      <w:r>
        <w:tab/>
        <w:t xml:space="preserve">In determining whether an offence against subsection (1) is a first, second or subsequent offence, a previous offence against a </w:t>
      </w:r>
      <w:r>
        <w:lastRenderedPageBreak/>
        <w:t>provision specified in the Table must be taken into account as if it were an offence against subsection (1).</w:t>
      </w:r>
    </w:p>
    <w:p>
      <w:pPr>
        <w:pStyle w:val="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TableNAm"/>
              <w:jc w:val="center"/>
              <w:rPr>
                <w:b/>
                <w:bCs/>
              </w:rPr>
            </w:pPr>
            <w:r>
              <w:rPr>
                <w:b/>
                <w:bCs/>
              </w:rPr>
              <w:t>Section no.</w:t>
            </w:r>
          </w:p>
        </w:tc>
        <w:tc>
          <w:tcPr>
            <w:tcW w:w="4649" w:type="dxa"/>
            <w:noWrap/>
          </w:tcPr>
          <w:p>
            <w:pPr>
              <w:pStyle w:val="TableNAm"/>
              <w:jc w:val="center"/>
              <w:rPr>
                <w:b/>
                <w:bCs/>
              </w:rPr>
            </w:pPr>
            <w:r>
              <w:rPr>
                <w:b/>
                <w:bCs/>
              </w:rPr>
              <w:t>Section heading</w:t>
            </w:r>
          </w:p>
        </w:tc>
      </w:tr>
      <w:tr>
        <w:tc>
          <w:tcPr>
            <w:tcW w:w="1418" w:type="dxa"/>
            <w:noWrap/>
          </w:tcPr>
          <w:p>
            <w:pPr>
              <w:pStyle w:val="TableNAm"/>
            </w:pPr>
            <w:r>
              <w:t>s. 75C(1)</w:t>
            </w:r>
          </w:p>
        </w:tc>
        <w:tc>
          <w:tcPr>
            <w:tcW w:w="4649" w:type="dxa"/>
            <w:noWrap/>
          </w:tcPr>
          <w:p>
            <w:pPr>
              <w:pStyle w:val="TableNAm"/>
              <w:rPr>
                <w:noProof/>
              </w:rPr>
            </w:pPr>
            <w:r>
              <w:rPr>
                <w:noProof/>
              </w:rPr>
              <w:t>Navigation of vessel while under influence of alcohol or drugs</w:t>
            </w:r>
          </w:p>
        </w:tc>
      </w:tr>
      <w:tr>
        <w:tc>
          <w:tcPr>
            <w:tcW w:w="1418" w:type="dxa"/>
            <w:noWrap/>
          </w:tcPr>
          <w:p>
            <w:pPr>
              <w:pStyle w:val="TableNAm"/>
            </w:pPr>
            <w:r>
              <w:t>s. 75CA(1)</w:t>
            </w:r>
          </w:p>
        </w:tc>
        <w:tc>
          <w:tcPr>
            <w:tcW w:w="4649" w:type="dxa"/>
            <w:noWrap/>
          </w:tcPr>
          <w:p>
            <w:pPr>
              <w:pStyle w:val="TableNAm"/>
            </w:pPr>
            <w:r>
              <w:rPr>
                <w:noProof/>
              </w:rPr>
              <w:t>Navigation of vessel while under influence of both alcohol and drugs</w:t>
            </w:r>
          </w:p>
        </w:tc>
      </w:tr>
      <w:tr>
        <w:tc>
          <w:tcPr>
            <w:tcW w:w="1418" w:type="dxa"/>
            <w:noWrap/>
          </w:tcPr>
          <w:p>
            <w:pPr>
              <w:pStyle w:val="TableNAm"/>
            </w:pPr>
            <w:r>
              <w:t>s. 75HB(1)</w:t>
            </w:r>
          </w:p>
        </w:tc>
        <w:tc>
          <w:tcPr>
            <w:tcW w:w="4649" w:type="dxa"/>
            <w:noWrap/>
          </w:tcPr>
          <w:p>
            <w:pPr>
              <w:pStyle w:val="TableNAm"/>
            </w:pPr>
            <w:r>
              <w:rPr>
                <w:noProof/>
              </w:rPr>
              <w:t>Failure to comply with requirement: breath analysis, blood sample or stop vessel or navigate to specified place</w:t>
            </w:r>
          </w:p>
        </w:tc>
      </w:tr>
      <w:tr>
        <w:tc>
          <w:tcPr>
            <w:tcW w:w="1418" w:type="dxa"/>
            <w:noWrap/>
          </w:tcPr>
          <w:p>
            <w:pPr>
              <w:pStyle w:val="TableNAm"/>
            </w:pPr>
            <w:r>
              <w:t>s. 75HC(1)</w:t>
            </w:r>
          </w:p>
        </w:tc>
        <w:tc>
          <w:tcPr>
            <w:tcW w:w="4649" w:type="dxa"/>
            <w:noWrap/>
          </w:tcPr>
          <w:p>
            <w:pPr>
              <w:pStyle w:val="TableNAm"/>
            </w:pPr>
            <w:r>
              <w:rPr>
                <w:noProof/>
              </w:rPr>
              <w:t>Failure to comply with requirement: incident occasioning death, greivous bodily harm or bodily harm</w:t>
            </w:r>
          </w:p>
        </w:tc>
      </w:tr>
      <w:tr>
        <w:tc>
          <w:tcPr>
            <w:tcW w:w="1418" w:type="dxa"/>
            <w:noWrap/>
          </w:tcPr>
          <w:p>
            <w:pPr>
              <w:pStyle w:val="TableNAm"/>
            </w:pPr>
            <w:r>
              <w:t>s. 75HE(1)</w:t>
            </w:r>
          </w:p>
        </w:tc>
        <w:tc>
          <w:tcPr>
            <w:tcW w:w="4649" w:type="dxa"/>
            <w:noWrap/>
          </w:tcPr>
          <w:p>
            <w:pPr>
              <w:pStyle w:val="TableNAm"/>
              <w:rPr>
                <w:noProof/>
              </w:rPr>
            </w:pPr>
            <w:r>
              <w:rPr>
                <w:noProof/>
              </w:rPr>
              <w:t>Failure to comply with requirements relating to assessment of drug impairment</w:t>
            </w:r>
          </w:p>
        </w:tc>
      </w:tr>
      <w:tr>
        <w:tc>
          <w:tcPr>
            <w:tcW w:w="1418" w:type="dxa"/>
            <w:noWrap/>
          </w:tcPr>
          <w:p>
            <w:pPr>
              <w:pStyle w:val="TableNAm"/>
            </w:pPr>
            <w:r>
              <w:t>s. 75HI(1)</w:t>
            </w:r>
          </w:p>
        </w:tc>
        <w:tc>
          <w:tcPr>
            <w:tcW w:w="4649" w:type="dxa"/>
            <w:noWrap/>
          </w:tcPr>
          <w:p>
            <w:pPr>
              <w:pStyle w:val="TableNAm"/>
              <w:rPr>
                <w:noProof/>
              </w:rPr>
            </w:pPr>
            <w:r>
              <w:rPr>
                <w:noProof/>
              </w:rPr>
              <w:t>Failure to comply with drug testing requirement: BAC of 0.15 or above</w:t>
            </w:r>
          </w:p>
        </w:tc>
      </w:tr>
    </w:tbl>
    <w:p>
      <w:pPr>
        <w:pStyle w:val="Subsection"/>
      </w:pPr>
      <w:r>
        <w:tab/>
        <w:t>(4)</w:t>
      </w:r>
      <w:r>
        <w:tab/>
        <w:t>A police officer may arrest a person for an offence against subsection (1) without a warrant.</w:t>
      </w:r>
    </w:p>
    <w:p>
      <w:pPr>
        <w:pStyle w:val="Footnotesection"/>
        <w:ind w:left="890" w:hanging="890"/>
      </w:pPr>
      <w:r>
        <w:tab/>
        <w:t>[Section 75CD inserted: No. 31 of 2023 s. 14(1).]</w:t>
      </w:r>
    </w:p>
    <w:p>
      <w:pPr>
        <w:pStyle w:val="Heading5"/>
      </w:pPr>
      <w:bookmarkStart w:id="284" w:name="_Toc153284561"/>
      <w:bookmarkStart w:id="285" w:name="_Toc153887556"/>
      <w:r>
        <w:rPr>
          <w:rStyle w:val="CharSectno"/>
        </w:rPr>
        <w:t>75CE</w:t>
      </w:r>
      <w:r>
        <w:t>.</w:t>
      </w:r>
      <w:r>
        <w:tab/>
        <w:t>When person may be convicted of navigation of vessel while impaired by drugs offence</w:t>
      </w:r>
      <w:bookmarkEnd w:id="284"/>
      <w:bookmarkEnd w:id="285"/>
    </w:p>
    <w:p>
      <w:pPr>
        <w:pStyle w:val="Subsection"/>
      </w:pPr>
      <w:r>
        <w:tab/>
      </w:r>
      <w:r>
        <w:tab/>
        <w:t xml:space="preserve">A person may be convicted of an offence against section 75CD(1) if the prosecutor proves that — </w:t>
      </w:r>
    </w:p>
    <w:p>
      <w:pPr>
        <w:pStyle w:val="Indenta"/>
      </w:pPr>
      <w:r>
        <w:tab/>
        <w:t>(a)</w:t>
      </w:r>
      <w:r>
        <w:tab/>
        <w:t>the person navigated, or attempted to operate, a vessel; and</w:t>
      </w:r>
    </w:p>
    <w:p>
      <w:pPr>
        <w:pStyle w:val="Indenta"/>
      </w:pPr>
      <w:r>
        <w:lastRenderedPageBreak/>
        <w:tab/>
        <w:t>(b)</w:t>
      </w:r>
      <w:r>
        <w:tab/>
        <w:t>at the time of the navigation or attempted operation of the vessel, 1 or more drugs were present in the person’s body; and</w:t>
      </w:r>
    </w:p>
    <w:p>
      <w:pPr>
        <w:pStyle w:val="Indenta"/>
      </w:pPr>
      <w:r>
        <w:tab/>
        <w:t>(c)</w:t>
      </w:r>
      <w:r>
        <w:tab/>
        <w:t>the person’s behaviour, condition or appearance was consistent with the behaviour, condition or appearance associated with a person who has consumed or used that drug or combination of drugs; and</w:t>
      </w:r>
    </w:p>
    <w:p>
      <w:pPr>
        <w:pStyle w:val="Indenta"/>
      </w:pPr>
      <w:r>
        <w:tab/>
        <w:t>(d)</w:t>
      </w:r>
      <w:r>
        <w:tab/>
        <w:t>the behaviour or condition associated with a person who has consumed or used that drug or combination of drugs would be inconsistent with the person being capable of having proper control of a vessel.</w:t>
      </w:r>
    </w:p>
    <w:p>
      <w:pPr>
        <w:pStyle w:val="Footnotesection"/>
        <w:ind w:left="890" w:hanging="890"/>
      </w:pPr>
      <w:r>
        <w:tab/>
        <w:t>[Section 75CE inserted: No. 31 of 2023 s. 14(1).]</w:t>
      </w:r>
    </w:p>
    <w:p>
      <w:pPr>
        <w:pStyle w:val="Heading5"/>
      </w:pPr>
      <w:bookmarkStart w:id="286" w:name="_Toc153284562"/>
      <w:bookmarkStart w:id="287" w:name="_Toc153887557"/>
      <w:r>
        <w:rPr>
          <w:rStyle w:val="CharSectno"/>
        </w:rPr>
        <w:t>75CF</w:t>
      </w:r>
      <w:r>
        <w:t>.</w:t>
      </w:r>
      <w:r>
        <w:tab/>
        <w:t>Defence: impaired by drug prescribed or administered for therapeutic reasons</w:t>
      </w:r>
      <w:bookmarkEnd w:id="286"/>
      <w:bookmarkEnd w:id="287"/>
    </w:p>
    <w:p>
      <w:pPr>
        <w:pStyle w:val="Subsection"/>
      </w:pPr>
      <w:r>
        <w:tab/>
        <w:t>(1)</w:t>
      </w:r>
      <w:r>
        <w:tab/>
        <w:t>This section applies in relation to an offence against section 75CD(1) if it is alleged, or it appears on the evidence, that the person charged was impaired by 1 or more drugs.</w:t>
      </w:r>
    </w:p>
    <w:p>
      <w:pPr>
        <w:pStyle w:val="Subsection"/>
      </w:pPr>
      <w:r>
        <w:tab/>
        <w:t>(2)</w:t>
      </w:r>
      <w:r>
        <w:tab/>
        <w:t xml:space="preserve">It is a defence to a charge of the offence for the person charged to prove that — </w:t>
      </w:r>
    </w:p>
    <w:p>
      <w:pPr>
        <w:pStyle w:val="Indenta"/>
      </w:pPr>
      <w:r>
        <w:tab/>
        <w:t>(a)</w:t>
      </w:r>
      <w:r>
        <w:tab/>
        <w:t>the drug, or each drug, was prescribed for, or administered to, the person charged by a medical practitioner, nurse practitioner or dentist for therapeutic reasons; and</w:t>
      </w:r>
    </w:p>
    <w:p>
      <w:pPr>
        <w:pStyle w:val="Indenta"/>
      </w:pPr>
      <w:r>
        <w:tab/>
        <w:t>(b)</w:t>
      </w:r>
      <w:r>
        <w:tab/>
        <w:t>if the person charged received the drug, or 1 of the drugs, in packaged form — the packaging did not include a label advising that the drug was likely to affect a person in a way that would be inconsistent with the person being capable of having proper control of a vessel; and</w:t>
      </w:r>
    </w:p>
    <w:p>
      <w:pPr>
        <w:pStyle w:val="Indenta"/>
      </w:pPr>
      <w:r>
        <w:tab/>
        <w:t>(c)</w:t>
      </w:r>
      <w:r>
        <w:tab/>
        <w:t xml:space="preserve">the person charged was not aware, and could not reasonably have been expected to be aware, that the drug or combination of drugs were likely to affect the person </w:t>
      </w:r>
      <w:r>
        <w:lastRenderedPageBreak/>
        <w:t>in a way that would be inconsistent with the person being capable of having proper control of a vessel.</w:t>
      </w:r>
    </w:p>
    <w:p>
      <w:pPr>
        <w:pStyle w:val="Subsection"/>
      </w:pPr>
      <w:r>
        <w:tab/>
        <w:t>(3)</w:t>
      </w:r>
      <w:r>
        <w:tab/>
        <w:t>This section has effect despite section 75CE.</w:t>
      </w:r>
    </w:p>
    <w:p>
      <w:pPr>
        <w:pStyle w:val="Footnotesection"/>
        <w:ind w:left="890" w:hanging="890"/>
      </w:pPr>
      <w:r>
        <w:tab/>
        <w:t>[Section 75CF inserted: No. 31 of 2023 s. 14(1).]</w:t>
      </w:r>
    </w:p>
    <w:p>
      <w:pPr>
        <w:pStyle w:val="Heading5"/>
      </w:pPr>
      <w:bookmarkStart w:id="288" w:name="_Toc153284563"/>
      <w:bookmarkStart w:id="289" w:name="_Toc153887558"/>
      <w:r>
        <w:rPr>
          <w:rStyle w:val="CharSectno"/>
        </w:rPr>
        <w:t>75CG</w:t>
      </w:r>
      <w:r>
        <w:t>.</w:t>
      </w:r>
      <w:r>
        <w:tab/>
        <w:t>Rights of person charged with particular offences</w:t>
      </w:r>
      <w:bookmarkEnd w:id="288"/>
      <w:bookmarkEnd w:id="289"/>
    </w:p>
    <w:p>
      <w:pPr>
        <w:pStyle w:val="Subsection"/>
      </w:pPr>
      <w:r>
        <w:tab/>
        <w:t>(1)</w:t>
      </w:r>
      <w:r>
        <w:tab/>
        <w:t xml:space="preserve">This section applies if — </w:t>
      </w:r>
    </w:p>
    <w:p>
      <w:pPr>
        <w:pStyle w:val="Indenta"/>
      </w:pPr>
      <w:r>
        <w:tab/>
        <w:t>(a)</w:t>
      </w:r>
      <w:r>
        <w:tab/>
        <w:t xml:space="preserve">a person is charged with an offence against section 75C(1), 75CA(1) or 75CD(1); and </w:t>
      </w:r>
    </w:p>
    <w:p>
      <w:pPr>
        <w:pStyle w:val="Indenta"/>
      </w:pPr>
      <w:r>
        <w:tab/>
        <w:t>(b)</w:t>
      </w:r>
      <w:r>
        <w:tab/>
        <w:t>a sample of the person’s blood was not taken under an alcohol or drug testing requirement before the person was charged.</w:t>
      </w:r>
    </w:p>
    <w:p>
      <w:pPr>
        <w:pStyle w:val="Subsection"/>
      </w:pPr>
      <w:r>
        <w:tab/>
        <w:t>(2)</w:t>
      </w:r>
      <w:r>
        <w:tab/>
        <w:t>The person has the right to be examined by a medical practitioner nominated by them, if one is available, for the purpose of arranging for a sample of the person’s blood to be taken.</w:t>
      </w:r>
    </w:p>
    <w:p>
      <w:pPr>
        <w:pStyle w:val="Subsection"/>
      </w:pPr>
      <w:r>
        <w:tab/>
        <w:t>(3)</w:t>
      </w:r>
      <w:r>
        <w:tab/>
        <w:t xml:space="preserve">An inspector or police officer must — </w:t>
      </w:r>
    </w:p>
    <w:p>
      <w:pPr>
        <w:pStyle w:val="Indenta"/>
      </w:pPr>
      <w:r>
        <w:tab/>
        <w:t>(a)</w:t>
      </w:r>
      <w:r>
        <w:tab/>
        <w:t>inform the person charged of this right; and</w:t>
      </w:r>
    </w:p>
    <w:p>
      <w:pPr>
        <w:pStyle w:val="Indenta"/>
      </w:pPr>
      <w:r>
        <w:tab/>
        <w:t>(b)</w:t>
      </w:r>
      <w:r>
        <w:tab/>
        <w:t>make every reasonable effort to afford the person charged this right.</w:t>
      </w:r>
    </w:p>
    <w:p>
      <w:pPr>
        <w:pStyle w:val="Footnotesection"/>
        <w:ind w:left="890" w:hanging="890"/>
      </w:pPr>
      <w:r>
        <w:tab/>
        <w:t>[Section 75CG inserted: No. 31 of 2023 s. 14(1).]</w:t>
      </w:r>
    </w:p>
    <w:p>
      <w:pPr>
        <w:pStyle w:val="Heading2"/>
      </w:pPr>
      <w:bookmarkStart w:id="290" w:name="_Toc153377293"/>
      <w:bookmarkStart w:id="291" w:name="_Toc153544808"/>
      <w:bookmarkStart w:id="292" w:name="_Toc153796411"/>
      <w:bookmarkStart w:id="293" w:name="_Toc153887559"/>
      <w:r>
        <w:rPr>
          <w:rStyle w:val="CharPartNo"/>
        </w:rPr>
        <w:lastRenderedPageBreak/>
        <w:t>Part 4</w:t>
      </w:r>
      <w:r>
        <w:t> — </w:t>
      </w:r>
      <w:r>
        <w:rPr>
          <w:rStyle w:val="CharPartText"/>
        </w:rPr>
        <w:t>International Conventions</w:t>
      </w:r>
      <w:bookmarkEnd w:id="290"/>
      <w:bookmarkEnd w:id="291"/>
      <w:bookmarkEnd w:id="292"/>
      <w:bookmarkEnd w:id="293"/>
    </w:p>
    <w:p>
      <w:pPr>
        <w:pStyle w:val="Footnoteheading"/>
      </w:pPr>
      <w:r>
        <w:tab/>
        <w:t>[Heading amended: No. 24 of 2023 s. 55.]</w:t>
      </w:r>
    </w:p>
    <w:p>
      <w:pPr>
        <w:pStyle w:val="Heading3"/>
        <w:spacing w:before="280"/>
      </w:pPr>
      <w:bookmarkStart w:id="294" w:name="_Toc153377294"/>
      <w:bookmarkStart w:id="295" w:name="_Toc153544809"/>
      <w:bookmarkStart w:id="296" w:name="_Toc153796412"/>
      <w:bookmarkStart w:id="297" w:name="_Toc153887560"/>
      <w:r>
        <w:rPr>
          <w:rStyle w:val="CharDivNo"/>
        </w:rPr>
        <w:t>Division 1</w:t>
      </w:r>
      <w:r>
        <w:rPr>
          <w:snapToGrid w:val="0"/>
        </w:rPr>
        <w:t> — </w:t>
      </w:r>
      <w:r>
        <w:rPr>
          <w:rStyle w:val="CharDivText"/>
        </w:rPr>
        <w:t>General</w:t>
      </w:r>
      <w:bookmarkEnd w:id="294"/>
      <w:bookmarkEnd w:id="295"/>
      <w:bookmarkEnd w:id="296"/>
      <w:bookmarkEnd w:id="297"/>
    </w:p>
    <w:p>
      <w:pPr>
        <w:pStyle w:val="Heading5"/>
        <w:spacing w:before="240"/>
        <w:rPr>
          <w:snapToGrid w:val="0"/>
        </w:rPr>
      </w:pPr>
      <w:bookmarkStart w:id="298" w:name="_Toc153887561"/>
      <w:r>
        <w:rPr>
          <w:rStyle w:val="CharSectno"/>
        </w:rPr>
        <w:t>76</w:t>
      </w:r>
      <w:r>
        <w:rPr>
          <w:snapToGrid w:val="0"/>
        </w:rPr>
        <w:t>.</w:t>
      </w:r>
      <w:r>
        <w:rPr>
          <w:snapToGrid w:val="0"/>
        </w:rPr>
        <w:tab/>
        <w:t>Terms used</w:t>
      </w:r>
      <w:bookmarkEnd w:id="298"/>
    </w:p>
    <w:p>
      <w:pPr>
        <w:pStyle w:val="Subsection"/>
        <w:spacing w:before="180"/>
        <w:rPr>
          <w:snapToGrid w:val="0"/>
        </w:rPr>
      </w:pPr>
      <w:r>
        <w:rPr>
          <w:snapToGrid w:val="0"/>
        </w:rPr>
        <w:tab/>
      </w:r>
      <w:r>
        <w:rPr>
          <w:snapToGrid w:val="0"/>
        </w:rPr>
        <w:tab/>
        <w:t>In this Part, unless the contrary intention appears —</w:t>
      </w:r>
    </w:p>
    <w:p>
      <w:pPr>
        <w:pStyle w:val="Defstart"/>
        <w:spacing w:before="120"/>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spacing w:before="120"/>
      </w:pPr>
      <w:r>
        <w:rPr>
          <w:b/>
        </w:rPr>
        <w:tab/>
      </w:r>
      <w:r>
        <w:rPr>
          <w:rStyle w:val="CharDefText"/>
        </w:rPr>
        <w:t>container</w:t>
      </w:r>
      <w:r>
        <w:t xml:space="preserve"> has the same meaning as in the Container Convention;</w:t>
      </w:r>
    </w:p>
    <w:p>
      <w:pPr>
        <w:pStyle w:val="Defstart"/>
        <w:spacing w:before="120"/>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spacing w:before="120"/>
      </w:pPr>
      <w:r>
        <w:tab/>
        <w:t>(a)</w:t>
      </w:r>
      <w:r>
        <w:tab/>
        <w:t>any amendment of the Convention, other than an amendment not accepted by Australia, made under Article IX of the Convention; and</w:t>
      </w:r>
    </w:p>
    <w:p>
      <w:pPr>
        <w:pStyle w:val="Defpara"/>
        <w:spacing w:before="120"/>
      </w:pPr>
      <w:r>
        <w:tab/>
        <w:t>(b)</w:t>
      </w:r>
      <w:r>
        <w:tab/>
        <w:t>any amendment of the annexes to the Convention, other than an amendment objected to by Australia, made under Article X of the Convention;</w:t>
      </w:r>
    </w:p>
    <w:p>
      <w:pPr>
        <w:pStyle w:val="Defstart"/>
        <w:spacing w:before="120"/>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spacing w:before="120"/>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xml:space="preserve">, constituted by the rules, </w:t>
      </w:r>
      <w:r>
        <w:lastRenderedPageBreak/>
        <w:t>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299" w:name="_Toc153887562"/>
      <w:r>
        <w:rPr>
          <w:rStyle w:val="CharSectno"/>
        </w:rPr>
        <w:t>77</w:t>
      </w:r>
      <w:r>
        <w:rPr>
          <w:snapToGrid w:val="0"/>
        </w:rPr>
        <w:t>.</w:t>
      </w:r>
      <w:r>
        <w:rPr>
          <w:snapToGrid w:val="0"/>
        </w:rPr>
        <w:tab/>
        <w:t>Regulations under this Part</w:t>
      </w:r>
      <w:bookmarkEnd w:id="299"/>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lastRenderedPageBreak/>
        <w:tab/>
        <w:t>(2)</w:t>
      </w:r>
      <w:r>
        <w:rPr>
          <w:snapToGrid w:val="0"/>
        </w:rPr>
        <w:tab/>
        <w:t>Regulations made under this Part may make provision for or with respect to any matter by applying, adopting or incorporating, with or without modification —</w:t>
      </w:r>
    </w:p>
    <w:p>
      <w:pPr>
        <w:pStyle w:val="Indenta"/>
        <w:spacing w:before="60"/>
        <w:rPr>
          <w:snapToGrid w:val="0"/>
        </w:rPr>
      </w:pPr>
      <w:r>
        <w:rPr>
          <w:snapToGrid w:val="0"/>
        </w:rPr>
        <w:tab/>
        <w:t>(a)</w:t>
      </w:r>
      <w:r>
        <w:rPr>
          <w:snapToGrid w:val="0"/>
        </w:rPr>
        <w:tab/>
        <w:t>the provisions of any Act, or of any regulations, as in force at a particular time or as in force from time to time; or</w:t>
      </w:r>
    </w:p>
    <w:p>
      <w:pPr>
        <w:pStyle w:val="Indenta"/>
        <w:spacing w:before="60"/>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spacing w:before="100"/>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spacing w:before="80"/>
        <w:ind w:left="890" w:hanging="890"/>
      </w:pPr>
      <w:r>
        <w:tab/>
        <w:t>[Section 77 amended: No. 78 of 1995 s. 147.]</w:t>
      </w:r>
    </w:p>
    <w:p>
      <w:pPr>
        <w:pStyle w:val="Heading5"/>
        <w:spacing w:before="180"/>
        <w:rPr>
          <w:snapToGrid w:val="0"/>
        </w:rPr>
      </w:pPr>
      <w:bookmarkStart w:id="300" w:name="_Toc153887563"/>
      <w:r>
        <w:rPr>
          <w:rStyle w:val="CharSectno"/>
        </w:rPr>
        <w:t>78</w:t>
      </w:r>
      <w:r>
        <w:rPr>
          <w:snapToGrid w:val="0"/>
        </w:rPr>
        <w:t>.</w:t>
      </w:r>
      <w:r>
        <w:rPr>
          <w:snapToGrid w:val="0"/>
        </w:rPr>
        <w:tab/>
        <w:t>Regulations giving effect to Conventions: discretion of Governor and Minister</w:t>
      </w:r>
      <w:bookmarkEnd w:id="300"/>
    </w:p>
    <w:p>
      <w:pPr>
        <w:pStyle w:val="Subsection"/>
        <w:spacing w:before="110"/>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if so what, action should be taken under the Convention, be construed as an authority to the Governor to make by regulation such provision (if any) with respect to the matter in question as the Governor in the exercise of that discretion thinks proper.</w:t>
      </w:r>
    </w:p>
    <w:p>
      <w:pPr>
        <w:pStyle w:val="Subsection"/>
        <w:spacing w:before="110"/>
        <w:rPr>
          <w:snapToGrid w:val="0"/>
        </w:rPr>
      </w:pPr>
      <w:r>
        <w:rPr>
          <w:snapToGrid w:val="0"/>
        </w:rPr>
        <w:tab/>
        <w:t>(2)</w:t>
      </w:r>
      <w:r>
        <w:rPr>
          <w:snapToGrid w:val="0"/>
        </w:rPr>
        <w:tab/>
        <w:t xml:space="preserve">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w:t>
      </w:r>
      <w:r>
        <w:rPr>
          <w:snapToGrid w:val="0"/>
        </w:rPr>
        <w:lastRenderedPageBreak/>
        <w:t xml:space="preserve">ship, the Minister may allow any other fitting, material, appliance or apparatus, or type thereof, to be fitted or carried, or any other provision to be made if </w:t>
      </w:r>
      <w:r>
        <w:t>the Minister</w:t>
      </w:r>
      <w:r>
        <w:rPr>
          <w:snapToGrid w:val="0"/>
        </w:rPr>
        <w:t xml:space="preserve"> is satisfied that that other fitting, material, appliance or apparatus, or type thereof, of provision, is at least as effective as that required by the relevant Convention.</w:t>
      </w:r>
    </w:p>
    <w:p>
      <w:pPr>
        <w:pStyle w:val="Footnotesection"/>
        <w:spacing w:before="80"/>
        <w:ind w:left="890" w:hanging="890"/>
      </w:pPr>
      <w:r>
        <w:tab/>
        <w:t>[Section 78 amended: No. 24 of 2023 s. 57.]</w:t>
      </w:r>
    </w:p>
    <w:p>
      <w:pPr>
        <w:pStyle w:val="Heading3"/>
      </w:pPr>
      <w:bookmarkStart w:id="301" w:name="_Toc153377298"/>
      <w:bookmarkStart w:id="302" w:name="_Toc153544813"/>
      <w:bookmarkStart w:id="303" w:name="_Toc153796416"/>
      <w:bookmarkStart w:id="304" w:name="_Toc153887564"/>
      <w:r>
        <w:rPr>
          <w:rStyle w:val="CharDivNo"/>
        </w:rPr>
        <w:t>Division 2</w:t>
      </w:r>
      <w:r>
        <w:rPr>
          <w:snapToGrid w:val="0"/>
        </w:rPr>
        <w:t> — </w:t>
      </w:r>
      <w:r>
        <w:rPr>
          <w:rStyle w:val="CharDivText"/>
        </w:rPr>
        <w:t>Prevention of Collisions Convention</w:t>
      </w:r>
      <w:bookmarkEnd w:id="301"/>
      <w:bookmarkEnd w:id="302"/>
      <w:bookmarkEnd w:id="303"/>
      <w:bookmarkEnd w:id="304"/>
    </w:p>
    <w:p>
      <w:pPr>
        <w:pStyle w:val="Heading5"/>
        <w:rPr>
          <w:snapToGrid w:val="0"/>
        </w:rPr>
      </w:pPr>
      <w:bookmarkStart w:id="305" w:name="_Toc153887565"/>
      <w:r>
        <w:rPr>
          <w:rStyle w:val="CharSectno"/>
        </w:rPr>
        <w:t>79</w:t>
      </w:r>
      <w:r>
        <w:rPr>
          <w:snapToGrid w:val="0"/>
        </w:rPr>
        <w:t>.</w:t>
      </w:r>
      <w:r>
        <w:rPr>
          <w:snapToGrid w:val="0"/>
        </w:rPr>
        <w:tab/>
        <w:t>Regulations giving effect to Prevention of Collisions Convention</w:t>
      </w:r>
      <w:bookmarkEnd w:id="305"/>
    </w:p>
    <w:p>
      <w:pPr>
        <w:pStyle w:val="Subsection"/>
        <w:rPr>
          <w:snapToGrid w:val="0"/>
        </w:rPr>
      </w:pPr>
      <w:r>
        <w:rPr>
          <w:snapToGrid w:val="0"/>
        </w:rPr>
        <w:tab/>
        <w:t>(1)</w:t>
      </w:r>
      <w:r>
        <w:rPr>
          <w:snapToGrid w:val="0"/>
        </w:rPr>
        <w:tab/>
        <w:t xml:space="preserve">The regulations may make provision for and in relation to giving effect to the Prevention of Collisions Convention in relation to vessels, while they are in </w:t>
      </w:r>
      <w:r>
        <w:t>State waters.</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r>
      <w:bookmarkStart w:id="306" w:name="_Hlk153532436"/>
      <w:r>
        <w:t>Penalty for this subsection: a fine of</w:t>
      </w:r>
      <w:bookmarkEnd w:id="306"/>
      <w:r>
        <w:rPr>
          <w:snapToGrid w:val="0"/>
        </w:rPr>
        <w:t xml:space="preserve"> $10 000 or imprisonment for 2 years.</w:t>
      </w:r>
    </w:p>
    <w:p>
      <w:pPr>
        <w:pStyle w:val="Ednotesubsection"/>
      </w:pPr>
      <w:r>
        <w:tab/>
        <w:t>[(3)</w:t>
      </w:r>
      <w:r>
        <w:tab/>
        <w:t>deleted]</w:t>
      </w:r>
    </w:p>
    <w:p>
      <w:pPr>
        <w:pStyle w:val="Footnotesection"/>
        <w:spacing w:before="80"/>
        <w:ind w:left="890" w:hanging="890"/>
      </w:pPr>
      <w:r>
        <w:tab/>
        <w:t>[Section 79 amended: No. 24 of 2023 s. 58.]</w:t>
      </w:r>
    </w:p>
    <w:p>
      <w:pPr>
        <w:pStyle w:val="Heading3"/>
      </w:pPr>
      <w:bookmarkStart w:id="307" w:name="_Toc153377300"/>
      <w:bookmarkStart w:id="308" w:name="_Toc153544815"/>
      <w:bookmarkStart w:id="309" w:name="_Toc153796418"/>
      <w:bookmarkStart w:id="310" w:name="_Toc153887566"/>
      <w:r>
        <w:rPr>
          <w:rStyle w:val="CharDivNo"/>
        </w:rPr>
        <w:t>Division 3</w:t>
      </w:r>
      <w:r>
        <w:rPr>
          <w:snapToGrid w:val="0"/>
        </w:rPr>
        <w:t> — </w:t>
      </w:r>
      <w:r>
        <w:rPr>
          <w:rStyle w:val="CharDivText"/>
        </w:rPr>
        <w:t>Container Convention</w:t>
      </w:r>
      <w:bookmarkEnd w:id="307"/>
      <w:bookmarkEnd w:id="308"/>
      <w:bookmarkEnd w:id="309"/>
      <w:bookmarkEnd w:id="310"/>
    </w:p>
    <w:p>
      <w:pPr>
        <w:pStyle w:val="Heading5"/>
        <w:rPr>
          <w:snapToGrid w:val="0"/>
        </w:rPr>
      </w:pPr>
      <w:bookmarkStart w:id="311" w:name="_Toc153887567"/>
      <w:r>
        <w:rPr>
          <w:rStyle w:val="CharSectno"/>
        </w:rPr>
        <w:t>80</w:t>
      </w:r>
      <w:r>
        <w:rPr>
          <w:snapToGrid w:val="0"/>
        </w:rPr>
        <w:t>.</w:t>
      </w:r>
      <w:r>
        <w:rPr>
          <w:snapToGrid w:val="0"/>
        </w:rPr>
        <w:tab/>
        <w:t>Regulations giving effect to Container Convention</w:t>
      </w:r>
      <w:bookmarkEnd w:id="311"/>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312" w:name="_Toc153887568"/>
      <w:r>
        <w:rPr>
          <w:rStyle w:val="CharSectno"/>
        </w:rPr>
        <w:lastRenderedPageBreak/>
        <w:t>81</w:t>
      </w:r>
      <w:r>
        <w:rPr>
          <w:snapToGrid w:val="0"/>
        </w:rPr>
        <w:t>.</w:t>
      </w:r>
      <w:r>
        <w:rPr>
          <w:snapToGrid w:val="0"/>
        </w:rPr>
        <w:tab/>
        <w:t>Safety requirements and tests not required or permitted by the Container Convention not to be imposed</w:t>
      </w:r>
      <w:bookmarkEnd w:id="312"/>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313" w:name="_Toc153377303"/>
      <w:bookmarkStart w:id="314" w:name="_Toc153544818"/>
      <w:bookmarkStart w:id="315" w:name="_Toc153796421"/>
      <w:bookmarkStart w:id="316" w:name="_Toc153887569"/>
      <w:r>
        <w:rPr>
          <w:rStyle w:val="CharDivNo"/>
        </w:rPr>
        <w:t>Division 4</w:t>
      </w:r>
      <w:r>
        <w:rPr>
          <w:snapToGrid w:val="0"/>
        </w:rPr>
        <w:t> — </w:t>
      </w:r>
      <w:r>
        <w:rPr>
          <w:rStyle w:val="CharDivText"/>
        </w:rPr>
        <w:t>Limitation Convention and limitation provisions</w:t>
      </w:r>
      <w:bookmarkEnd w:id="313"/>
      <w:bookmarkEnd w:id="314"/>
      <w:bookmarkEnd w:id="315"/>
      <w:bookmarkEnd w:id="316"/>
    </w:p>
    <w:p>
      <w:pPr>
        <w:pStyle w:val="Heading5"/>
        <w:rPr>
          <w:snapToGrid w:val="0"/>
        </w:rPr>
      </w:pPr>
      <w:bookmarkStart w:id="317" w:name="_Toc153887570"/>
      <w:r>
        <w:rPr>
          <w:rStyle w:val="CharSectno"/>
        </w:rPr>
        <w:t>82</w:t>
      </w:r>
      <w:r>
        <w:rPr>
          <w:snapToGrid w:val="0"/>
        </w:rPr>
        <w:t>.</w:t>
      </w:r>
      <w:r>
        <w:rPr>
          <w:snapToGrid w:val="0"/>
        </w:rPr>
        <w:tab/>
        <w:t>Interpretation</w:t>
      </w:r>
      <w:bookmarkEnd w:id="317"/>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318" w:name="_Toc153887571"/>
      <w:r>
        <w:rPr>
          <w:rStyle w:val="CharSectno"/>
        </w:rPr>
        <w:t>83</w:t>
      </w:r>
      <w:r>
        <w:rPr>
          <w:snapToGrid w:val="0"/>
        </w:rPr>
        <w:t>.</w:t>
      </w:r>
      <w:r>
        <w:rPr>
          <w:snapToGrid w:val="0"/>
        </w:rPr>
        <w:tab/>
        <w:t>Application</w:t>
      </w:r>
      <w:bookmarkEnd w:id="318"/>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319" w:name="_Toc153887572"/>
      <w:r>
        <w:rPr>
          <w:rStyle w:val="CharSectno"/>
        </w:rPr>
        <w:lastRenderedPageBreak/>
        <w:t>84</w:t>
      </w:r>
      <w:r>
        <w:rPr>
          <w:snapToGrid w:val="0"/>
        </w:rPr>
        <w:t>.</w:t>
      </w:r>
      <w:r>
        <w:rPr>
          <w:snapToGrid w:val="0"/>
        </w:rPr>
        <w:tab/>
        <w:t>Provisions of Limitation Convention having force of law</w:t>
      </w:r>
      <w:bookmarkEnd w:id="319"/>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 xml:space="preserve">a trading ship within the meaning of section 6 of the </w:t>
      </w:r>
      <w:r>
        <w:t>former</w:t>
      </w:r>
      <w:r>
        <w:rPr>
          <w:snapToGrid w:val="0"/>
        </w:rPr>
        <w:t xml:space="preserve"> Navigation Act proceeding on a voyage other than an overseas voyage or an inter</w:t>
      </w:r>
      <w:r>
        <w:rPr>
          <w:snapToGrid w:val="0"/>
        </w:rPr>
        <w:noBreakHyphen/>
        <w:t>state voyage; and</w:t>
      </w:r>
    </w:p>
    <w:p>
      <w:pPr>
        <w:pStyle w:val="Indenta"/>
        <w:rPr>
          <w:snapToGrid w:val="0"/>
        </w:rPr>
      </w:pPr>
      <w:r>
        <w:rPr>
          <w:snapToGrid w:val="0"/>
        </w:rPr>
        <w:tab/>
        <w:t>(b)</w:t>
      </w:r>
      <w:r>
        <w:rPr>
          <w:snapToGrid w:val="0"/>
        </w:rPr>
        <w:tab/>
        <w:t>an Australian fishing vessel within the meaning of section 6 of that Act proceeding on a voyage other than an overseas voyage; and</w:t>
      </w:r>
    </w:p>
    <w:p>
      <w:pPr>
        <w:pStyle w:val="Indenta"/>
        <w:rPr>
          <w:snapToGrid w:val="0"/>
        </w:rPr>
      </w:pPr>
      <w:r>
        <w:rPr>
          <w:snapToGrid w:val="0"/>
        </w:rPr>
        <w:tab/>
        <w:t>(c)</w:t>
      </w:r>
      <w:r>
        <w:rPr>
          <w:snapToGrid w:val="0"/>
        </w:rPr>
        <w:tab/>
        <w:t>an inland waterways vessel within the meaning of section 6 of that Act; and</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 xml:space="preserve">in respect of which there is not in force a declaration under </w:t>
      </w:r>
      <w:r>
        <w:t>section 8A(2)</w:t>
      </w:r>
      <w:r>
        <w:rPr>
          <w:snapToGrid w:val="0"/>
        </w:rPr>
        <w:t xml:space="preserve">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w:t>
      </w:r>
      <w:r>
        <w:t>former</w:t>
      </w:r>
      <w:r>
        <w:rPr>
          <w:snapToGrid w:val="0"/>
        </w:rPr>
        <w:t xml:space="preserv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Footnotesection"/>
        <w:spacing w:before="80"/>
        <w:ind w:left="890" w:hanging="890"/>
      </w:pPr>
      <w:r>
        <w:tab/>
        <w:t>[Section 84 amended: No. 24 of 2023 s. 59.]</w:t>
      </w:r>
    </w:p>
    <w:p>
      <w:pPr>
        <w:pStyle w:val="Heading5"/>
        <w:rPr>
          <w:snapToGrid w:val="0"/>
        </w:rPr>
      </w:pPr>
      <w:bookmarkStart w:id="320" w:name="_Toc153887573"/>
      <w:r>
        <w:rPr>
          <w:rStyle w:val="CharSectno"/>
        </w:rPr>
        <w:lastRenderedPageBreak/>
        <w:t>85</w:t>
      </w:r>
      <w:r>
        <w:rPr>
          <w:snapToGrid w:val="0"/>
        </w:rPr>
        <w:t>.</w:t>
      </w:r>
      <w:r>
        <w:rPr>
          <w:snapToGrid w:val="0"/>
        </w:rPr>
        <w:tab/>
        <w:t>Limitation in relation to non</w:t>
      </w:r>
      <w:r>
        <w:rPr>
          <w:snapToGrid w:val="0"/>
        </w:rPr>
        <w:noBreakHyphen/>
        <w:t>seagoing ferries</w:t>
      </w:r>
      <w:bookmarkEnd w:id="320"/>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321" w:name="_Toc153887574"/>
      <w:r>
        <w:rPr>
          <w:rStyle w:val="CharSectno"/>
        </w:rPr>
        <w:t>86</w:t>
      </w:r>
      <w:r>
        <w:rPr>
          <w:snapToGrid w:val="0"/>
        </w:rPr>
        <w:t>.</w:t>
      </w:r>
      <w:r>
        <w:rPr>
          <w:snapToGrid w:val="0"/>
        </w:rPr>
        <w:tab/>
        <w:t>Application to determine liability</w:t>
      </w:r>
      <w:bookmarkEnd w:id="321"/>
    </w:p>
    <w:p>
      <w:pPr>
        <w:pStyle w:val="Subsection"/>
        <w:rPr>
          <w:snapToGrid w:val="0"/>
        </w:rPr>
      </w:pPr>
      <w:r>
        <w:rPr>
          <w:snapToGrid w:val="0"/>
        </w:rPr>
        <w:tab/>
        <w:t>(1)</w:t>
      </w:r>
      <w:r>
        <w:rPr>
          <w:snapToGrid w:val="0"/>
        </w:rPr>
        <w:tab/>
        <w:t xml:space="preserve">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w:t>
      </w:r>
      <w:r>
        <w:rPr>
          <w:snapToGrid w:val="0"/>
        </w:rPr>
        <w:lastRenderedPageBreak/>
        <w:t>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322" w:name="_Toc153887575"/>
      <w:r>
        <w:rPr>
          <w:rStyle w:val="CharSectno"/>
        </w:rPr>
        <w:t>87</w:t>
      </w:r>
      <w:r>
        <w:rPr>
          <w:snapToGrid w:val="0"/>
        </w:rPr>
        <w:t>.</w:t>
      </w:r>
      <w:r>
        <w:rPr>
          <w:snapToGrid w:val="0"/>
        </w:rPr>
        <w:tab/>
        <w:t>Regulations giving effect to Limitation Convention</w:t>
      </w:r>
      <w:bookmarkEnd w:id="322"/>
    </w:p>
    <w:p>
      <w:pPr>
        <w:pStyle w:val="Subsection"/>
        <w:rPr>
          <w:snapToGrid w:val="0"/>
        </w:rPr>
      </w:pPr>
      <w:r>
        <w:rPr>
          <w:snapToGrid w:val="0"/>
        </w:rPr>
        <w:tab/>
        <w:t>(1)</w:t>
      </w:r>
      <w:r>
        <w:rPr>
          <w:snapToGrid w:val="0"/>
        </w:rPr>
        <w:tab/>
        <w:t xml:space="preserve">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w:t>
      </w:r>
      <w:r>
        <w:rPr>
          <w:snapToGrid w:val="0"/>
        </w:rPr>
        <w:lastRenderedPageBreak/>
        <w:t>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323" w:name="_Toc153887576"/>
      <w:r>
        <w:rPr>
          <w:rStyle w:val="CharSectno"/>
        </w:rPr>
        <w:t>88</w:t>
      </w:r>
      <w:r>
        <w:rPr>
          <w:snapToGrid w:val="0"/>
        </w:rPr>
        <w:t>.</w:t>
      </w:r>
      <w:r>
        <w:rPr>
          <w:snapToGrid w:val="0"/>
        </w:rPr>
        <w:tab/>
        <w:t>Ship owner not to be liable in certain cases of loss of, or damage to, goods</w:t>
      </w:r>
      <w:bookmarkEnd w:id="323"/>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324" w:name="_Toc153887577"/>
      <w:r>
        <w:rPr>
          <w:rStyle w:val="CharSectno"/>
        </w:rPr>
        <w:t>89</w:t>
      </w:r>
      <w:r>
        <w:rPr>
          <w:snapToGrid w:val="0"/>
        </w:rPr>
        <w:t>.</w:t>
      </w:r>
      <w:r>
        <w:rPr>
          <w:snapToGrid w:val="0"/>
        </w:rPr>
        <w:tab/>
        <w:t>Ship owner not entitled to limit liability in respect of claims by crew etc.</w:t>
      </w:r>
      <w:bookmarkEnd w:id="324"/>
    </w:p>
    <w:p>
      <w:pPr>
        <w:pStyle w:val="Subsection"/>
        <w:rPr>
          <w:snapToGrid w:val="0"/>
        </w:rPr>
      </w:pPr>
      <w:r>
        <w:rPr>
          <w:snapToGrid w:val="0"/>
        </w:rPr>
        <w:tab/>
        <w:t>(1)</w:t>
      </w:r>
      <w:r>
        <w:rPr>
          <w:snapToGrid w:val="0"/>
        </w:rPr>
        <w:tab/>
        <w:t xml:space="preserve">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w:t>
      </w:r>
      <w:r>
        <w:rPr>
          <w:snapToGrid w:val="0"/>
        </w:rPr>
        <w:lastRenderedPageBreak/>
        <w:t>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325" w:name="_Toc153377312"/>
      <w:bookmarkStart w:id="326" w:name="_Toc153544827"/>
      <w:bookmarkStart w:id="327" w:name="_Toc153796430"/>
      <w:bookmarkStart w:id="328" w:name="_Toc153887578"/>
      <w:r>
        <w:rPr>
          <w:rStyle w:val="CharDivNo"/>
        </w:rPr>
        <w:t>Division 5</w:t>
      </w:r>
      <w:r>
        <w:rPr>
          <w:snapToGrid w:val="0"/>
        </w:rPr>
        <w:t> — </w:t>
      </w:r>
      <w:r>
        <w:rPr>
          <w:rStyle w:val="CharDivText"/>
        </w:rPr>
        <w:t>Safety Convention</w:t>
      </w:r>
      <w:bookmarkEnd w:id="325"/>
      <w:bookmarkEnd w:id="326"/>
      <w:bookmarkEnd w:id="327"/>
      <w:bookmarkEnd w:id="328"/>
    </w:p>
    <w:p>
      <w:pPr>
        <w:pStyle w:val="Heading5"/>
        <w:rPr>
          <w:snapToGrid w:val="0"/>
        </w:rPr>
      </w:pPr>
      <w:bookmarkStart w:id="329" w:name="_Toc153887579"/>
      <w:r>
        <w:rPr>
          <w:rStyle w:val="CharSectno"/>
        </w:rPr>
        <w:t>90</w:t>
      </w:r>
      <w:r>
        <w:rPr>
          <w:snapToGrid w:val="0"/>
        </w:rPr>
        <w:t>.</w:t>
      </w:r>
      <w:r>
        <w:rPr>
          <w:snapToGrid w:val="0"/>
        </w:rPr>
        <w:tab/>
        <w:t>Regulations giving effect to Safety Convention</w:t>
      </w:r>
      <w:bookmarkEnd w:id="329"/>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 xml:space="preserve">a trading ship within the meaning of section 6 of the </w:t>
      </w:r>
      <w:r>
        <w:t>former</w:t>
      </w:r>
      <w:r>
        <w:rPr>
          <w:snapToGrid w:val="0"/>
        </w:rPr>
        <w:t xml:space="preserve"> Navigation Act proceeding on a voyage other than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within the meaning of section 6 of that Act proceeding on a voyage other than an overseas voyage; or</w:t>
      </w:r>
    </w:p>
    <w:p>
      <w:pPr>
        <w:pStyle w:val="Indenta"/>
        <w:rPr>
          <w:snapToGrid w:val="0"/>
        </w:rPr>
      </w:pPr>
      <w:r>
        <w:rPr>
          <w:snapToGrid w:val="0"/>
        </w:rPr>
        <w:tab/>
        <w:t>(c)</w:t>
      </w:r>
      <w:r>
        <w:rPr>
          <w:snapToGrid w:val="0"/>
        </w:rPr>
        <w:tab/>
        <w:t>an inland waterways vessel within the meaning of section 6 of that Act; or</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 xml:space="preserve">in respect of which there is not in force a declaration under </w:t>
      </w:r>
      <w:r>
        <w:t>section 8A(2)</w:t>
      </w:r>
      <w:r>
        <w:rPr>
          <w:snapToGrid w:val="0"/>
        </w:rPr>
        <w:t xml:space="preserve">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lastRenderedPageBreak/>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w:t>
      </w:r>
      <w:r>
        <w:t>former</w:t>
      </w:r>
      <w:r>
        <w:rPr>
          <w:snapToGrid w:val="0"/>
        </w:rPr>
        <w:t xml:space="preserv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Footnotesection"/>
        <w:spacing w:before="80"/>
        <w:ind w:left="890" w:hanging="890"/>
      </w:pPr>
      <w:r>
        <w:tab/>
        <w:t>[Section 90 amended: No. 24 of 2023 s. 60.]</w:t>
      </w:r>
    </w:p>
    <w:p>
      <w:pPr>
        <w:pStyle w:val="Heading2"/>
      </w:pPr>
      <w:bookmarkStart w:id="330" w:name="_Toc153377314"/>
      <w:bookmarkStart w:id="331" w:name="_Toc153544829"/>
      <w:bookmarkStart w:id="332" w:name="_Toc153796432"/>
      <w:bookmarkStart w:id="333" w:name="_Toc153887580"/>
      <w:r>
        <w:rPr>
          <w:rStyle w:val="CharPartNo"/>
        </w:rPr>
        <w:lastRenderedPageBreak/>
        <w:t>Part 5</w:t>
      </w:r>
      <w:r>
        <w:rPr>
          <w:rStyle w:val="CharDivNo"/>
        </w:rPr>
        <w:t> </w:t>
      </w:r>
      <w:r>
        <w:rPr>
          <w:szCs w:val="30"/>
        </w:rPr>
        <w:t>—</w:t>
      </w:r>
      <w:r>
        <w:rPr>
          <w:rStyle w:val="CharDivText"/>
        </w:rPr>
        <w:t> </w:t>
      </w:r>
      <w:r>
        <w:rPr>
          <w:rStyle w:val="CharPartText"/>
        </w:rPr>
        <w:t>Carriage of dangerous goods</w:t>
      </w:r>
      <w:bookmarkEnd w:id="330"/>
      <w:bookmarkEnd w:id="331"/>
      <w:bookmarkEnd w:id="332"/>
      <w:bookmarkEnd w:id="333"/>
    </w:p>
    <w:p>
      <w:pPr>
        <w:pStyle w:val="Footnoteheading"/>
      </w:pPr>
      <w:bookmarkStart w:id="334" w:name="_Hlk153533618"/>
      <w:r>
        <w:tab/>
        <w:t>[Heading amended: No. 24 of 2023 s. 61.]</w:t>
      </w:r>
    </w:p>
    <w:p>
      <w:pPr>
        <w:pStyle w:val="Heading5"/>
        <w:rPr>
          <w:snapToGrid w:val="0"/>
        </w:rPr>
      </w:pPr>
      <w:bookmarkStart w:id="335" w:name="_Toc153887581"/>
      <w:bookmarkEnd w:id="334"/>
      <w:r>
        <w:rPr>
          <w:rStyle w:val="CharSectno"/>
        </w:rPr>
        <w:t>91</w:t>
      </w:r>
      <w:r>
        <w:rPr>
          <w:snapToGrid w:val="0"/>
        </w:rPr>
        <w:t>.</w:t>
      </w:r>
      <w:r>
        <w:rPr>
          <w:snapToGrid w:val="0"/>
        </w:rPr>
        <w:tab/>
        <w:t>Restriction on carriage of dangerous goods</w:t>
      </w:r>
      <w:bookmarkEnd w:id="335"/>
    </w:p>
    <w:p>
      <w:pPr>
        <w:pStyle w:val="Subsection"/>
        <w:rPr>
          <w:snapToGrid w:val="0"/>
        </w:rPr>
      </w:pPr>
      <w:r>
        <w:rPr>
          <w:snapToGrid w:val="0"/>
        </w:rPr>
        <w:tab/>
        <w:t>(1)</w:t>
      </w:r>
      <w:r>
        <w:rPr>
          <w:snapToGrid w:val="0"/>
        </w:rPr>
        <w:tab/>
        <w:t xml:space="preserve">A person shall not carry dangerous goods in a </w:t>
      </w:r>
      <w:r>
        <w:t>vessel</w:t>
      </w:r>
      <w:r>
        <w:rPr>
          <w:snapToGrid w:val="0"/>
        </w:rPr>
        <w:t xml:space="preserve"> or place dangerous goods, or cause dangerous goods to be placed, on board a </w:t>
      </w:r>
      <w:r>
        <w:t>vessel</w:t>
      </w:r>
      <w:r>
        <w:rPr>
          <w:snapToGrid w:val="0"/>
        </w:rPr>
        <w:t xml:space="preserve"> for carriage in the </w:t>
      </w:r>
      <w:r>
        <w:t>vessel</w:t>
      </w:r>
      <w:r>
        <w:rPr>
          <w:snapToGrid w:val="0"/>
        </w:rPr>
        <w:t xml:space="preserve">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 xml:space="preserve">a description in writing of the goods (not being a description contained in the ordinary shipping documents) is given to the </w:t>
      </w:r>
      <w:r>
        <w:t>owner and master of the vessel</w:t>
      </w:r>
      <w:r>
        <w:rPr>
          <w:snapToGrid w:val="0"/>
        </w:rPr>
        <w:t xml:space="preserve"> at or before the time the goods are placed on board the </w:t>
      </w:r>
      <w:r>
        <w:t>vessel.</w:t>
      </w:r>
    </w:p>
    <w:p>
      <w:pPr>
        <w:pStyle w:val="Penstart"/>
        <w:rPr>
          <w:snapToGrid w:val="0"/>
        </w:rPr>
      </w:pPr>
      <w:r>
        <w:rPr>
          <w:snapToGrid w:val="0"/>
        </w:rPr>
        <w:tab/>
      </w:r>
      <w:r>
        <w:t>Penalty for this subsection: a fine of $2 000.</w:t>
      </w:r>
    </w:p>
    <w:p>
      <w:pPr>
        <w:pStyle w:val="Subsection"/>
        <w:rPr>
          <w:snapToGrid w:val="0"/>
        </w:rPr>
      </w:pPr>
      <w:r>
        <w:rPr>
          <w:snapToGrid w:val="0"/>
        </w:rPr>
        <w:tab/>
        <w:t>(2)</w:t>
      </w:r>
      <w:r>
        <w:rPr>
          <w:snapToGrid w:val="0"/>
        </w:rPr>
        <w:tab/>
        <w:t xml:space="preserve">Subsection (1) does not apply to the owner or master of the </w:t>
      </w:r>
      <w:r>
        <w:t>vessel.</w:t>
      </w:r>
    </w:p>
    <w:p>
      <w:pPr>
        <w:pStyle w:val="Footnotesection"/>
      </w:pPr>
      <w:r>
        <w:tab/>
        <w:t>[Section 91 amended: No. 7 of 2004 s. 70; No. 24 of 2023 s. 62.]</w:t>
      </w:r>
    </w:p>
    <w:p>
      <w:pPr>
        <w:pStyle w:val="Heading5"/>
        <w:rPr>
          <w:snapToGrid w:val="0"/>
        </w:rPr>
      </w:pPr>
      <w:bookmarkStart w:id="336" w:name="_Toc153887582"/>
      <w:r>
        <w:rPr>
          <w:rStyle w:val="CharSectno"/>
        </w:rPr>
        <w:t>92</w:t>
      </w:r>
      <w:r>
        <w:rPr>
          <w:snapToGrid w:val="0"/>
        </w:rPr>
        <w:t>.</w:t>
      </w:r>
      <w:r>
        <w:rPr>
          <w:snapToGrid w:val="0"/>
        </w:rPr>
        <w:tab/>
        <w:t>Penalty for misdescription of goods and sender</w:t>
      </w:r>
      <w:bookmarkEnd w:id="336"/>
    </w:p>
    <w:p>
      <w:pPr>
        <w:pStyle w:val="Subsection"/>
        <w:rPr>
          <w:snapToGrid w:val="0"/>
        </w:rPr>
      </w:pPr>
      <w:r>
        <w:rPr>
          <w:snapToGrid w:val="0"/>
        </w:rPr>
        <w:tab/>
        <w:t>(1)</w:t>
      </w:r>
      <w:r>
        <w:rPr>
          <w:snapToGrid w:val="0"/>
        </w:rPr>
        <w:tab/>
        <w:t xml:space="preserve">A person shall not knowingly send by or carry in any </w:t>
      </w:r>
      <w:r>
        <w:t>vessel</w:t>
      </w:r>
      <w:r>
        <w:rPr>
          <w:snapToGrid w:val="0"/>
        </w:rPr>
        <w:t xml:space="preserve"> from any port in the State any dangerous goods under a false description.</w:t>
      </w:r>
    </w:p>
    <w:p>
      <w:pPr>
        <w:pStyle w:val="Penstart"/>
        <w:rPr>
          <w:snapToGrid w:val="0"/>
        </w:rPr>
      </w:pPr>
      <w:r>
        <w:rPr>
          <w:snapToGrid w:val="0"/>
        </w:rPr>
        <w:tab/>
      </w:r>
      <w:r>
        <w:t>Penalty for this subsection: a fine of $2 000.</w:t>
      </w:r>
    </w:p>
    <w:p>
      <w:pPr>
        <w:pStyle w:val="Subsection"/>
        <w:rPr>
          <w:snapToGrid w:val="0"/>
        </w:rPr>
      </w:pPr>
      <w:r>
        <w:rPr>
          <w:snapToGrid w:val="0"/>
        </w:rPr>
        <w:tab/>
        <w:t>(2)</w:t>
      </w:r>
      <w:r>
        <w:rPr>
          <w:snapToGrid w:val="0"/>
        </w:rPr>
        <w:tab/>
        <w:t xml:space="preserve">Where any dangerous goods are on board a </w:t>
      </w:r>
      <w:r>
        <w:t>vessel,</w:t>
      </w:r>
      <w:r>
        <w:rPr>
          <w:snapToGrid w:val="0"/>
        </w:rPr>
        <w:t xml:space="preserve"> or are to be placed on board a </w:t>
      </w:r>
      <w:r>
        <w:t>vessel,</w:t>
      </w:r>
      <w:r>
        <w:rPr>
          <w:snapToGrid w:val="0"/>
        </w:rPr>
        <w:t xml:space="preserve"> a person shall not knowingly falsely describe the sender of the goods on any package containing the goods or in any document relating to the shipping of the goods.</w:t>
      </w:r>
    </w:p>
    <w:p>
      <w:pPr>
        <w:pStyle w:val="Penstart"/>
        <w:keepNext/>
        <w:rPr>
          <w:snapToGrid w:val="0"/>
        </w:rPr>
      </w:pPr>
      <w:r>
        <w:rPr>
          <w:snapToGrid w:val="0"/>
        </w:rPr>
        <w:lastRenderedPageBreak/>
        <w:tab/>
      </w:r>
      <w:r>
        <w:t>Penalty for this subsection: a fine of $2 000.</w:t>
      </w:r>
    </w:p>
    <w:p>
      <w:pPr>
        <w:pStyle w:val="Footnotesection"/>
      </w:pPr>
      <w:r>
        <w:tab/>
        <w:t>[Section 92: Correction: Gazette 26 Jul 2013 p. 3354; amended: No. 24 of 2023 s. 63.]</w:t>
      </w:r>
    </w:p>
    <w:p>
      <w:pPr>
        <w:pStyle w:val="Heading5"/>
        <w:rPr>
          <w:snapToGrid w:val="0"/>
        </w:rPr>
      </w:pPr>
      <w:bookmarkStart w:id="337" w:name="_Toc153887583"/>
      <w:r>
        <w:rPr>
          <w:rStyle w:val="CharSectno"/>
        </w:rPr>
        <w:t>93</w:t>
      </w:r>
      <w:r>
        <w:rPr>
          <w:snapToGrid w:val="0"/>
        </w:rPr>
        <w:t>.</w:t>
      </w:r>
      <w:r>
        <w:rPr>
          <w:snapToGrid w:val="0"/>
        </w:rPr>
        <w:tab/>
        <w:t>Powers of owner or master as to dangerous goods</w:t>
      </w:r>
      <w:bookmarkEnd w:id="337"/>
    </w:p>
    <w:p>
      <w:pPr>
        <w:pStyle w:val="Subsection"/>
        <w:rPr>
          <w:snapToGrid w:val="0"/>
        </w:rPr>
      </w:pPr>
      <w:r>
        <w:rPr>
          <w:snapToGrid w:val="0"/>
        </w:rPr>
        <w:tab/>
        <w:t>(1)</w:t>
      </w:r>
      <w:r>
        <w:rPr>
          <w:snapToGrid w:val="0"/>
        </w:rPr>
        <w:tab/>
        <w:t xml:space="preserve">The owner or master of any </w:t>
      </w:r>
      <w:r>
        <w:t>vessel</w:t>
      </w:r>
      <w:r>
        <w:rPr>
          <w:snapToGrid w:val="0"/>
        </w:rPr>
        <w:t xml:space="preserve"> may refuse to take on board at any port in the State any package which </w:t>
      </w:r>
      <w:r>
        <w:t>the owner or master</w:t>
      </w:r>
      <w:r>
        <w:rPr>
          <w:snapToGrid w:val="0"/>
        </w:rPr>
        <w:t xml:space="preserve"> suspects contains dangerous goods and may require it to be opened and may inspect the contents.</w:t>
      </w:r>
    </w:p>
    <w:p>
      <w:pPr>
        <w:pStyle w:val="Subsection"/>
        <w:rPr>
          <w:snapToGrid w:val="0"/>
        </w:rPr>
      </w:pPr>
      <w:r>
        <w:rPr>
          <w:snapToGrid w:val="0"/>
        </w:rPr>
        <w:tab/>
        <w:t>(2)</w:t>
      </w:r>
      <w:r>
        <w:rPr>
          <w:snapToGrid w:val="0"/>
        </w:rPr>
        <w:tab/>
        <w:t xml:space="preserve">If any dangerous goods, or any goods which in the opinion of the owner or master of the </w:t>
      </w:r>
      <w:r>
        <w:t>vessel</w:t>
      </w:r>
      <w:r>
        <w:rPr>
          <w:snapToGrid w:val="0"/>
        </w:rPr>
        <w:t xml:space="preserve"> are dangerous goods, have been sent or brought aboard any </w:t>
      </w:r>
      <w:r>
        <w:t>vessel</w:t>
      </w:r>
      <w:r>
        <w:rPr>
          <w:snapToGrid w:val="0"/>
        </w:rPr>
        <w:t xml:space="preserve"> without being marked as required by section 91 or without notice having been given as required by that section, the owner or master of the </w:t>
      </w:r>
      <w:r>
        <w:t>vessel</w:t>
      </w:r>
      <w:r>
        <w:rPr>
          <w:snapToGrid w:val="0"/>
        </w:rPr>
        <w:t xml:space="preserve"> may cause the goods to be thrown overboard, with any package or receptacle in which they are contained, and neither the owner nor the master shall be subject to any liability, civil or criminal, for doing so.</w:t>
      </w:r>
    </w:p>
    <w:p>
      <w:pPr>
        <w:pStyle w:val="Footnotesection"/>
      </w:pPr>
      <w:r>
        <w:tab/>
        <w:t>[Section 93 amended: No. 24 of 2023 s. 64.]</w:t>
      </w:r>
    </w:p>
    <w:p>
      <w:pPr>
        <w:pStyle w:val="Heading5"/>
        <w:rPr>
          <w:snapToGrid w:val="0"/>
        </w:rPr>
      </w:pPr>
      <w:bookmarkStart w:id="338" w:name="_Toc153887584"/>
      <w:r>
        <w:rPr>
          <w:rStyle w:val="CharSectno"/>
        </w:rPr>
        <w:t>94</w:t>
      </w:r>
      <w:r>
        <w:rPr>
          <w:snapToGrid w:val="0"/>
        </w:rPr>
        <w:t>.</w:t>
      </w:r>
      <w:r>
        <w:rPr>
          <w:snapToGrid w:val="0"/>
        </w:rPr>
        <w:tab/>
        <w:t>Forfeiture of dangerous goods</w:t>
      </w:r>
      <w:bookmarkEnd w:id="338"/>
    </w:p>
    <w:p>
      <w:pPr>
        <w:pStyle w:val="Subsection"/>
        <w:rPr>
          <w:snapToGrid w:val="0"/>
        </w:rPr>
      </w:pPr>
      <w:r>
        <w:rPr>
          <w:snapToGrid w:val="0"/>
        </w:rPr>
        <w:tab/>
        <w:t>(1)</w:t>
      </w:r>
      <w:r>
        <w:rPr>
          <w:snapToGrid w:val="0"/>
        </w:rPr>
        <w:tab/>
        <w:t xml:space="preserve">Where any dangerous goods have been sent or carried or an attempt has been made to send or carry dangerous goods on board any </w:t>
      </w:r>
      <w:r>
        <w:t>vessel</w:t>
      </w:r>
      <w:r>
        <w:rPr>
          <w:snapToGrid w:val="0"/>
        </w:rPr>
        <w:t xml:space="preserve">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 xml:space="preserve">The court shall have, and may exercise, the powers of forfeiture and disposal notwithstanding that the owner of the goods has not committed any offence under the provisions of this Act </w:t>
      </w:r>
      <w:r>
        <w:rPr>
          <w:snapToGrid w:val="0"/>
        </w:rPr>
        <w:lastRenderedPageBreak/>
        <w:t>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Footnotesection"/>
      </w:pPr>
      <w:r>
        <w:tab/>
        <w:t>[Section 94 amended: No. 24 of 2023 s. 65.]</w:t>
      </w:r>
    </w:p>
    <w:p>
      <w:pPr>
        <w:pStyle w:val="Heading5"/>
        <w:spacing w:before="180"/>
        <w:rPr>
          <w:snapToGrid w:val="0"/>
        </w:rPr>
      </w:pPr>
      <w:bookmarkStart w:id="339" w:name="_Toc153887585"/>
      <w:r>
        <w:rPr>
          <w:rStyle w:val="CharSectno"/>
        </w:rPr>
        <w:t>95</w:t>
      </w:r>
      <w:r>
        <w:rPr>
          <w:snapToGrid w:val="0"/>
        </w:rPr>
        <w:t>.</w:t>
      </w:r>
      <w:r>
        <w:rPr>
          <w:snapToGrid w:val="0"/>
        </w:rPr>
        <w:tab/>
        <w:t>Minister may prohibit carriage of cargo</w:t>
      </w:r>
      <w:bookmarkEnd w:id="339"/>
    </w:p>
    <w:p>
      <w:pPr>
        <w:pStyle w:val="Subsection"/>
        <w:spacing w:before="140"/>
        <w:rPr>
          <w:snapToGrid w:val="0"/>
        </w:rPr>
      </w:pPr>
      <w:r>
        <w:rPr>
          <w:snapToGrid w:val="0"/>
        </w:rPr>
        <w:tab/>
      </w:r>
      <w:r>
        <w:rPr>
          <w:snapToGrid w:val="0"/>
        </w:rPr>
        <w:tab/>
        <w:t xml:space="preserve">If in the opinion of the Minister, the carriage of any particular cargo or goods in any </w:t>
      </w:r>
      <w:r>
        <w:t>vessel</w:t>
      </w:r>
      <w:r>
        <w:rPr>
          <w:snapToGrid w:val="0"/>
        </w:rPr>
        <w:t xml:space="preserve"> would endanger </w:t>
      </w:r>
      <w:r>
        <w:t>its</w:t>
      </w:r>
      <w:r>
        <w:rPr>
          <w:snapToGrid w:val="0"/>
        </w:rPr>
        <w:t xml:space="preserve"> safety or interfere with the comfort of </w:t>
      </w:r>
      <w:r>
        <w:t>its</w:t>
      </w:r>
      <w:r>
        <w:rPr>
          <w:snapToGrid w:val="0"/>
        </w:rPr>
        <w:t xml:space="preserve"> passengers or crew, the Minister may give notice to the master or owner that the carriage in the </w:t>
      </w:r>
      <w:r>
        <w:t>vessel</w:t>
      </w:r>
      <w:r>
        <w:rPr>
          <w:snapToGrid w:val="0"/>
        </w:rPr>
        <w:t xml:space="preserve"> of the cargo or goods specified in the notice is prohibited and, after receiving such a notice, the master shall not cause the </w:t>
      </w:r>
      <w:r>
        <w:t>vessel</w:t>
      </w:r>
      <w:r>
        <w:rPr>
          <w:snapToGrid w:val="0"/>
        </w:rPr>
        <w:t xml:space="preserve"> to be underway, and the owner shall not permit the </w:t>
      </w:r>
      <w:r>
        <w:t>vessel</w:t>
      </w:r>
      <w:r>
        <w:rPr>
          <w:snapToGrid w:val="0"/>
        </w:rPr>
        <w:t xml:space="preserve"> to be underway, with the prohibited cargo or goods.</w:t>
      </w:r>
    </w:p>
    <w:p>
      <w:pPr>
        <w:pStyle w:val="Penstart"/>
        <w:rPr>
          <w:snapToGrid w:val="0"/>
        </w:rPr>
      </w:pPr>
      <w:r>
        <w:rPr>
          <w:snapToGrid w:val="0"/>
        </w:rPr>
        <w:tab/>
        <w:t>Penalty:</w:t>
      </w:r>
      <w:r>
        <w:t xml:space="preserve"> a fine of</w:t>
      </w:r>
      <w:r>
        <w:rPr>
          <w:snapToGrid w:val="0"/>
        </w:rPr>
        <w:t xml:space="preserve"> $2 000.</w:t>
      </w:r>
    </w:p>
    <w:p>
      <w:pPr>
        <w:pStyle w:val="Footnotesection"/>
      </w:pPr>
      <w:r>
        <w:tab/>
        <w:t>[Section 95 amended: No. 24 of 2023 s. 66.]</w:t>
      </w:r>
    </w:p>
    <w:p>
      <w:pPr>
        <w:pStyle w:val="Heading5"/>
      </w:pPr>
      <w:bookmarkStart w:id="340" w:name="_Toc149055746"/>
      <w:bookmarkStart w:id="341" w:name="_Toc153887586"/>
      <w:r>
        <w:rPr>
          <w:rStyle w:val="CharSectno"/>
        </w:rPr>
        <w:t>96</w:t>
      </w:r>
      <w:r>
        <w:t>.</w:t>
      </w:r>
      <w:r>
        <w:tab/>
        <w:t>Regulations as to dangerous goods</w:t>
      </w:r>
      <w:bookmarkEnd w:id="340"/>
      <w:bookmarkEnd w:id="341"/>
    </w:p>
    <w:p>
      <w:pPr>
        <w:pStyle w:val="Subsection"/>
      </w:pPr>
      <w:r>
        <w:tab/>
      </w:r>
      <w:r>
        <w:tab/>
        <w:t>The regulations may deal with the carriage of dangerous goods, including by —</w:t>
      </w:r>
    </w:p>
    <w:p>
      <w:pPr>
        <w:pStyle w:val="Indenta"/>
      </w:pPr>
      <w:r>
        <w:tab/>
        <w:t>(a)</w:t>
      </w:r>
      <w:r>
        <w:tab/>
        <w:t>prescribing the classes of vessel in which dangerous goods may be carried; and</w:t>
      </w:r>
    </w:p>
    <w:p>
      <w:pPr>
        <w:pStyle w:val="Indenta"/>
      </w:pPr>
      <w:r>
        <w:tab/>
        <w:t>(b)</w:t>
      </w:r>
      <w:r>
        <w:tab/>
        <w:t>providing for the quantities of dangerous goods that may be carried from any port in the State in such vessels; and</w:t>
      </w:r>
    </w:p>
    <w:p>
      <w:pPr>
        <w:pStyle w:val="Indenta"/>
      </w:pPr>
      <w:r>
        <w:tab/>
        <w:t>(c)</w:t>
      </w:r>
      <w:r>
        <w:tab/>
        <w:t>providing for the precautions to be observed in connection with the loading and unloading of dangerous goods at any port in the State; and</w:t>
      </w:r>
    </w:p>
    <w:p>
      <w:pPr>
        <w:pStyle w:val="Indenta"/>
      </w:pPr>
      <w:r>
        <w:tab/>
        <w:t>(d)</w:t>
      </w:r>
      <w:r>
        <w:tab/>
        <w:t>providing for the conditions as to packing and stowage of dangerous goods, and the ventilation of holds containing dangerous goods, loaded at any port in the State.</w:t>
      </w:r>
    </w:p>
    <w:p>
      <w:pPr>
        <w:pStyle w:val="Footnotesection"/>
      </w:pPr>
      <w:r>
        <w:lastRenderedPageBreak/>
        <w:tab/>
        <w:t>[Section 96 inserted: No. 24 of 2023 s. 67.]</w:t>
      </w:r>
    </w:p>
    <w:p>
      <w:pPr>
        <w:pStyle w:val="Heading5"/>
        <w:rPr>
          <w:snapToGrid w:val="0"/>
        </w:rPr>
      </w:pPr>
      <w:bookmarkStart w:id="342" w:name="_Toc153887587"/>
      <w:r>
        <w:rPr>
          <w:rStyle w:val="CharSectno"/>
        </w:rPr>
        <w:t>97</w:t>
      </w:r>
      <w:r>
        <w:rPr>
          <w:snapToGrid w:val="0"/>
        </w:rPr>
        <w:t>.</w:t>
      </w:r>
      <w:r>
        <w:rPr>
          <w:snapToGrid w:val="0"/>
        </w:rPr>
        <w:tab/>
      </w:r>
      <w:r>
        <w:t>Explosives on passenger vessels</w:t>
      </w:r>
      <w:bookmarkEnd w:id="342"/>
    </w:p>
    <w:p>
      <w:pPr>
        <w:pStyle w:val="Subsection"/>
        <w:spacing w:before="140"/>
        <w:rPr>
          <w:snapToGrid w:val="0"/>
        </w:rPr>
      </w:pPr>
      <w:r>
        <w:rPr>
          <w:snapToGrid w:val="0"/>
        </w:rPr>
        <w:tab/>
        <w:t>(1)</w:t>
      </w:r>
      <w:r>
        <w:rPr>
          <w:snapToGrid w:val="0"/>
        </w:rPr>
        <w:tab/>
        <w:t xml:space="preserve">If a </w:t>
      </w:r>
      <w:r>
        <w:t>vessel</w:t>
      </w:r>
      <w:r>
        <w:rPr>
          <w:snapToGrid w:val="0"/>
        </w:rPr>
        <w:t xml:space="preserve"> carrying passengers carries explosives, the explosives shall be protected in the manner directed by the chief executive officer.</w:t>
      </w:r>
    </w:p>
    <w:p>
      <w:pPr>
        <w:pStyle w:val="Subsection"/>
        <w:spacing w:before="140"/>
        <w:rPr>
          <w:snapToGrid w:val="0"/>
        </w:rPr>
      </w:pPr>
      <w:r>
        <w:rPr>
          <w:snapToGrid w:val="0"/>
        </w:rPr>
        <w:tab/>
        <w:t>(2)</w:t>
      </w:r>
      <w:r>
        <w:rPr>
          <w:snapToGrid w:val="0"/>
        </w:rPr>
        <w:tab/>
        <w:t xml:space="preserve">The master and the owner of a </w:t>
      </w:r>
      <w:r>
        <w:t>vessel</w:t>
      </w:r>
      <w:r>
        <w:rPr>
          <w:snapToGrid w:val="0"/>
        </w:rPr>
        <w:t xml:space="preserve"> on which explosives are carried contrary to subsection (1) are each guilty of an offence.</w:t>
      </w:r>
    </w:p>
    <w:p>
      <w:pPr>
        <w:pStyle w:val="Penstart"/>
        <w:rPr>
          <w:snapToGrid w:val="0"/>
        </w:rPr>
      </w:pPr>
      <w:r>
        <w:rPr>
          <w:snapToGrid w:val="0"/>
        </w:rPr>
        <w:tab/>
      </w:r>
      <w:r>
        <w:t>Penalty for this subsection: a fine of $2 000.</w:t>
      </w:r>
    </w:p>
    <w:p>
      <w:pPr>
        <w:pStyle w:val="Subsection"/>
        <w:rPr>
          <w:snapToGrid w:val="0"/>
        </w:rPr>
      </w:pPr>
      <w:r>
        <w:rPr>
          <w:snapToGrid w:val="0"/>
        </w:rPr>
        <w:tab/>
        <w:t>(3)</w:t>
      </w:r>
      <w:r>
        <w:rPr>
          <w:snapToGrid w:val="0"/>
        </w:rPr>
        <w:tab/>
        <w:t xml:space="preserve">This section does not apply to explosives forming part of the equipment or stores required for the navigation, safety, or maintenance of the </w:t>
      </w:r>
      <w:r>
        <w:t>vessel.</w:t>
      </w:r>
    </w:p>
    <w:p>
      <w:pPr>
        <w:pStyle w:val="Subsection"/>
        <w:rPr>
          <w:snapToGrid w:val="0"/>
        </w:rPr>
      </w:pPr>
      <w:r>
        <w:rPr>
          <w:snapToGrid w:val="0"/>
        </w:rPr>
        <w:tab/>
        <w:t>(4)</w:t>
      </w:r>
      <w:r>
        <w:rPr>
          <w:snapToGrid w:val="0"/>
        </w:rPr>
        <w:tab/>
      </w:r>
      <w:r>
        <w:t>Without limiting any power conferred on an inspector or authorised person under this Act, an inspector or authorised person</w:t>
      </w:r>
      <w:r>
        <w:rPr>
          <w:snapToGrid w:val="0"/>
        </w:rPr>
        <w:t xml:space="preserve"> may seize and detain without warrant any explosives which are in or on board a </w:t>
      </w:r>
      <w:r>
        <w:t>vessel</w:t>
      </w:r>
      <w:r>
        <w:rPr>
          <w:snapToGrid w:val="0"/>
        </w:rPr>
        <w:t xml:space="preserve">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No. 35 of 1990 s. 21; No. 24 of 2023 s. 68.]</w:t>
      </w:r>
    </w:p>
    <w:p>
      <w:pPr>
        <w:pStyle w:val="Heading2"/>
      </w:pPr>
      <w:bookmarkStart w:id="343" w:name="_Toc153377322"/>
      <w:bookmarkStart w:id="344" w:name="_Toc153544837"/>
      <w:bookmarkStart w:id="345" w:name="_Toc153796440"/>
      <w:bookmarkStart w:id="346" w:name="_Toc153887588"/>
      <w:r>
        <w:rPr>
          <w:rStyle w:val="CharPartNo"/>
        </w:rPr>
        <w:lastRenderedPageBreak/>
        <w:t>Part VI</w:t>
      </w:r>
      <w:r>
        <w:rPr>
          <w:rStyle w:val="CharDivNo"/>
        </w:rPr>
        <w:t> </w:t>
      </w:r>
      <w:r>
        <w:t>—</w:t>
      </w:r>
      <w:r>
        <w:rPr>
          <w:rStyle w:val="CharDivText"/>
        </w:rPr>
        <w:t> </w:t>
      </w:r>
      <w:r>
        <w:rPr>
          <w:rStyle w:val="CharPartText"/>
        </w:rPr>
        <w:t>Pleasure vessels</w:t>
      </w:r>
      <w:bookmarkEnd w:id="343"/>
      <w:bookmarkEnd w:id="344"/>
      <w:bookmarkEnd w:id="345"/>
      <w:bookmarkEnd w:id="346"/>
    </w:p>
    <w:p>
      <w:pPr>
        <w:pStyle w:val="Heading5"/>
        <w:rPr>
          <w:snapToGrid w:val="0"/>
        </w:rPr>
      </w:pPr>
      <w:bookmarkStart w:id="347" w:name="_Toc153887589"/>
      <w:r>
        <w:rPr>
          <w:rStyle w:val="CharSectno"/>
        </w:rPr>
        <w:t>98</w:t>
      </w:r>
      <w:r>
        <w:rPr>
          <w:snapToGrid w:val="0"/>
        </w:rPr>
        <w:t>.</w:t>
      </w:r>
      <w:r>
        <w:rPr>
          <w:snapToGrid w:val="0"/>
        </w:rPr>
        <w:tab/>
        <w:t>Terms used</w:t>
      </w:r>
      <w:bookmarkEnd w:id="347"/>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No. 35 of 1990 s. 21.]</w:t>
      </w:r>
    </w:p>
    <w:p>
      <w:pPr>
        <w:pStyle w:val="Heading5"/>
        <w:rPr>
          <w:snapToGrid w:val="0"/>
        </w:rPr>
      </w:pPr>
      <w:bookmarkStart w:id="348" w:name="_Toc153887590"/>
      <w:r>
        <w:rPr>
          <w:rStyle w:val="CharSectno"/>
        </w:rPr>
        <w:t>99</w:t>
      </w:r>
      <w:r>
        <w:rPr>
          <w:snapToGrid w:val="0"/>
        </w:rPr>
        <w:t>.</w:t>
      </w:r>
      <w:r>
        <w:rPr>
          <w:snapToGrid w:val="0"/>
        </w:rPr>
        <w:tab/>
        <w:t>Regulations in respect of pleasure vessels</w:t>
      </w:r>
      <w:bookmarkEnd w:id="348"/>
    </w:p>
    <w:p>
      <w:pPr>
        <w:pStyle w:val="Subsection"/>
        <w:rPr>
          <w:snapToGrid w:val="0"/>
        </w:rPr>
      </w:pPr>
      <w:r>
        <w:rPr>
          <w:snapToGrid w:val="0"/>
        </w:rPr>
        <w:tab/>
        <w:t>(1)</w:t>
      </w:r>
      <w:r>
        <w:rPr>
          <w:snapToGrid w:val="0"/>
        </w:rPr>
        <w:tab/>
        <w:t xml:space="preserve">The Governor may make regulations prescribing all matters that are necessary or convenient to be prescribed in respect of the registration, navigation and operation of pleasure vessels and </w:t>
      </w:r>
      <w:r>
        <w:rPr>
          <w:snapToGrid w:val="0"/>
        </w:rPr>
        <w:lastRenderedPageBreak/>
        <w:t>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 and</w:t>
      </w:r>
    </w:p>
    <w:p>
      <w:pPr>
        <w:pStyle w:val="Indenta"/>
        <w:rPr>
          <w:snapToGrid w:val="0"/>
        </w:rPr>
      </w:pPr>
      <w:r>
        <w:rPr>
          <w:snapToGrid w:val="0"/>
        </w:rPr>
        <w:tab/>
        <w:t>(b)</w:t>
      </w:r>
      <w:r>
        <w:rPr>
          <w:snapToGrid w:val="0"/>
        </w:rPr>
        <w:tab/>
        <w:t>prohibiting the navigation of pleasure vessels that cannot safely be navigated; and</w:t>
      </w:r>
    </w:p>
    <w:p>
      <w:pPr>
        <w:pStyle w:val="Indenta"/>
        <w:rPr>
          <w:snapToGrid w:val="0"/>
        </w:rPr>
      </w:pPr>
      <w:r>
        <w:rPr>
          <w:snapToGrid w:val="0"/>
        </w:rPr>
        <w:tab/>
        <w:t>(c)</w:t>
      </w:r>
      <w:r>
        <w:rPr>
          <w:snapToGrid w:val="0"/>
        </w:rPr>
        <w:tab/>
        <w:t>regulating the maintenance and repair of pleasure vessels; and</w:t>
      </w:r>
    </w:p>
    <w:p>
      <w:pPr>
        <w:pStyle w:val="Indenta"/>
        <w:rPr>
          <w:snapToGrid w:val="0"/>
        </w:rPr>
      </w:pPr>
      <w:r>
        <w:rPr>
          <w:snapToGrid w:val="0"/>
        </w:rPr>
        <w:tab/>
        <w:t>(d)</w:t>
      </w:r>
      <w:r>
        <w:rPr>
          <w:snapToGrid w:val="0"/>
        </w:rPr>
        <w:tab/>
        <w:t>prescribing the equipment to be provided on pleasure vessels and for the use and maintenance of such equipment; and</w:t>
      </w:r>
    </w:p>
    <w:p>
      <w:pPr>
        <w:pStyle w:val="Indenta"/>
        <w:rPr>
          <w:snapToGrid w:val="0"/>
        </w:rPr>
      </w:pPr>
      <w:r>
        <w:rPr>
          <w:snapToGrid w:val="0"/>
        </w:rPr>
        <w:tab/>
        <w:t>(e)</w:t>
      </w:r>
      <w:r>
        <w:rPr>
          <w:snapToGrid w:val="0"/>
        </w:rPr>
        <w:tab/>
        <w:t>providing for the inspection of pleasure vessels and their equipment; and</w:t>
      </w:r>
    </w:p>
    <w:p>
      <w:pPr>
        <w:pStyle w:val="Indenta"/>
        <w:rPr>
          <w:snapToGrid w:val="0"/>
        </w:rPr>
      </w:pPr>
      <w:r>
        <w:rPr>
          <w:snapToGrid w:val="0"/>
        </w:rPr>
        <w:tab/>
        <w:t>(f)</w:t>
      </w:r>
      <w:r>
        <w:rPr>
          <w:snapToGrid w:val="0"/>
        </w:rPr>
        <w:tab/>
        <w:t>regulating noise, fumes and smoke arising from the operation of pleasure vessels; and</w:t>
      </w:r>
    </w:p>
    <w:p>
      <w:pPr>
        <w:pStyle w:val="Indenta"/>
        <w:rPr>
          <w:snapToGrid w:val="0"/>
        </w:rPr>
      </w:pPr>
      <w:r>
        <w:rPr>
          <w:snapToGrid w:val="0"/>
        </w:rPr>
        <w:tab/>
        <w:t>(g)</w:t>
      </w:r>
      <w:r>
        <w:rPr>
          <w:snapToGrid w:val="0"/>
        </w:rPr>
        <w:tab/>
        <w:t>prescribing the age of persons who may be in charge of pleasure vessels, or pleasure vessels of any class; and</w:t>
      </w:r>
    </w:p>
    <w:p>
      <w:pPr>
        <w:pStyle w:val="Indenta"/>
        <w:rPr>
          <w:snapToGrid w:val="0"/>
        </w:rPr>
      </w:pPr>
      <w:r>
        <w:rPr>
          <w:snapToGrid w:val="0"/>
        </w:rPr>
        <w:tab/>
        <w:t>(h)</w:t>
      </w:r>
      <w:r>
        <w:rPr>
          <w:snapToGrid w:val="0"/>
        </w:rPr>
        <w:tab/>
        <w:t>providing for the manning of pleasure vessels, generally or in respect of journeys of specified durations; and</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 and</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lastRenderedPageBreak/>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No. 35 of 1990 s. 14 and 21.]</w:t>
      </w:r>
    </w:p>
    <w:p>
      <w:pPr>
        <w:pStyle w:val="Heading2"/>
      </w:pPr>
      <w:bookmarkStart w:id="349" w:name="_Toc153377325"/>
      <w:bookmarkStart w:id="350" w:name="_Toc153544840"/>
      <w:bookmarkStart w:id="351" w:name="_Toc153796443"/>
      <w:bookmarkStart w:id="352" w:name="_Toc153887591"/>
      <w:r>
        <w:rPr>
          <w:rStyle w:val="CharPartNo"/>
        </w:rPr>
        <w:lastRenderedPageBreak/>
        <w:t>Part VII</w:t>
      </w:r>
      <w:r>
        <w:t> — </w:t>
      </w:r>
      <w:r>
        <w:rPr>
          <w:rStyle w:val="CharPartText"/>
        </w:rPr>
        <w:t>Investigations and inquiries</w:t>
      </w:r>
      <w:bookmarkEnd w:id="349"/>
      <w:bookmarkEnd w:id="350"/>
      <w:bookmarkEnd w:id="351"/>
      <w:bookmarkEnd w:id="352"/>
    </w:p>
    <w:p>
      <w:pPr>
        <w:pStyle w:val="Heading3"/>
      </w:pPr>
      <w:bookmarkStart w:id="353" w:name="_Toc153377326"/>
      <w:bookmarkStart w:id="354" w:name="_Toc153544841"/>
      <w:bookmarkStart w:id="355" w:name="_Toc153796444"/>
      <w:bookmarkStart w:id="356" w:name="_Toc153887592"/>
      <w:r>
        <w:rPr>
          <w:rStyle w:val="CharDivNo"/>
        </w:rPr>
        <w:t>Division 1</w:t>
      </w:r>
      <w:r>
        <w:rPr>
          <w:snapToGrid w:val="0"/>
        </w:rPr>
        <w:t> — </w:t>
      </w:r>
      <w:r>
        <w:rPr>
          <w:rStyle w:val="CharDivText"/>
        </w:rPr>
        <w:t>General</w:t>
      </w:r>
      <w:bookmarkEnd w:id="353"/>
      <w:bookmarkEnd w:id="354"/>
      <w:bookmarkEnd w:id="355"/>
      <w:bookmarkEnd w:id="356"/>
    </w:p>
    <w:p>
      <w:pPr>
        <w:pStyle w:val="Heading5"/>
        <w:rPr>
          <w:snapToGrid w:val="0"/>
        </w:rPr>
      </w:pPr>
      <w:bookmarkStart w:id="357" w:name="_Toc153887593"/>
      <w:r>
        <w:rPr>
          <w:rStyle w:val="CharSectno"/>
        </w:rPr>
        <w:t>100</w:t>
      </w:r>
      <w:r>
        <w:rPr>
          <w:snapToGrid w:val="0"/>
        </w:rPr>
        <w:t>.</w:t>
      </w:r>
      <w:r>
        <w:rPr>
          <w:snapToGrid w:val="0"/>
        </w:rPr>
        <w:tab/>
        <w:t>Application</w:t>
      </w:r>
      <w:bookmarkEnd w:id="357"/>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358" w:name="_Toc153377328"/>
      <w:bookmarkStart w:id="359" w:name="_Toc153544843"/>
      <w:bookmarkStart w:id="360" w:name="_Toc153796446"/>
      <w:bookmarkStart w:id="361" w:name="_Toc153887594"/>
      <w:r>
        <w:rPr>
          <w:rStyle w:val="CharDivNo"/>
        </w:rPr>
        <w:t>Division 2</w:t>
      </w:r>
      <w:r>
        <w:rPr>
          <w:snapToGrid w:val="0"/>
        </w:rPr>
        <w:t> — </w:t>
      </w:r>
      <w:r>
        <w:rPr>
          <w:rStyle w:val="CharDivText"/>
        </w:rPr>
        <w:t>Preliminary investigations and powers</w:t>
      </w:r>
      <w:bookmarkEnd w:id="358"/>
      <w:bookmarkEnd w:id="359"/>
      <w:bookmarkEnd w:id="360"/>
      <w:bookmarkEnd w:id="361"/>
    </w:p>
    <w:p>
      <w:pPr>
        <w:pStyle w:val="Heading5"/>
        <w:rPr>
          <w:snapToGrid w:val="0"/>
        </w:rPr>
      </w:pPr>
      <w:bookmarkStart w:id="362" w:name="_Toc153887595"/>
      <w:r>
        <w:rPr>
          <w:rStyle w:val="CharSectno"/>
        </w:rPr>
        <w:t>101</w:t>
      </w:r>
      <w:r>
        <w:rPr>
          <w:snapToGrid w:val="0"/>
        </w:rPr>
        <w:t>.</w:t>
      </w:r>
      <w:r>
        <w:rPr>
          <w:snapToGrid w:val="0"/>
        </w:rPr>
        <w:tab/>
        <w:t>Preliminary inquiries and reports</w:t>
      </w:r>
      <w:bookmarkEnd w:id="362"/>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lastRenderedPageBreak/>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 and</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No. 35 of 1990 s. 21.]</w:t>
      </w:r>
    </w:p>
    <w:p>
      <w:pPr>
        <w:pStyle w:val="Heading5"/>
        <w:rPr>
          <w:snapToGrid w:val="0"/>
        </w:rPr>
      </w:pPr>
      <w:bookmarkStart w:id="363" w:name="_Toc153887596"/>
      <w:r>
        <w:rPr>
          <w:rStyle w:val="CharSectno"/>
        </w:rPr>
        <w:t>102</w:t>
      </w:r>
      <w:r>
        <w:rPr>
          <w:snapToGrid w:val="0"/>
        </w:rPr>
        <w:t>.</w:t>
      </w:r>
      <w:r>
        <w:rPr>
          <w:snapToGrid w:val="0"/>
        </w:rPr>
        <w:tab/>
        <w:t>Powers of investigators and inspectors</w:t>
      </w:r>
      <w:bookmarkEnd w:id="363"/>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 and</w:t>
      </w:r>
    </w:p>
    <w:p>
      <w:pPr>
        <w:pStyle w:val="Indenta"/>
        <w:rPr>
          <w:snapToGrid w:val="0"/>
        </w:rPr>
      </w:pPr>
      <w:r>
        <w:rPr>
          <w:snapToGrid w:val="0"/>
        </w:rPr>
        <w:tab/>
        <w:t>(b)</w:t>
      </w:r>
      <w:r>
        <w:rPr>
          <w:snapToGrid w:val="0"/>
        </w:rPr>
        <w:tab/>
        <w:t>enter and inspect any premises the entry or inspection of which appears necessary to him; and</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 and</w:t>
      </w:r>
    </w:p>
    <w:p>
      <w:pPr>
        <w:pStyle w:val="Indenta"/>
        <w:rPr>
          <w:snapToGrid w:val="0"/>
        </w:rPr>
      </w:pPr>
      <w:r>
        <w:rPr>
          <w:snapToGrid w:val="0"/>
        </w:rPr>
        <w:lastRenderedPageBreak/>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364" w:name="_Toc153887597"/>
      <w:r>
        <w:rPr>
          <w:rStyle w:val="CharSectno"/>
        </w:rPr>
        <w:t>103</w:t>
      </w:r>
      <w:r>
        <w:rPr>
          <w:snapToGrid w:val="0"/>
        </w:rPr>
        <w:t>.</w:t>
      </w:r>
      <w:r>
        <w:rPr>
          <w:snapToGrid w:val="0"/>
        </w:rPr>
        <w:tab/>
        <w:t>Formal investigation by Court</w:t>
      </w:r>
      <w:bookmarkEnd w:id="364"/>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No. 35 of 1990 s. 21.]</w:t>
      </w:r>
    </w:p>
    <w:p>
      <w:pPr>
        <w:pStyle w:val="Heading3"/>
      </w:pPr>
      <w:bookmarkStart w:id="365" w:name="_Toc153377332"/>
      <w:bookmarkStart w:id="366" w:name="_Toc153544847"/>
      <w:bookmarkStart w:id="367" w:name="_Toc153796450"/>
      <w:bookmarkStart w:id="368" w:name="_Toc153887598"/>
      <w:r>
        <w:rPr>
          <w:rStyle w:val="CharDivNo"/>
        </w:rPr>
        <w:t>Division 3</w:t>
      </w:r>
      <w:r>
        <w:rPr>
          <w:snapToGrid w:val="0"/>
        </w:rPr>
        <w:t> — </w:t>
      </w:r>
      <w:r>
        <w:rPr>
          <w:rStyle w:val="CharDivText"/>
        </w:rPr>
        <w:t>Courts of Marine Inquiry</w:t>
      </w:r>
      <w:bookmarkEnd w:id="365"/>
      <w:bookmarkEnd w:id="366"/>
      <w:bookmarkEnd w:id="367"/>
      <w:bookmarkEnd w:id="368"/>
    </w:p>
    <w:p>
      <w:pPr>
        <w:pStyle w:val="Heading5"/>
        <w:rPr>
          <w:snapToGrid w:val="0"/>
        </w:rPr>
      </w:pPr>
      <w:bookmarkStart w:id="369" w:name="_Toc153887599"/>
      <w:r>
        <w:rPr>
          <w:snapToGrid w:val="0"/>
        </w:rPr>
        <w:t>104.</w:t>
      </w:r>
      <w:r>
        <w:rPr>
          <w:snapToGrid w:val="0"/>
        </w:rPr>
        <w:tab/>
        <w:t>Governor may establish Court of Marine Inquiry</w:t>
      </w:r>
      <w:bookmarkEnd w:id="369"/>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Subject to any rules made under section 108, the practice and procedure of a Court of Marine Inquiry shall be the same as that of the Magistrates Court exercising its civil jurisdiction.</w:t>
      </w:r>
    </w:p>
    <w:p>
      <w:pPr>
        <w:pStyle w:val="Subsection"/>
      </w:pPr>
      <w:r>
        <w:lastRenderedPageBreak/>
        <w:tab/>
        <w:t>(5)</w:t>
      </w:r>
      <w:r>
        <w:tab/>
        <w:t xml:space="preserve">Subject to section 109(4) sections 15, 16, 35 and 36 and Part 3 Division 2 of the </w:t>
      </w:r>
      <w:r>
        <w:rPr>
          <w:i/>
        </w:rPr>
        <w:t xml:space="preserve">Magistrates Court Act 2004 </w:t>
      </w:r>
      <w:r>
        <w:t>apply to and in relation to a Court of Marine Inquiry and its officers in the same way as they apply to and in relation to the Magistrates Court and its officers.</w:t>
      </w:r>
    </w:p>
    <w:p>
      <w:pPr>
        <w:pStyle w:val="Footnotesection"/>
      </w:pPr>
      <w:r>
        <w:tab/>
        <w:t>[Section 104 inserted: No. 59 of 2004 s. 141; amended: No. 8 of 2009 s. 137(3).]</w:t>
      </w:r>
    </w:p>
    <w:p>
      <w:pPr>
        <w:pStyle w:val="Heading5"/>
        <w:rPr>
          <w:snapToGrid w:val="0"/>
        </w:rPr>
      </w:pPr>
      <w:bookmarkStart w:id="370" w:name="_Toc153887600"/>
      <w:r>
        <w:rPr>
          <w:rStyle w:val="CharSectno"/>
        </w:rPr>
        <w:t>105</w:t>
      </w:r>
      <w:r>
        <w:rPr>
          <w:snapToGrid w:val="0"/>
        </w:rPr>
        <w:t>.</w:t>
      </w:r>
      <w:r>
        <w:rPr>
          <w:snapToGrid w:val="0"/>
        </w:rPr>
        <w:tab/>
        <w:t>Magistrates and assessors to sit</w:t>
      </w:r>
      <w:bookmarkEnd w:id="370"/>
    </w:p>
    <w:p>
      <w:pPr>
        <w:pStyle w:val="Subsection"/>
        <w:rPr>
          <w:snapToGrid w:val="0"/>
        </w:rPr>
      </w:pPr>
      <w:r>
        <w:rPr>
          <w:snapToGrid w:val="0"/>
        </w:rPr>
        <w:tab/>
        <w:t>(1)</w:t>
      </w:r>
      <w:r>
        <w:rPr>
          <w:snapToGrid w:val="0"/>
        </w:rPr>
        <w:tab/>
        <w:t>One or more magistrates nominated by the Chief Magistrate of the Magistrates Court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No. 59 of 2004 s. 141.]</w:t>
      </w:r>
    </w:p>
    <w:p>
      <w:pPr>
        <w:pStyle w:val="Heading5"/>
        <w:rPr>
          <w:snapToGrid w:val="0"/>
        </w:rPr>
      </w:pPr>
      <w:bookmarkStart w:id="371" w:name="_Toc153887601"/>
      <w:r>
        <w:rPr>
          <w:rStyle w:val="CharSectno"/>
        </w:rPr>
        <w:t>106</w:t>
      </w:r>
      <w:r>
        <w:rPr>
          <w:snapToGrid w:val="0"/>
        </w:rPr>
        <w:t>.</w:t>
      </w:r>
      <w:r>
        <w:rPr>
          <w:snapToGrid w:val="0"/>
        </w:rPr>
        <w:tab/>
        <w:t>Assessors</w:t>
      </w:r>
      <w:bookmarkEnd w:id="371"/>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 xml:space="preserve">Every assessor shall, for every day or portion of a day during which he is engaged in a Court of Marine Inquiry, or in attendance waiting to perform his duties in the Court, be paid </w:t>
      </w:r>
      <w:r>
        <w:rPr>
          <w:snapToGrid w:val="0"/>
        </w:rPr>
        <w:lastRenderedPageBreak/>
        <w:t>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No. 35 of 1990 s. 21.]</w:t>
      </w:r>
    </w:p>
    <w:p>
      <w:pPr>
        <w:pStyle w:val="Heading5"/>
        <w:spacing w:before="180"/>
        <w:rPr>
          <w:rStyle w:val="CharSectno"/>
        </w:rPr>
      </w:pPr>
      <w:bookmarkStart w:id="372" w:name="_Toc153887602"/>
      <w:r>
        <w:rPr>
          <w:rStyle w:val="CharSectno"/>
        </w:rPr>
        <w:t>107</w:t>
      </w:r>
      <w:r>
        <w:rPr>
          <w:snapToGrid w:val="0"/>
        </w:rPr>
        <w:t>.</w:t>
      </w:r>
      <w:r>
        <w:rPr>
          <w:rStyle w:val="CharSectno"/>
        </w:rPr>
        <w:tab/>
      </w:r>
      <w:r>
        <w:rPr>
          <w:snapToGrid w:val="0"/>
        </w:rPr>
        <w:t>Officers of Court of Marine Inquiry</w:t>
      </w:r>
      <w:bookmarkEnd w:id="372"/>
    </w:p>
    <w:p>
      <w:pPr>
        <w:pStyle w:val="Subsection"/>
        <w:spacing w:before="120"/>
      </w:pPr>
      <w:r>
        <w:tab/>
      </w:r>
      <w:r>
        <w:tab/>
        <w:t>Officers of the Magistrates Court shall be officers of Courts of Marine Inquiry.</w:t>
      </w:r>
    </w:p>
    <w:p>
      <w:pPr>
        <w:pStyle w:val="Footnotesection"/>
      </w:pPr>
      <w:r>
        <w:tab/>
        <w:t>[Section 107 inserted: No. 59 of 2004 s. 141.]</w:t>
      </w:r>
    </w:p>
    <w:p>
      <w:pPr>
        <w:pStyle w:val="Heading5"/>
        <w:spacing w:before="180"/>
        <w:rPr>
          <w:snapToGrid w:val="0"/>
        </w:rPr>
      </w:pPr>
      <w:bookmarkStart w:id="373" w:name="_Toc153887603"/>
      <w:r>
        <w:rPr>
          <w:rStyle w:val="CharSectno"/>
        </w:rPr>
        <w:t>108</w:t>
      </w:r>
      <w:r>
        <w:rPr>
          <w:snapToGrid w:val="0"/>
        </w:rPr>
        <w:t>.</w:t>
      </w:r>
      <w:r>
        <w:rPr>
          <w:snapToGrid w:val="0"/>
        </w:rPr>
        <w:tab/>
        <w:t>Rules of Court</w:t>
      </w:r>
      <w:bookmarkEnd w:id="373"/>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spacing w:before="70"/>
        <w:rPr>
          <w:snapToGrid w:val="0"/>
        </w:rPr>
      </w:pPr>
      <w:r>
        <w:rPr>
          <w:snapToGrid w:val="0"/>
        </w:rPr>
        <w:tab/>
        <w:t>(a)</w:t>
      </w:r>
      <w:r>
        <w:rPr>
          <w:snapToGrid w:val="0"/>
        </w:rPr>
        <w:tab/>
        <w:t>providing for sittings of the Court; and</w:t>
      </w:r>
    </w:p>
    <w:p>
      <w:pPr>
        <w:pStyle w:val="Indenta"/>
        <w:spacing w:before="70"/>
        <w:rPr>
          <w:snapToGrid w:val="0"/>
        </w:rPr>
      </w:pPr>
      <w:r>
        <w:rPr>
          <w:snapToGrid w:val="0"/>
        </w:rPr>
        <w:tab/>
        <w:t>(b)</w:t>
      </w:r>
      <w:r>
        <w:rPr>
          <w:snapToGrid w:val="0"/>
        </w:rPr>
        <w:tab/>
        <w:t>in respect of appeals before the Court, providing for security for costs and damages to be given; and</w:t>
      </w:r>
    </w:p>
    <w:p>
      <w:pPr>
        <w:pStyle w:val="Indenta"/>
        <w:spacing w:before="70"/>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Magistrates Court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No. 59 of 2004 s. 141.]</w:t>
      </w:r>
    </w:p>
    <w:p>
      <w:pPr>
        <w:pStyle w:val="Heading3"/>
      </w:pPr>
      <w:bookmarkStart w:id="374" w:name="_Toc153377338"/>
      <w:bookmarkStart w:id="375" w:name="_Toc153544853"/>
      <w:bookmarkStart w:id="376" w:name="_Toc153796456"/>
      <w:bookmarkStart w:id="377" w:name="_Toc153887604"/>
      <w:r>
        <w:rPr>
          <w:rStyle w:val="CharDivNo"/>
        </w:rPr>
        <w:lastRenderedPageBreak/>
        <w:t>Division 4</w:t>
      </w:r>
      <w:r>
        <w:rPr>
          <w:snapToGrid w:val="0"/>
        </w:rPr>
        <w:t> — </w:t>
      </w:r>
      <w:r>
        <w:rPr>
          <w:rStyle w:val="CharDivText"/>
        </w:rPr>
        <w:t>The powers and duties of Courts of Marine Inquiry</w:t>
      </w:r>
      <w:bookmarkEnd w:id="374"/>
      <w:bookmarkEnd w:id="375"/>
      <w:bookmarkEnd w:id="376"/>
      <w:bookmarkEnd w:id="377"/>
    </w:p>
    <w:p>
      <w:pPr>
        <w:pStyle w:val="Heading5"/>
        <w:spacing w:before="180"/>
        <w:rPr>
          <w:snapToGrid w:val="0"/>
        </w:rPr>
      </w:pPr>
      <w:bookmarkStart w:id="378" w:name="_Toc153887605"/>
      <w:r>
        <w:rPr>
          <w:rStyle w:val="CharSectno"/>
        </w:rPr>
        <w:t>109</w:t>
      </w:r>
      <w:r>
        <w:rPr>
          <w:snapToGrid w:val="0"/>
        </w:rPr>
        <w:t>.</w:t>
      </w:r>
      <w:r>
        <w:rPr>
          <w:snapToGrid w:val="0"/>
        </w:rPr>
        <w:tab/>
        <w:t>Functions of Court of Marine Inquiry</w:t>
      </w:r>
      <w:bookmarkEnd w:id="378"/>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with reference to which an investigation or inquiry has been commenced in the United Kingdom.</w:t>
      </w:r>
    </w:p>
    <w:p>
      <w:pPr>
        <w:pStyle w:val="Subsection"/>
        <w:rPr>
          <w:snapToGrid w:val="0"/>
        </w:rPr>
      </w:pPr>
      <w:r>
        <w:rPr>
          <w:snapToGrid w:val="0"/>
        </w:rPr>
        <w:tab/>
        <w:t>(4)</w:t>
      </w:r>
      <w:r>
        <w:rPr>
          <w:snapToGrid w:val="0"/>
        </w:rPr>
        <w:tab/>
        <w:t xml:space="preserve">For the purposes of any inquiry under this section a Court of Marine Inquiry shall, so far as relates to the summoning of </w:t>
      </w:r>
      <w:r>
        <w:rPr>
          <w:snapToGrid w:val="0"/>
        </w:rPr>
        <w:lastRenderedPageBreak/>
        <w:t>parties, compelling the attendance of witnesses, and contempt of court, have all the powers of the Supreme Court.</w:t>
      </w:r>
    </w:p>
    <w:p>
      <w:pPr>
        <w:pStyle w:val="Heading5"/>
        <w:rPr>
          <w:snapToGrid w:val="0"/>
        </w:rPr>
      </w:pPr>
      <w:bookmarkStart w:id="379" w:name="_Toc153887606"/>
      <w:r>
        <w:rPr>
          <w:rStyle w:val="CharSectno"/>
        </w:rPr>
        <w:t>110</w:t>
      </w:r>
      <w:r>
        <w:rPr>
          <w:snapToGrid w:val="0"/>
        </w:rPr>
        <w:t>.</w:t>
      </w:r>
      <w:r>
        <w:rPr>
          <w:snapToGrid w:val="0"/>
        </w:rPr>
        <w:tab/>
        <w:t>Powers and duties in respect of unsafe ships</w:t>
      </w:r>
      <w:bookmarkEnd w:id="379"/>
    </w:p>
    <w:p>
      <w:pPr>
        <w:pStyle w:val="Subsection"/>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rPr>
          <w:snapToGrid w:val="0"/>
        </w:rPr>
      </w:pPr>
      <w:r>
        <w:rPr>
          <w:snapToGrid w:val="0"/>
        </w:rPr>
        <w:tab/>
        <w:t>(2)</w:t>
      </w:r>
      <w:r>
        <w:rPr>
          <w:snapToGrid w:val="0"/>
        </w:rPr>
        <w:tab/>
        <w:t>The Court may appoint a competent person or persons to survey the ship and report to the Court.</w:t>
      </w:r>
    </w:p>
    <w:p>
      <w:pPr>
        <w:pStyle w:val="Subsection"/>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No. 47 of 1993 s. 33(2).]</w:t>
      </w:r>
    </w:p>
    <w:p>
      <w:pPr>
        <w:pStyle w:val="Heading5"/>
        <w:rPr>
          <w:snapToGrid w:val="0"/>
        </w:rPr>
      </w:pPr>
      <w:bookmarkStart w:id="380" w:name="_Toc153887607"/>
      <w:r>
        <w:rPr>
          <w:rStyle w:val="CharSectno"/>
        </w:rPr>
        <w:t>111</w:t>
      </w:r>
      <w:r>
        <w:rPr>
          <w:snapToGrid w:val="0"/>
        </w:rPr>
        <w:t>.</w:t>
      </w:r>
      <w:r>
        <w:rPr>
          <w:snapToGrid w:val="0"/>
        </w:rPr>
        <w:tab/>
        <w:t>Presiding magistrate and procedure</w:t>
      </w:r>
      <w:bookmarkEnd w:id="380"/>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lastRenderedPageBreak/>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381" w:name="_Toc153887608"/>
      <w:r>
        <w:rPr>
          <w:rStyle w:val="CharSectno"/>
        </w:rPr>
        <w:t>112</w:t>
      </w:r>
      <w:r>
        <w:rPr>
          <w:snapToGrid w:val="0"/>
        </w:rPr>
        <w:t>.</w:t>
      </w:r>
      <w:r>
        <w:rPr>
          <w:snapToGrid w:val="0"/>
        </w:rPr>
        <w:tab/>
        <w:t>Power of Court to suspend or cancel certificate</w:t>
      </w:r>
      <w:bookmarkEnd w:id="381"/>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 xml:space="preserve">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w:t>
      </w:r>
      <w:r>
        <w:rPr>
          <w:snapToGrid w:val="0"/>
        </w:rPr>
        <w:lastRenderedPageBreak/>
        <w:t>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rPr>
          <w:snapToGrid w:val="0"/>
        </w:rPr>
      </w:pPr>
      <w:bookmarkStart w:id="382" w:name="_Toc153887609"/>
      <w:r>
        <w:rPr>
          <w:rStyle w:val="CharSectno"/>
        </w:rPr>
        <w:t>113</w:t>
      </w:r>
      <w:r>
        <w:rPr>
          <w:snapToGrid w:val="0"/>
        </w:rPr>
        <w:t>.</w:t>
      </w:r>
      <w:r>
        <w:rPr>
          <w:snapToGrid w:val="0"/>
        </w:rPr>
        <w:tab/>
        <w:t>Rehearing</w:t>
      </w:r>
      <w:bookmarkEnd w:id="382"/>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383" w:name="_Toc153377344"/>
      <w:bookmarkStart w:id="384" w:name="_Toc153544859"/>
      <w:bookmarkStart w:id="385" w:name="_Toc153796462"/>
      <w:bookmarkStart w:id="386" w:name="_Toc153887610"/>
      <w:r>
        <w:rPr>
          <w:rStyle w:val="CharPartNo"/>
        </w:rPr>
        <w:lastRenderedPageBreak/>
        <w:t>Part 8</w:t>
      </w:r>
      <w:r>
        <w:rPr>
          <w:rStyle w:val="CharDivNo"/>
        </w:rPr>
        <w:t> </w:t>
      </w:r>
      <w:r>
        <w:rPr>
          <w:szCs w:val="30"/>
        </w:rPr>
        <w:t>—</w:t>
      </w:r>
      <w:r>
        <w:rPr>
          <w:rStyle w:val="CharDivText"/>
        </w:rPr>
        <w:t> </w:t>
      </w:r>
      <w:r>
        <w:rPr>
          <w:rStyle w:val="CharPartText"/>
        </w:rPr>
        <w:t>Supplementary and administrative provisions</w:t>
      </w:r>
      <w:bookmarkEnd w:id="383"/>
      <w:bookmarkEnd w:id="384"/>
      <w:bookmarkEnd w:id="385"/>
      <w:bookmarkEnd w:id="386"/>
    </w:p>
    <w:p>
      <w:pPr>
        <w:pStyle w:val="Footnoteheading"/>
      </w:pPr>
      <w:r>
        <w:tab/>
        <w:t>[Heading amended: No. 24 of 2023 s. 71.]</w:t>
      </w:r>
    </w:p>
    <w:p>
      <w:pPr>
        <w:pStyle w:val="Heading5"/>
        <w:rPr>
          <w:snapToGrid w:val="0"/>
        </w:rPr>
      </w:pPr>
      <w:bookmarkStart w:id="387" w:name="_Toc153887611"/>
      <w:r>
        <w:rPr>
          <w:rStyle w:val="CharSectno"/>
        </w:rPr>
        <w:t>114</w:t>
      </w:r>
      <w:r>
        <w:rPr>
          <w:snapToGrid w:val="0"/>
        </w:rPr>
        <w:t>.</w:t>
      </w:r>
      <w:r>
        <w:rPr>
          <w:snapToGrid w:val="0"/>
        </w:rPr>
        <w:tab/>
        <w:t>Powers in relation to regulations</w:t>
      </w:r>
      <w:bookmarkEnd w:id="38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 and</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lastRenderedPageBreak/>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 and</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 and</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lastRenderedPageBreak/>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so as to confer on a specified person or body or a specified class of person or body a discretionary authority; and</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No. 35 of 1990 s. 21.]</w:t>
      </w:r>
    </w:p>
    <w:p>
      <w:pPr>
        <w:pStyle w:val="Heading5"/>
        <w:rPr>
          <w:snapToGrid w:val="0"/>
        </w:rPr>
      </w:pPr>
      <w:bookmarkStart w:id="388" w:name="_Toc153887612"/>
      <w:r>
        <w:rPr>
          <w:rStyle w:val="CharSectno"/>
        </w:rPr>
        <w:t>115</w:t>
      </w:r>
      <w:r>
        <w:rPr>
          <w:snapToGrid w:val="0"/>
        </w:rPr>
        <w:t>.</w:t>
      </w:r>
      <w:r>
        <w:rPr>
          <w:snapToGrid w:val="0"/>
        </w:rPr>
        <w:tab/>
        <w:t>Regulations may adopt codes etc.</w:t>
      </w:r>
      <w:bookmarkEnd w:id="388"/>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 xml:space="preserve">adopt, either wholly or in part or with modifications and either specifically or by reference, any </w:t>
      </w:r>
      <w:r>
        <w:t>subsidiary legislation or other instrument under any Act of the State, another Australian jurisdiction</w:t>
      </w:r>
      <w:r>
        <w:rPr>
          <w:snapToGrid w:val="0"/>
        </w:rPr>
        <w:t xml:space="preserve"> or the United Kingdom or any of the standards, rules, codes or specifications of the bodies known as</w:t>
      </w:r>
      <w:r>
        <w:t xml:space="preserve"> Standards Australia</w:t>
      </w:r>
      <w:r>
        <w:rPr>
          <w:snapToGrid w:val="0"/>
        </w:rPr>
        <w:t xml:space="preserve">, the British Standards Institution, </w:t>
      </w:r>
      <w:r>
        <w:t xml:space="preserve">the International Organization for Standardization, the Australian Maritime Safety Authority (established by the </w:t>
      </w:r>
      <w:r>
        <w:rPr>
          <w:i/>
        </w:rPr>
        <w:lastRenderedPageBreak/>
        <w:t>Australian Maritime Safety Authority Act 1990</w:t>
      </w:r>
      <w:r>
        <w:t xml:space="preserve"> (Commonwealth))</w:t>
      </w:r>
      <w:r>
        <w:rPr>
          <w:snapToGrid w:val="0"/>
        </w:rPr>
        <w:t xml:space="preserve"> or other like body specified in the regulations; and</w:t>
      </w:r>
    </w:p>
    <w:p>
      <w:pPr>
        <w:pStyle w:val="Indenta"/>
        <w:rPr>
          <w:snapToGrid w:val="0"/>
        </w:rPr>
      </w:pPr>
      <w:r>
        <w:rPr>
          <w:snapToGrid w:val="0"/>
        </w:rPr>
        <w:tab/>
        <w:t>(b)</w:t>
      </w:r>
      <w:r>
        <w:rPr>
          <w:snapToGrid w:val="0"/>
        </w:rPr>
        <w:tab/>
        <w:t xml:space="preserve">incorporate by reference, with or without modification, all or any of the provisions of the Uniform Shipping Laws Code </w:t>
      </w:r>
      <w:r>
        <w:t>or the National Standard for Commercial Vessels; and</w:t>
      </w:r>
    </w:p>
    <w:p>
      <w:pPr>
        <w:pStyle w:val="Indenta"/>
        <w:spacing w:before="60"/>
        <w:rPr>
          <w:snapToGrid w:val="0"/>
        </w:rPr>
      </w:pPr>
      <w:r>
        <w:rPr>
          <w:snapToGrid w:val="0"/>
        </w:rPr>
        <w:tab/>
        <w:t>(c)</w:t>
      </w:r>
      <w:r>
        <w:rPr>
          <w:snapToGrid w:val="0"/>
        </w:rPr>
        <w:tab/>
        <w:t xml:space="preserve">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w:t>
      </w:r>
      <w:r>
        <w:t>the chief executive officer</w:t>
      </w:r>
      <w:r>
        <w:rPr>
          <w:snapToGrid w:val="0"/>
        </w:rPr>
        <w:t xml:space="preserve"> considers to be consistent with the achievement of the objects of the rules or regulations.</w:t>
      </w:r>
    </w:p>
    <w:p>
      <w:pPr>
        <w:pStyle w:val="Ednotesubsection"/>
      </w:pPr>
      <w:r>
        <w:tab/>
        <w:t>[(2)</w:t>
      </w:r>
      <w:r>
        <w:tab/>
        <w:t>deleted]</w:t>
      </w:r>
    </w:p>
    <w:p>
      <w:pPr>
        <w:pStyle w:val="Footnotesection"/>
        <w:spacing w:before="100"/>
        <w:ind w:left="890" w:hanging="890"/>
      </w:pPr>
      <w:r>
        <w:tab/>
        <w:t>[Section 115 amended: No. 35 of 1990 s. 21; No. 74 of 2003 s. 130; No. 24 of 2023 s. 75.]</w:t>
      </w:r>
    </w:p>
    <w:p>
      <w:pPr>
        <w:pStyle w:val="Heading5"/>
        <w:rPr>
          <w:snapToGrid w:val="0"/>
        </w:rPr>
      </w:pPr>
      <w:bookmarkStart w:id="389" w:name="_Toc153887613"/>
      <w:r>
        <w:rPr>
          <w:rStyle w:val="CharSectno"/>
        </w:rPr>
        <w:t>115A</w:t>
      </w:r>
      <w:r>
        <w:rPr>
          <w:snapToGrid w:val="0"/>
        </w:rPr>
        <w:t>.</w:t>
      </w:r>
      <w:r>
        <w:rPr>
          <w:snapToGrid w:val="0"/>
        </w:rPr>
        <w:tab/>
        <w:t>Exemptions and equivalents</w:t>
      </w:r>
      <w:bookmarkEnd w:id="389"/>
    </w:p>
    <w:p>
      <w:pPr>
        <w:pStyle w:val="Subsection"/>
      </w:pPr>
      <w:r>
        <w:tab/>
        <w:t>(1)</w:t>
      </w:r>
      <w:r>
        <w:tab/>
        <w:t>The chief executive officer may exempt from the application of a specified provision of this Act or the regulations persons or vessels, or classes of person or vessel, if satisfied that compliance with the provision is unreasonable or impractical.</w:t>
      </w:r>
    </w:p>
    <w:p>
      <w:pPr>
        <w:pStyle w:val="Subsection"/>
      </w:pPr>
      <w:r>
        <w:tab/>
        <w:t>(1A)</w:t>
      </w:r>
      <w:r>
        <w:tab/>
        <w:t>The chief executive officer may exempt from the application of a specified provision of this Act or the regulations persons or vessels, or classes of person or vessel, engaged in an aquatic event or activity, if satisfied that appropriate measures will be taken to ensure the safety of competitors, spectators and members of the public generally.</w:t>
      </w:r>
    </w:p>
    <w:p>
      <w:pPr>
        <w:pStyle w:val="Subsection"/>
        <w:keepNext/>
      </w:pPr>
      <w:r>
        <w:lastRenderedPageBreak/>
        <w:tab/>
        <w:t>(1B)</w:t>
      </w:r>
      <w:r>
        <w:tab/>
        <w:t xml:space="preserve">The chief executive officer must ensure that written notice of an exemption under this section is — </w:t>
      </w:r>
    </w:p>
    <w:p>
      <w:pPr>
        <w:pStyle w:val="Indenta"/>
      </w:pPr>
      <w:r>
        <w:tab/>
        <w:t>(a)</w:t>
      </w:r>
      <w:r>
        <w:tab/>
        <w:t>if the exemption is under subsection (1) and for a person or in respect of a vessel — given to the person or master or owner of the vessel; or</w:t>
      </w:r>
    </w:p>
    <w:p>
      <w:pPr>
        <w:pStyle w:val="Indenta"/>
      </w:pPr>
      <w:r>
        <w:tab/>
        <w:t>(b)</w:t>
      </w:r>
      <w:r>
        <w:tab/>
        <w:t>if the exemption is under subsection (1) and in respect of a class of person or vessel — made publicly available; or</w:t>
      </w:r>
    </w:p>
    <w:p>
      <w:pPr>
        <w:pStyle w:val="Indenta"/>
      </w:pPr>
      <w:r>
        <w:tab/>
        <w:t>(c)</w:t>
      </w:r>
      <w:r>
        <w:tab/>
        <w:t>if the exemption is under subsection (1A) — given to the applicant for the exemption or the organiser of the aquatic event or activity.</w:t>
      </w:r>
    </w:p>
    <w:p>
      <w:pPr>
        <w:pStyle w:val="Subsection"/>
        <w:rPr>
          <w:snapToGrid w:val="0"/>
        </w:rPr>
      </w:pPr>
      <w:r>
        <w:tab/>
        <w:t>(1C)</w:t>
      </w:r>
      <w:r>
        <w:tab/>
        <w:t>Failure to comply with subsection (1B) does not affect the validity of an exemption.</w:t>
      </w:r>
    </w:p>
    <w:p>
      <w:pPr>
        <w:pStyle w:val="Subsection"/>
        <w:spacing w:before="150"/>
        <w:rPr>
          <w:snapToGrid w:val="0"/>
        </w:rPr>
      </w:pPr>
      <w:r>
        <w:rPr>
          <w:snapToGrid w:val="0"/>
        </w:rPr>
        <w:tab/>
        <w:t>(2)</w:t>
      </w:r>
      <w:r>
        <w:rPr>
          <w:snapToGrid w:val="0"/>
        </w:rPr>
        <w:tab/>
        <w:t xml:space="preserve">In exercising the power conferred </w:t>
      </w:r>
      <w:r>
        <w:t>by subsection (1) or (1A),</w:t>
      </w:r>
      <w:r>
        <w:rPr>
          <w:snapToGrid w:val="0"/>
        </w:rPr>
        <w:t xml:space="preserve"> the chief executive officer shall have regard to the principles embodied in this Act and the regulations made under this Act.</w:t>
      </w:r>
    </w:p>
    <w:p>
      <w:pPr>
        <w:pStyle w:val="Subsection"/>
        <w:spacing w:before="150"/>
        <w:rPr>
          <w:snapToGrid w:val="0"/>
        </w:rPr>
      </w:pPr>
      <w:r>
        <w:rPr>
          <w:snapToGrid w:val="0"/>
        </w:rPr>
        <w:tab/>
        <w:t>(3)</w:t>
      </w:r>
      <w:r>
        <w:rPr>
          <w:snapToGrid w:val="0"/>
        </w:rPr>
        <w:tab/>
        <w:t xml:space="preserve">Where under this Act provision is made that a particular fitting, material, appliance, or apparatus, or type thereof, shall be fitted or carried in </w:t>
      </w:r>
      <w:r>
        <w:t>a vessel or in vessels in a specified class of vessel,</w:t>
      </w:r>
      <w:r>
        <w:rPr>
          <w:snapToGrid w:val="0"/>
        </w:rPr>
        <w:t xml:space="preserve">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tab/>
        <w:t>(3A)</w:t>
      </w:r>
      <w:r>
        <w:tab/>
        <w:t>Subsections (1B) and (1C) apply, with necessary modifications, to an allowance under subsection (3) in the same way as they apply to an exemption under this section.</w:t>
      </w:r>
    </w:p>
    <w:p>
      <w:pPr>
        <w:pStyle w:val="Subsection"/>
        <w:rPr>
          <w:snapToGrid w:val="0"/>
        </w:rPr>
      </w:pPr>
      <w:r>
        <w:rPr>
          <w:snapToGrid w:val="0"/>
        </w:rPr>
        <w:tab/>
        <w:t>(4)</w:t>
      </w:r>
      <w:r>
        <w:rPr>
          <w:snapToGrid w:val="0"/>
        </w:rPr>
        <w:tab/>
        <w:t xml:space="preserve">The chief executive officer may grant an exemption or make an allowance under this section subject to such conditions as </w:t>
      </w:r>
      <w:r>
        <w:t>the chief executive officer</w:t>
      </w:r>
      <w:r>
        <w:rPr>
          <w:snapToGrid w:val="0"/>
        </w:rPr>
        <w:t xml:space="preserve"> thinks fit.</w:t>
      </w:r>
    </w:p>
    <w:p>
      <w:pPr>
        <w:pStyle w:val="Subsection"/>
        <w:rPr>
          <w:snapToGrid w:val="0"/>
        </w:rPr>
      </w:pPr>
      <w:r>
        <w:rPr>
          <w:snapToGrid w:val="0"/>
        </w:rPr>
        <w:lastRenderedPageBreak/>
        <w:tab/>
        <w:t>(5)</w:t>
      </w:r>
      <w:r>
        <w:rPr>
          <w:snapToGrid w:val="0"/>
        </w:rPr>
        <w:tab/>
        <w:t>A person who fails to comply with a condition to which an exemption or allowance is subject commits an offence.</w:t>
      </w:r>
    </w:p>
    <w:p>
      <w:pPr>
        <w:pStyle w:val="Penstart"/>
      </w:pPr>
      <w:r>
        <w:tab/>
        <w:t>Penalty for this subsection: a fine of $5 000.</w:t>
      </w:r>
    </w:p>
    <w:p>
      <w:pPr>
        <w:pStyle w:val="Footnotesection"/>
      </w:pPr>
      <w:r>
        <w:tab/>
        <w:t>[Section 115A inserted: No. 35 of 1990 s. 15; amended: No. 24 of 2023 s. 77.]</w:t>
      </w:r>
    </w:p>
    <w:p>
      <w:pPr>
        <w:pStyle w:val="Heading5"/>
        <w:rPr>
          <w:snapToGrid w:val="0"/>
        </w:rPr>
      </w:pPr>
      <w:bookmarkStart w:id="390" w:name="_Toc153887614"/>
      <w:r>
        <w:rPr>
          <w:rStyle w:val="CharSectno"/>
        </w:rPr>
        <w:t>116</w:t>
      </w:r>
      <w:r>
        <w:rPr>
          <w:snapToGrid w:val="0"/>
        </w:rPr>
        <w:t>.</w:t>
      </w:r>
      <w:r>
        <w:rPr>
          <w:snapToGrid w:val="0"/>
        </w:rPr>
        <w:tab/>
        <w:t>Minister may delegate</w:t>
      </w:r>
      <w:bookmarkEnd w:id="390"/>
    </w:p>
    <w:p>
      <w:pPr>
        <w:pStyle w:val="Subsection"/>
        <w:rPr>
          <w:snapToGrid w:val="0"/>
        </w:rPr>
      </w:pPr>
      <w:r>
        <w:rPr>
          <w:snapToGrid w:val="0"/>
        </w:rPr>
        <w:tab/>
        <w:t>(1)</w:t>
      </w:r>
      <w:r>
        <w:rPr>
          <w:snapToGrid w:val="0"/>
        </w:rPr>
        <w:tab/>
        <w:t>The Minister or the chief executive officer, as the case may be, (</w:t>
      </w:r>
      <w:r>
        <w:t xml:space="preserve">the </w:t>
      </w:r>
      <w:r>
        <w:rPr>
          <w:rStyle w:val="CharDefText"/>
        </w:rPr>
        <w:t>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 xml:space="preserve">Where, under this Act, the exercise of a power or the performance of a function by the delegator is dependent upon the opinion, belief or state of mind of the delegator in relation to a matter and that power or function has been delegated under </w:t>
      </w:r>
      <w:r>
        <w:rPr>
          <w:snapToGrid w:val="0"/>
        </w:rPr>
        <w:lastRenderedPageBreak/>
        <w:t>this section, that power or function may be exercised or performed by the delegate upon the opinion, belief or state of mind of the delegate in relation to that matter.</w:t>
      </w:r>
    </w:p>
    <w:p>
      <w:pPr>
        <w:pStyle w:val="Footnotesection"/>
      </w:pPr>
      <w:r>
        <w:tab/>
        <w:t>[Section 116 amended: No. 35 of 1990 s. 16.]</w:t>
      </w:r>
    </w:p>
    <w:p>
      <w:pPr>
        <w:pStyle w:val="Heading5"/>
        <w:rPr>
          <w:snapToGrid w:val="0"/>
        </w:rPr>
      </w:pPr>
      <w:bookmarkStart w:id="391" w:name="_Toc153887615"/>
      <w:r>
        <w:rPr>
          <w:rStyle w:val="CharSectno"/>
        </w:rPr>
        <w:t>117</w:t>
      </w:r>
      <w:r>
        <w:rPr>
          <w:snapToGrid w:val="0"/>
        </w:rPr>
        <w:t>.</w:t>
      </w:r>
      <w:r>
        <w:rPr>
          <w:snapToGrid w:val="0"/>
        </w:rPr>
        <w:tab/>
        <w:t>Appointment of inspectors and authorised officers</w:t>
      </w:r>
      <w:bookmarkEnd w:id="391"/>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No. 35 of 1990 s. 17 and 21.]</w:t>
      </w:r>
    </w:p>
    <w:p>
      <w:pPr>
        <w:pStyle w:val="Heading5"/>
        <w:rPr>
          <w:snapToGrid w:val="0"/>
        </w:rPr>
      </w:pPr>
      <w:bookmarkStart w:id="392" w:name="_Toc153887616"/>
      <w:r>
        <w:rPr>
          <w:rStyle w:val="CharSectno"/>
        </w:rPr>
        <w:t>118</w:t>
      </w:r>
      <w:r>
        <w:rPr>
          <w:snapToGrid w:val="0"/>
        </w:rPr>
        <w:t>.</w:t>
      </w:r>
      <w:r>
        <w:rPr>
          <w:snapToGrid w:val="0"/>
        </w:rPr>
        <w:tab/>
        <w:t>Certificate of appointment</w:t>
      </w:r>
      <w:bookmarkEnd w:id="392"/>
    </w:p>
    <w:p>
      <w:pPr>
        <w:pStyle w:val="Subsection"/>
        <w:rPr>
          <w:snapToGrid w:val="0"/>
        </w:rPr>
      </w:pPr>
      <w:r>
        <w:tab/>
        <w:t>(1)</w:t>
      </w:r>
      <w:r>
        <w:tab/>
        <w:t>The chief</w:t>
      </w:r>
      <w:r>
        <w:rPr>
          <w:snapToGrid w:val="0"/>
        </w:rPr>
        <w:t xml:space="preserve">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Subsection"/>
      </w:pPr>
      <w:r>
        <w:tab/>
        <w:t>(2)</w:t>
      </w:r>
      <w:r>
        <w:tab/>
        <w:t>In the case of an inspector, the certificate issued under subsection (1) is also to specify any functions that the inspector has under other enactments by virtue of being an inspector.</w:t>
      </w:r>
    </w:p>
    <w:p>
      <w:pPr>
        <w:pStyle w:val="Footnotesection"/>
      </w:pPr>
      <w:r>
        <w:tab/>
        <w:t>[Section 118 amended: No. 35 of 1990 s. 21; No. 2 of 2019 s. 63.]</w:t>
      </w:r>
    </w:p>
    <w:p>
      <w:pPr>
        <w:pStyle w:val="Heading5"/>
        <w:rPr>
          <w:snapToGrid w:val="0"/>
        </w:rPr>
      </w:pPr>
      <w:bookmarkStart w:id="393" w:name="_Toc153887617"/>
      <w:r>
        <w:rPr>
          <w:rStyle w:val="CharSectno"/>
        </w:rPr>
        <w:lastRenderedPageBreak/>
        <w:t>119</w:t>
      </w:r>
      <w:r>
        <w:rPr>
          <w:snapToGrid w:val="0"/>
        </w:rPr>
        <w:t>.</w:t>
      </w:r>
      <w:r>
        <w:rPr>
          <w:snapToGrid w:val="0"/>
        </w:rPr>
        <w:tab/>
        <w:t>Penalty for obstruction</w:t>
      </w:r>
      <w:bookmarkEnd w:id="393"/>
    </w:p>
    <w:p>
      <w:pPr>
        <w:pStyle w:val="Subsection"/>
        <w:rPr>
          <w:snapToGrid w:val="0"/>
        </w:rPr>
      </w:pPr>
      <w:r>
        <w:rPr>
          <w:snapToGrid w:val="0"/>
        </w:rPr>
        <w:tab/>
      </w:r>
      <w:r>
        <w:rPr>
          <w:snapToGrid w:val="0"/>
        </w:rPr>
        <w:tab/>
        <w:t xml:space="preserve">A person who wilfully assaults, obstructs, endeavours to intimidate, or uses abusive or offensive language to, or disobeys a lawful requisition or order of, a person </w:t>
      </w:r>
      <w:r>
        <w:t xml:space="preserve">(the </w:t>
      </w:r>
      <w:r>
        <w:rPr>
          <w:rStyle w:val="CharDefText"/>
        </w:rPr>
        <w:t>official</w:t>
      </w:r>
      <w:r>
        <w:t xml:space="preserve">) </w:t>
      </w:r>
      <w:r>
        <w:rPr>
          <w:snapToGrid w:val="0"/>
        </w:rPr>
        <w:t xml:space="preserve">performing or endeavouring to perform a power or duty conferred on </w:t>
      </w:r>
      <w:r>
        <w:t>the official</w:t>
      </w:r>
      <w:r>
        <w:rPr>
          <w:snapToGrid w:val="0"/>
        </w:rPr>
        <w:t xml:space="preserve"> by or under this Act, whether on board a vessel or elsewhere, is guilty of an offence and is liable to a fine not exceeding </w:t>
      </w:r>
      <w:r>
        <w:t>$5 000</w:t>
      </w:r>
      <w:r>
        <w:rPr>
          <w:snapToGrid w:val="0"/>
        </w:rPr>
        <w:t xml:space="preserve"> and may be detained by </w:t>
      </w:r>
      <w:r>
        <w:t>the official</w:t>
      </w:r>
      <w:r>
        <w:rPr>
          <w:snapToGrid w:val="0"/>
        </w:rPr>
        <w:t xml:space="preserve"> or by any person whom </w:t>
      </w:r>
      <w:r>
        <w:t>the official</w:t>
      </w:r>
      <w:r>
        <w:rPr>
          <w:snapToGrid w:val="0"/>
        </w:rPr>
        <w:t xml:space="preserve"> may call to </w:t>
      </w:r>
      <w:r>
        <w:t>their</w:t>
      </w:r>
      <w:r>
        <w:rPr>
          <w:snapToGrid w:val="0"/>
        </w:rPr>
        <w:t xml:space="preserve"> assistance until the offender can be conveniently taken before a court having appropriate jurisdiction.</w:t>
      </w:r>
    </w:p>
    <w:p>
      <w:pPr>
        <w:pStyle w:val="Footnotesection"/>
      </w:pPr>
      <w:r>
        <w:tab/>
        <w:t>[Section 119 amended: No. 24 of 2023 s. 81.]</w:t>
      </w:r>
    </w:p>
    <w:p>
      <w:pPr>
        <w:pStyle w:val="Heading5"/>
        <w:rPr>
          <w:snapToGrid w:val="0"/>
        </w:rPr>
      </w:pPr>
      <w:bookmarkStart w:id="394" w:name="_Toc153887618"/>
      <w:r>
        <w:rPr>
          <w:rStyle w:val="CharSectno"/>
        </w:rPr>
        <w:t>120</w:t>
      </w:r>
      <w:r>
        <w:rPr>
          <w:snapToGrid w:val="0"/>
        </w:rPr>
        <w:t>.</w:t>
      </w:r>
      <w:r>
        <w:rPr>
          <w:snapToGrid w:val="0"/>
        </w:rPr>
        <w:tab/>
        <w:t>Penalty for false declarations etc.</w:t>
      </w:r>
      <w:bookmarkEnd w:id="394"/>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pPr>
      <w:r>
        <w:tab/>
        <w:t>Penalty:</w:t>
      </w:r>
    </w:p>
    <w:p>
      <w:pPr>
        <w:pStyle w:val="Penpara"/>
      </w:pPr>
      <w:r>
        <w:tab/>
        <w:t>(a)</w:t>
      </w:r>
      <w:r>
        <w:tab/>
        <w:t>for an individual — a fine of $5 000;</w:t>
      </w:r>
    </w:p>
    <w:p>
      <w:pPr>
        <w:pStyle w:val="Penpara"/>
      </w:pPr>
      <w:r>
        <w:tab/>
        <w:t>(b)</w:t>
      </w:r>
      <w:r>
        <w:tab/>
        <w:t>for a body corporate — a fine of $10 000.</w:t>
      </w:r>
    </w:p>
    <w:p>
      <w:pPr>
        <w:pStyle w:val="Footnotesection"/>
      </w:pPr>
      <w:r>
        <w:tab/>
        <w:t>[Section 120 amended: No. 24 of 2023 s. 82.]</w:t>
      </w:r>
    </w:p>
    <w:p>
      <w:pPr>
        <w:pStyle w:val="Heading5"/>
      </w:pPr>
      <w:bookmarkStart w:id="395" w:name="_Toc149055783"/>
      <w:bookmarkStart w:id="396" w:name="_Toc153887619"/>
      <w:r>
        <w:rPr>
          <w:rStyle w:val="CharSectno"/>
        </w:rPr>
        <w:t>120A</w:t>
      </w:r>
      <w:r>
        <w:t>.</w:t>
      </w:r>
      <w:r>
        <w:tab/>
        <w:t>Inspector may request details</w:t>
      </w:r>
      <w:bookmarkEnd w:id="395"/>
      <w:bookmarkEnd w:id="396"/>
    </w:p>
    <w:p>
      <w:pPr>
        <w:pStyle w:val="Subsection"/>
      </w:pPr>
      <w:r>
        <w:tab/>
        <w:t>(1)</w:t>
      </w:r>
      <w:r>
        <w:tab/>
        <w:t xml:space="preserve">An inspector may request any person whom the inspector believes on reasonable grounds to have committed an offence under this Act to give the inspector 1 or more of the following — </w:t>
      </w:r>
    </w:p>
    <w:p>
      <w:pPr>
        <w:pStyle w:val="Indenta"/>
      </w:pPr>
      <w:r>
        <w:tab/>
        <w:t>(a)</w:t>
      </w:r>
      <w:r>
        <w:tab/>
        <w:t>the person’s name;</w:t>
      </w:r>
    </w:p>
    <w:p>
      <w:pPr>
        <w:pStyle w:val="Indenta"/>
      </w:pPr>
      <w:r>
        <w:tab/>
        <w:t>(b)</w:t>
      </w:r>
      <w:r>
        <w:tab/>
        <w:t>the person’s residential address;</w:t>
      </w:r>
    </w:p>
    <w:p>
      <w:pPr>
        <w:pStyle w:val="Indenta"/>
      </w:pPr>
      <w:r>
        <w:lastRenderedPageBreak/>
        <w:tab/>
        <w:t>(c)</w:t>
      </w:r>
      <w:r>
        <w:tab/>
        <w:t>the person’s date of birth;</w:t>
      </w:r>
    </w:p>
    <w:p>
      <w:pPr>
        <w:pStyle w:val="Indenta"/>
      </w:pPr>
      <w:r>
        <w:tab/>
        <w:t>(d)</w:t>
      </w:r>
      <w:r>
        <w:tab/>
        <w:t>evidence of the person’s identity.</w:t>
      </w:r>
    </w:p>
    <w:p>
      <w:pPr>
        <w:pStyle w:val="Subsection"/>
      </w:pPr>
      <w:r>
        <w:tab/>
        <w:t>(2)</w:t>
      </w:r>
      <w:r>
        <w:tab/>
        <w:t>A person who fails to comply with a request made under subsection (1) or who gives false information when such a request is made commits an offence.</w:t>
      </w:r>
    </w:p>
    <w:p>
      <w:pPr>
        <w:pStyle w:val="Penstart"/>
      </w:pPr>
      <w:r>
        <w:tab/>
        <w:t>Penalty for this subsection: a fine of $5 000.</w:t>
      </w:r>
    </w:p>
    <w:p>
      <w:pPr>
        <w:pStyle w:val="Footnotesection"/>
      </w:pPr>
      <w:r>
        <w:tab/>
        <w:t>[Section 120A inserted: No. 24 of 2023 s. 83.]</w:t>
      </w:r>
    </w:p>
    <w:p>
      <w:pPr>
        <w:pStyle w:val="Heading5"/>
        <w:rPr>
          <w:snapToGrid w:val="0"/>
        </w:rPr>
      </w:pPr>
      <w:bookmarkStart w:id="397" w:name="_Toc153887620"/>
      <w:r>
        <w:rPr>
          <w:rStyle w:val="CharSectno"/>
        </w:rPr>
        <w:t>121</w:t>
      </w:r>
      <w:r>
        <w:rPr>
          <w:snapToGrid w:val="0"/>
        </w:rPr>
        <w:t>.</w:t>
      </w:r>
      <w:r>
        <w:rPr>
          <w:snapToGrid w:val="0"/>
        </w:rPr>
        <w:tab/>
        <w:t>Offences in connection with certificates, licences etc.</w:t>
      </w:r>
      <w:bookmarkEnd w:id="397"/>
    </w:p>
    <w:p>
      <w:pPr>
        <w:pStyle w:val="Subsection"/>
        <w:keepNext/>
        <w:rPr>
          <w:snapToGrid w:val="0"/>
        </w:rPr>
      </w:pPr>
      <w:r>
        <w:rPr>
          <w:snapToGrid w:val="0"/>
        </w:rPr>
        <w:tab/>
        <w:t>(1)</w:t>
      </w:r>
      <w:r>
        <w:rPr>
          <w:snapToGrid w:val="0"/>
        </w:rPr>
        <w:tab/>
        <w:t>A person shall not —</w:t>
      </w:r>
    </w:p>
    <w:p>
      <w:pPr>
        <w:pStyle w:val="Indenta"/>
        <w:keepNext/>
        <w:rPr>
          <w:snapToGrid w:val="0"/>
        </w:rPr>
      </w:pPr>
      <w:r>
        <w:rPr>
          <w:snapToGrid w:val="0"/>
        </w:rPr>
        <w:tab/>
        <w:t>(a)</w:t>
      </w:r>
      <w:r>
        <w:rPr>
          <w:snapToGrid w:val="0"/>
        </w:rPr>
        <w:tab/>
        <w:t xml:space="preserve">knowingly make a false representation for the purpose of obtaining a certificate, licence, permit, exemption or dispensation either for </w:t>
      </w:r>
      <w:r>
        <w:t>themselves</w:t>
      </w:r>
      <w:r>
        <w:rPr>
          <w:snapToGrid w:val="0"/>
        </w:rPr>
        <w:t xml:space="preserve"> or for another person; or</w:t>
      </w:r>
    </w:p>
    <w:p>
      <w:pPr>
        <w:pStyle w:val="Indenta"/>
        <w:rPr>
          <w:snapToGrid w:val="0"/>
        </w:rPr>
      </w:pPr>
      <w:r>
        <w:rPr>
          <w:snapToGrid w:val="0"/>
        </w:rPr>
        <w:tab/>
        <w:t>(b)</w:t>
      </w:r>
      <w:r>
        <w:rPr>
          <w:snapToGrid w:val="0"/>
        </w:rPr>
        <w:tab/>
        <w:t>forge or fraudulently alter a certificate, licence, permit, exemption or dispensation; or</w:t>
      </w:r>
    </w:p>
    <w:p>
      <w:pPr>
        <w:pStyle w:val="Indenta"/>
        <w:rPr>
          <w:snapToGrid w:val="0"/>
        </w:rPr>
      </w:pPr>
      <w:r>
        <w:rPr>
          <w:snapToGrid w:val="0"/>
        </w:rPr>
        <w:tab/>
        <w:t>(c)</w:t>
      </w:r>
      <w:r>
        <w:rPr>
          <w:snapToGrid w:val="0"/>
        </w:rPr>
        <w:tab/>
        <w:t xml:space="preserve">fraudulently use a certificate, licence, permit, exemption or dispensation that is forged, altered, cancelled or suspended or to which </w:t>
      </w:r>
      <w:r>
        <w:t>the person</w:t>
      </w:r>
      <w:r>
        <w:rPr>
          <w:snapToGrid w:val="0"/>
        </w:rPr>
        <w:t xml:space="preserv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tab/>
        <w:t>Penalty for this subsection:</w:t>
      </w:r>
    </w:p>
    <w:p>
      <w:pPr>
        <w:pStyle w:val="Penpara"/>
      </w:pPr>
      <w:r>
        <w:tab/>
        <w:t>(a)</w:t>
      </w:r>
      <w:r>
        <w:tab/>
        <w:t>for an individual — a fine of $3 000;</w:t>
      </w:r>
    </w:p>
    <w:p>
      <w:pPr>
        <w:pStyle w:val="Penpara"/>
      </w:pPr>
      <w:r>
        <w:tab/>
        <w:t>(b)</w:t>
      </w:r>
      <w:r>
        <w:tab/>
        <w:t>for a body corporate — a fine of $10 000.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Footnotesection"/>
      </w:pPr>
      <w:r>
        <w:tab/>
        <w:t>[Section 121 amended: No. 24 of 2023 s. 84.]</w:t>
      </w:r>
    </w:p>
    <w:p>
      <w:pPr>
        <w:pStyle w:val="Heading5"/>
        <w:rPr>
          <w:snapToGrid w:val="0"/>
        </w:rPr>
      </w:pPr>
      <w:bookmarkStart w:id="398" w:name="_Toc153887621"/>
      <w:r>
        <w:rPr>
          <w:rStyle w:val="CharSectno"/>
        </w:rPr>
        <w:lastRenderedPageBreak/>
        <w:t>122</w:t>
      </w:r>
      <w:r>
        <w:rPr>
          <w:snapToGrid w:val="0"/>
        </w:rPr>
        <w:t>.</w:t>
      </w:r>
      <w:r>
        <w:rPr>
          <w:snapToGrid w:val="0"/>
        </w:rPr>
        <w:tab/>
        <w:t>Liability of chief executive officer and owner for costs and compensation</w:t>
      </w:r>
      <w:bookmarkEnd w:id="398"/>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No. 35 of 1990 s. 21.]</w:t>
      </w:r>
    </w:p>
    <w:p>
      <w:pPr>
        <w:pStyle w:val="Heading5"/>
        <w:rPr>
          <w:snapToGrid w:val="0"/>
        </w:rPr>
      </w:pPr>
      <w:bookmarkStart w:id="399" w:name="_Toc153887622"/>
      <w:r>
        <w:rPr>
          <w:rStyle w:val="CharSectno"/>
        </w:rPr>
        <w:lastRenderedPageBreak/>
        <w:t>123</w:t>
      </w:r>
      <w:r>
        <w:rPr>
          <w:snapToGrid w:val="0"/>
        </w:rPr>
        <w:t>.</w:t>
      </w:r>
      <w:r>
        <w:rPr>
          <w:snapToGrid w:val="0"/>
        </w:rPr>
        <w:tab/>
        <w:t>Complainant may be ordered to give security</w:t>
      </w:r>
      <w:bookmarkEnd w:id="399"/>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No. 35 of 1990 s. 21.]</w:t>
      </w:r>
    </w:p>
    <w:p>
      <w:pPr>
        <w:pStyle w:val="Heading5"/>
        <w:rPr>
          <w:snapToGrid w:val="0"/>
        </w:rPr>
      </w:pPr>
      <w:bookmarkStart w:id="400" w:name="_Toc153887623"/>
      <w:r>
        <w:rPr>
          <w:rStyle w:val="CharSectno"/>
        </w:rPr>
        <w:t>124</w:t>
      </w:r>
      <w:r>
        <w:rPr>
          <w:snapToGrid w:val="0"/>
        </w:rPr>
        <w:t>.</w:t>
      </w:r>
      <w:r>
        <w:rPr>
          <w:snapToGrid w:val="0"/>
        </w:rPr>
        <w:tab/>
        <w:t>Immunity of Minister and officials</w:t>
      </w:r>
      <w:bookmarkEnd w:id="400"/>
    </w:p>
    <w:p>
      <w:pPr>
        <w:pStyle w:val="Subsection"/>
        <w:keepNext/>
        <w:rPr>
          <w:snapToGrid w:val="0"/>
        </w:rPr>
      </w:pPr>
      <w:r>
        <w:rPr>
          <w:snapToGrid w:val="0"/>
        </w:rPr>
        <w:tab/>
      </w:r>
      <w:r>
        <w:rPr>
          <w:snapToGrid w:val="0"/>
        </w:rPr>
        <w:tab/>
        <w:t xml:space="preserve">No liability shall attach to the Minister, the chief executive officer or any other official of the Department, or to any person acting with the authority or on the direction of the Minister or the chief executive officer in good faith and in the exercise or </w:t>
      </w:r>
      <w:r>
        <w:rPr>
          <w:snapToGrid w:val="0"/>
        </w:rPr>
        <w:lastRenderedPageBreak/>
        <w:t>purported exercise of a power or in the discharge or purported discharge of a duty under this Act.</w:t>
      </w:r>
    </w:p>
    <w:p>
      <w:pPr>
        <w:pStyle w:val="Footnotesection"/>
      </w:pPr>
      <w:r>
        <w:tab/>
        <w:t>[Section 124 amended: No. 35 of 1990 s. 21.]</w:t>
      </w:r>
    </w:p>
    <w:p>
      <w:pPr>
        <w:pStyle w:val="Heading2"/>
      </w:pPr>
      <w:bookmarkStart w:id="401" w:name="_Toc153284176"/>
      <w:bookmarkStart w:id="402" w:name="_Toc153284417"/>
      <w:bookmarkStart w:id="403" w:name="_Toc153284658"/>
      <w:bookmarkStart w:id="404" w:name="_Toc153544873"/>
      <w:bookmarkStart w:id="405" w:name="_Toc153796476"/>
      <w:bookmarkStart w:id="406" w:name="_Toc153887624"/>
      <w:r>
        <w:rPr>
          <w:rStyle w:val="CharPartNo"/>
        </w:rPr>
        <w:lastRenderedPageBreak/>
        <w:t>Part 8A</w:t>
      </w:r>
      <w:r>
        <w:t> — </w:t>
      </w:r>
      <w:r>
        <w:rPr>
          <w:rStyle w:val="CharPartText"/>
        </w:rPr>
        <w:t>Disqualification from holding or obtaining WA marine qualification</w:t>
      </w:r>
      <w:bookmarkEnd w:id="401"/>
      <w:bookmarkEnd w:id="402"/>
      <w:bookmarkEnd w:id="403"/>
      <w:bookmarkEnd w:id="404"/>
      <w:bookmarkEnd w:id="405"/>
      <w:bookmarkEnd w:id="406"/>
    </w:p>
    <w:p>
      <w:pPr>
        <w:pStyle w:val="Footnoteheading"/>
      </w:pPr>
      <w:r>
        <w:tab/>
        <w:t>[Heading inserted: No. 31 of 2023 s. 23(1).]</w:t>
      </w:r>
    </w:p>
    <w:p>
      <w:pPr>
        <w:pStyle w:val="Heading3"/>
      </w:pPr>
      <w:bookmarkStart w:id="407" w:name="_Toc153284177"/>
      <w:bookmarkStart w:id="408" w:name="_Toc153284418"/>
      <w:bookmarkStart w:id="409" w:name="_Toc153284659"/>
      <w:bookmarkStart w:id="410" w:name="_Toc153544874"/>
      <w:bookmarkStart w:id="411" w:name="_Toc153796477"/>
      <w:bookmarkStart w:id="412" w:name="_Toc153887625"/>
      <w:r>
        <w:rPr>
          <w:rStyle w:val="CharDivNo"/>
        </w:rPr>
        <w:t>Division 1</w:t>
      </w:r>
      <w:r>
        <w:t> — </w:t>
      </w:r>
      <w:r>
        <w:rPr>
          <w:rStyle w:val="CharDivText"/>
        </w:rPr>
        <w:t>Preliminary</w:t>
      </w:r>
      <w:bookmarkEnd w:id="407"/>
      <w:bookmarkEnd w:id="408"/>
      <w:bookmarkEnd w:id="409"/>
      <w:bookmarkEnd w:id="410"/>
      <w:bookmarkEnd w:id="411"/>
      <w:bookmarkEnd w:id="412"/>
    </w:p>
    <w:p>
      <w:pPr>
        <w:pStyle w:val="Footnoteheading"/>
      </w:pPr>
      <w:bookmarkStart w:id="413" w:name="_Toc153284660"/>
      <w:r>
        <w:tab/>
        <w:t>[Heading inserted: No. 31 of 2023 s. 23(1).]</w:t>
      </w:r>
    </w:p>
    <w:p>
      <w:pPr>
        <w:pStyle w:val="Heading5"/>
      </w:pPr>
      <w:bookmarkStart w:id="414" w:name="_Toc153887626"/>
      <w:r>
        <w:rPr>
          <w:rStyle w:val="CharSectno"/>
        </w:rPr>
        <w:t>124G</w:t>
      </w:r>
      <w:r>
        <w:t>.</w:t>
      </w:r>
      <w:r>
        <w:tab/>
        <w:t>Terms used</w:t>
      </w:r>
      <w:bookmarkEnd w:id="413"/>
      <w:bookmarkEnd w:id="414"/>
    </w:p>
    <w:p>
      <w:pPr>
        <w:pStyle w:val="Subsection"/>
      </w:pPr>
      <w:r>
        <w:tab/>
      </w:r>
      <w:r>
        <w:tab/>
        <w:t xml:space="preserve">In this Part — </w:t>
      </w:r>
    </w:p>
    <w:p>
      <w:pPr>
        <w:pStyle w:val="Defstart"/>
      </w:pPr>
      <w:r>
        <w:tab/>
      </w:r>
      <w:r>
        <w:rPr>
          <w:rStyle w:val="CharDefText"/>
        </w:rPr>
        <w:t>alleged offence</w:t>
      </w:r>
      <w:r>
        <w:t>, in relation to a person, has the meaning given in section 124GA(1);</w:t>
      </w:r>
    </w:p>
    <w:p>
      <w:pPr>
        <w:pStyle w:val="Defstart"/>
      </w:pPr>
      <w:r>
        <w:tab/>
      </w:r>
      <w:r>
        <w:rPr>
          <w:rStyle w:val="CharDefText"/>
        </w:rPr>
        <w:t>disqualification notice</w:t>
      </w:r>
      <w:r>
        <w:t xml:space="preserve"> has the meaning given in section 124GA(3);</w:t>
      </w:r>
    </w:p>
    <w:p>
      <w:pPr>
        <w:pStyle w:val="Defstart"/>
      </w:pPr>
      <w:r>
        <w:tab/>
      </w:r>
      <w:r>
        <w:rPr>
          <w:rStyle w:val="CharDefText"/>
        </w:rPr>
        <w:t>disqualification order</w:t>
      </w:r>
      <w:r>
        <w:t>, in relation to a person, means an order made by a court on convicting the person for an offence that disqualifies the person from holding or obtaining a WA marine qualification for the period specified in the order;</w:t>
      </w:r>
    </w:p>
    <w:p>
      <w:pPr>
        <w:pStyle w:val="Defstart"/>
      </w:pPr>
      <w:r>
        <w:tab/>
      </w:r>
      <w:r>
        <w:rPr>
          <w:rStyle w:val="CharDefText"/>
        </w:rPr>
        <w:t>disqualified</w:t>
      </w:r>
      <w:r>
        <w:t>, in relation to a person, means the person is disqualified from holding or obtaining a WA marine qualification by a disqualification order or under a disqualification notice.</w:t>
      </w:r>
    </w:p>
    <w:p>
      <w:pPr>
        <w:pStyle w:val="Footnotesection"/>
      </w:pPr>
      <w:r>
        <w:tab/>
        <w:t>[Section 124G inserted: No. 31 of 2023 s. 23(1).]</w:t>
      </w:r>
    </w:p>
    <w:p>
      <w:pPr>
        <w:pStyle w:val="Heading3"/>
      </w:pPr>
      <w:bookmarkStart w:id="415" w:name="_Toc153284190"/>
      <w:bookmarkStart w:id="416" w:name="_Toc153284431"/>
      <w:bookmarkStart w:id="417" w:name="_Toc153284672"/>
      <w:bookmarkStart w:id="418" w:name="_Toc153544876"/>
      <w:bookmarkStart w:id="419" w:name="_Toc153796479"/>
      <w:bookmarkStart w:id="420" w:name="_Toc153887627"/>
      <w:r>
        <w:rPr>
          <w:rStyle w:val="CharDivNo"/>
        </w:rPr>
        <w:t>Division 3</w:t>
      </w:r>
      <w:r>
        <w:t> — </w:t>
      </w:r>
      <w:r>
        <w:rPr>
          <w:rStyle w:val="CharDivText"/>
        </w:rPr>
        <w:t>Provisions relating to disqualification orders by court</w:t>
      </w:r>
      <w:bookmarkEnd w:id="415"/>
      <w:bookmarkEnd w:id="416"/>
      <w:bookmarkEnd w:id="417"/>
      <w:bookmarkEnd w:id="418"/>
      <w:bookmarkEnd w:id="419"/>
      <w:bookmarkEnd w:id="420"/>
    </w:p>
    <w:p>
      <w:pPr>
        <w:pStyle w:val="Footnoteheading"/>
      </w:pPr>
      <w:bookmarkStart w:id="421" w:name="_Toc153284673"/>
      <w:r>
        <w:tab/>
        <w:t>[Heading inserted: No. 31 of 2023 s. 23(3).]</w:t>
      </w:r>
    </w:p>
    <w:p>
      <w:pPr>
        <w:pStyle w:val="Heading5"/>
      </w:pPr>
      <w:bookmarkStart w:id="422" w:name="_Toc153887628"/>
      <w:r>
        <w:rPr>
          <w:rStyle w:val="CharSectno"/>
        </w:rPr>
        <w:t>124GK</w:t>
      </w:r>
      <w:r>
        <w:t>.</w:t>
      </w:r>
      <w:r>
        <w:tab/>
        <w:t>Application of Division</w:t>
      </w:r>
      <w:bookmarkEnd w:id="421"/>
      <w:bookmarkEnd w:id="422"/>
    </w:p>
    <w:p>
      <w:pPr>
        <w:pStyle w:val="Subsection"/>
      </w:pPr>
      <w:r>
        <w:tab/>
      </w:r>
      <w:r>
        <w:tab/>
        <w:t>This Division applies if a court sentencing a person for an offence makes a disqualification order in relation to the person.</w:t>
      </w:r>
    </w:p>
    <w:p>
      <w:pPr>
        <w:pStyle w:val="Footnotesection"/>
      </w:pPr>
      <w:r>
        <w:tab/>
        <w:t>[Section 124GK inserted: No. 31 of 2023 s. 23(3).]</w:t>
      </w:r>
    </w:p>
    <w:p>
      <w:pPr>
        <w:pStyle w:val="Heading5"/>
      </w:pPr>
      <w:bookmarkStart w:id="423" w:name="_Toc153284674"/>
      <w:bookmarkStart w:id="424" w:name="_Toc153887629"/>
      <w:r>
        <w:rPr>
          <w:rStyle w:val="CharSectno"/>
        </w:rPr>
        <w:lastRenderedPageBreak/>
        <w:t>124GL</w:t>
      </w:r>
      <w:r>
        <w:t>.</w:t>
      </w:r>
      <w:r>
        <w:tab/>
        <w:t>Notifying chief executive officer of disqualification order</w:t>
      </w:r>
      <w:bookmarkEnd w:id="423"/>
      <w:bookmarkEnd w:id="424"/>
    </w:p>
    <w:p>
      <w:pPr>
        <w:pStyle w:val="Subsection"/>
      </w:pPr>
      <w:r>
        <w:tab/>
      </w:r>
      <w:r>
        <w:tab/>
        <w:t xml:space="preserve">The court must ensure that the following information about a disqualification order is given to the chief executive officer — </w:t>
      </w:r>
    </w:p>
    <w:p>
      <w:pPr>
        <w:pStyle w:val="Indenta"/>
      </w:pPr>
      <w:r>
        <w:tab/>
        <w:t>(a)</w:t>
      </w:r>
      <w:r>
        <w:tab/>
        <w:t xml:space="preserve">details of the order; </w:t>
      </w:r>
    </w:p>
    <w:p>
      <w:pPr>
        <w:pStyle w:val="Indenta"/>
      </w:pPr>
      <w:r>
        <w:tab/>
        <w:t>(b)</w:t>
      </w:r>
      <w:r>
        <w:tab/>
        <w:t xml:space="preserve">details of the offence to which the disqualification relates; </w:t>
      </w:r>
    </w:p>
    <w:p>
      <w:pPr>
        <w:pStyle w:val="Indenta"/>
      </w:pPr>
      <w:r>
        <w:tab/>
        <w:t>(c)</w:t>
      </w:r>
      <w:r>
        <w:tab/>
        <w:t>any other information prescribed for this section.</w:t>
      </w:r>
    </w:p>
    <w:p>
      <w:pPr>
        <w:pStyle w:val="Footnotesection"/>
      </w:pPr>
      <w:r>
        <w:tab/>
        <w:t>[Section 124GL inserted: No. 31 of 2023 s. 23(3).]</w:t>
      </w:r>
    </w:p>
    <w:p>
      <w:pPr>
        <w:pStyle w:val="Heading5"/>
      </w:pPr>
      <w:bookmarkStart w:id="425" w:name="_Toc153284675"/>
      <w:bookmarkStart w:id="426" w:name="_Toc153887630"/>
      <w:r>
        <w:rPr>
          <w:rStyle w:val="CharSectno"/>
        </w:rPr>
        <w:t>124GM</w:t>
      </w:r>
      <w:r>
        <w:t>.</w:t>
      </w:r>
      <w:r>
        <w:tab/>
        <w:t>Removal of disqualification</w:t>
      </w:r>
      <w:bookmarkEnd w:id="425"/>
      <w:bookmarkEnd w:id="426"/>
    </w:p>
    <w:p>
      <w:pPr>
        <w:pStyle w:val="Subsection"/>
      </w:pPr>
      <w:r>
        <w:tab/>
        <w:t>(1)</w:t>
      </w:r>
      <w:r>
        <w:tab/>
        <w:t>A disqualified person may apply to a court for an order removing the disqualification.</w:t>
      </w:r>
    </w:p>
    <w:p>
      <w:pPr>
        <w:pStyle w:val="Subsection"/>
      </w:pPr>
      <w:r>
        <w:tab/>
        <w:t>(2)</w:t>
      </w:r>
      <w:r>
        <w:tab/>
        <w:t>However, the person cannot apply before the end of the following period, starting on the day on which the disqualification took effect —</w:t>
      </w:r>
    </w:p>
    <w:p>
      <w:pPr>
        <w:pStyle w:val="Indenta"/>
      </w:pPr>
      <w:r>
        <w:tab/>
        <w:t>(a)</w:t>
      </w:r>
      <w:r>
        <w:tab/>
        <w:t>if the disqualification is for no more than 6 years — 3 years;</w:t>
      </w:r>
    </w:p>
    <w:p>
      <w:pPr>
        <w:pStyle w:val="Indenta"/>
      </w:pPr>
      <w:r>
        <w:tab/>
        <w:t>(b)</w:t>
      </w:r>
      <w:r>
        <w:tab/>
        <w:t>if the disqualification is for more than 6 years but no more than 20 years — one</w:t>
      </w:r>
      <w:r>
        <w:noBreakHyphen/>
        <w:t>half of the period of the disqualification;</w:t>
      </w:r>
    </w:p>
    <w:p>
      <w:pPr>
        <w:pStyle w:val="Indenta"/>
      </w:pPr>
      <w:r>
        <w:tab/>
        <w:t>(c)</w:t>
      </w:r>
      <w:r>
        <w:tab/>
        <w:t>if the disqualification is for more than 20 years or is permanent — 10 years.</w:t>
      </w:r>
    </w:p>
    <w:p>
      <w:pPr>
        <w:pStyle w:val="Subsection"/>
      </w:pPr>
      <w:r>
        <w:tab/>
        <w:t>(3)</w:t>
      </w:r>
      <w:r>
        <w:tab/>
        <w:t xml:space="preserve">The application must be made to — </w:t>
      </w:r>
    </w:p>
    <w:p>
      <w:pPr>
        <w:pStyle w:val="Indenta"/>
      </w:pPr>
      <w:r>
        <w:tab/>
        <w:t>(a)</w:t>
      </w:r>
      <w:r>
        <w:tab/>
        <w:t>if the disqualification was imposed by the Supreme Court — the Supreme Court; or</w:t>
      </w:r>
    </w:p>
    <w:p>
      <w:pPr>
        <w:pStyle w:val="Indenta"/>
      </w:pPr>
      <w:r>
        <w:tab/>
        <w:t>(b)</w:t>
      </w:r>
      <w:r>
        <w:tab/>
        <w:t>in any other case — the District Court.</w:t>
      </w:r>
    </w:p>
    <w:p>
      <w:pPr>
        <w:pStyle w:val="Subsection"/>
      </w:pPr>
      <w:r>
        <w:tab/>
        <w:t>(4)</w:t>
      </w:r>
      <w:r>
        <w:tab/>
        <w:t>The court may make an order removing the disqualification from the day specified in the order or refuse the application.</w:t>
      </w:r>
    </w:p>
    <w:p>
      <w:pPr>
        <w:pStyle w:val="Subsection"/>
        <w:keepNext/>
      </w:pPr>
      <w:r>
        <w:lastRenderedPageBreak/>
        <w:tab/>
        <w:t>(5)</w:t>
      </w:r>
      <w:r>
        <w:tab/>
        <w:t xml:space="preserve">In deciding the application, the court must have regard to the following matters — </w:t>
      </w:r>
    </w:p>
    <w:p>
      <w:pPr>
        <w:pStyle w:val="Indenta"/>
      </w:pPr>
      <w:r>
        <w:tab/>
        <w:t>(a)</w:t>
      </w:r>
      <w:r>
        <w:tab/>
        <w:t>the safety of the public generally;</w:t>
      </w:r>
    </w:p>
    <w:p>
      <w:pPr>
        <w:pStyle w:val="Indenta"/>
      </w:pPr>
      <w:r>
        <w:tab/>
        <w:t>(b)</w:t>
      </w:r>
      <w:r>
        <w:tab/>
        <w:t>the character of the applicant;</w:t>
      </w:r>
    </w:p>
    <w:p>
      <w:pPr>
        <w:pStyle w:val="Indenta"/>
      </w:pPr>
      <w:r>
        <w:tab/>
        <w:t>(c)</w:t>
      </w:r>
      <w:r>
        <w:tab/>
        <w:t>the circumstances of the case;</w:t>
      </w:r>
    </w:p>
    <w:p>
      <w:pPr>
        <w:pStyle w:val="Indenta"/>
      </w:pPr>
      <w:r>
        <w:tab/>
        <w:t>(d)</w:t>
      </w:r>
      <w:r>
        <w:tab/>
        <w:t>the nature of the offence or offences giving rise to the disqualification;</w:t>
      </w:r>
    </w:p>
    <w:p>
      <w:pPr>
        <w:pStyle w:val="Indenta"/>
      </w:pPr>
      <w:r>
        <w:tab/>
        <w:t>(e)</w:t>
      </w:r>
      <w:r>
        <w:tab/>
        <w:t>the conduct of the applicant subsequent to the disqualification.</w:t>
      </w:r>
    </w:p>
    <w:p>
      <w:pPr>
        <w:pStyle w:val="Footnotesection"/>
      </w:pPr>
      <w:r>
        <w:tab/>
        <w:t>[Section 124GM inserted: No. 31 of 2023 s. 23(3).]</w:t>
      </w:r>
    </w:p>
    <w:p>
      <w:pPr>
        <w:pStyle w:val="Heading5"/>
      </w:pPr>
      <w:bookmarkStart w:id="427" w:name="_Toc153284676"/>
      <w:bookmarkStart w:id="428" w:name="_Toc153887631"/>
      <w:r>
        <w:rPr>
          <w:rStyle w:val="CharSectno"/>
        </w:rPr>
        <w:t>124GN</w:t>
      </w:r>
      <w:r>
        <w:t>.</w:t>
      </w:r>
      <w:r>
        <w:tab/>
        <w:t>Removal of disqualification: additional provisions</w:t>
      </w:r>
      <w:bookmarkEnd w:id="427"/>
      <w:bookmarkEnd w:id="428"/>
    </w:p>
    <w:p>
      <w:pPr>
        <w:pStyle w:val="Subsection"/>
      </w:pPr>
      <w:r>
        <w:tab/>
        <w:t>(1)</w:t>
      </w:r>
      <w:r>
        <w:tab/>
        <w:t>A court to which an application is made under section 124GM may order the applicant to pay all or part of the costs of an application.</w:t>
      </w:r>
    </w:p>
    <w:p>
      <w:pPr>
        <w:pStyle w:val="Subsection"/>
      </w:pPr>
      <w:r>
        <w:tab/>
        <w:t>(2)</w:t>
      </w:r>
      <w:r>
        <w:tab/>
        <w:t>The chief executive officer has a right to be heard in proceedings for the application.</w:t>
      </w:r>
    </w:p>
    <w:p>
      <w:pPr>
        <w:pStyle w:val="Subsection"/>
      </w:pPr>
      <w:r>
        <w:tab/>
        <w:t>(3)</w:t>
      </w:r>
      <w:r>
        <w:tab/>
        <w:t>If the court refuses the application, a further application cannot be heard during the period of 1 year after the day of refusal.</w:t>
      </w:r>
    </w:p>
    <w:p>
      <w:pPr>
        <w:pStyle w:val="Subsection"/>
      </w:pPr>
      <w:r>
        <w:tab/>
        <w:t>(4)</w:t>
      </w:r>
      <w:r>
        <w:tab/>
        <w:t>This section and section 124GM do not limit or otherwise affect any right a person may have to appeal against a disqualification order.</w:t>
      </w:r>
    </w:p>
    <w:p>
      <w:pPr>
        <w:pStyle w:val="Footnotesection"/>
      </w:pPr>
      <w:r>
        <w:tab/>
        <w:t>[Section 124GN inserted: No. 31 of 2023 s. 23(3).]</w:t>
      </w:r>
    </w:p>
    <w:p>
      <w:pPr>
        <w:pStyle w:val="Heading5"/>
      </w:pPr>
      <w:bookmarkStart w:id="429" w:name="_Toc153284677"/>
      <w:bookmarkStart w:id="430" w:name="_Toc153887632"/>
      <w:r>
        <w:rPr>
          <w:rStyle w:val="CharSectno"/>
        </w:rPr>
        <w:t>124GO</w:t>
      </w:r>
      <w:r>
        <w:t>.</w:t>
      </w:r>
      <w:r>
        <w:tab/>
        <w:t>Notifying chief executive officer of disqualification order</w:t>
      </w:r>
      <w:bookmarkEnd w:id="429"/>
      <w:bookmarkEnd w:id="430"/>
    </w:p>
    <w:p>
      <w:pPr>
        <w:pStyle w:val="Subsection"/>
      </w:pPr>
      <w:r>
        <w:tab/>
      </w:r>
      <w:r>
        <w:tab/>
        <w:t xml:space="preserve">A court ordering that the disqualification of a person be removed must ensure that the following information is given to the chief executive officer — </w:t>
      </w:r>
    </w:p>
    <w:p>
      <w:pPr>
        <w:pStyle w:val="Indenta"/>
      </w:pPr>
      <w:r>
        <w:tab/>
        <w:t>(a)</w:t>
      </w:r>
      <w:r>
        <w:tab/>
        <w:t xml:space="preserve">details of the order; </w:t>
      </w:r>
    </w:p>
    <w:p>
      <w:pPr>
        <w:pStyle w:val="Indenta"/>
      </w:pPr>
      <w:r>
        <w:tab/>
        <w:t>(b)</w:t>
      </w:r>
      <w:r>
        <w:tab/>
        <w:t xml:space="preserve">details of the disqualification; </w:t>
      </w:r>
    </w:p>
    <w:p>
      <w:pPr>
        <w:pStyle w:val="Indenta"/>
      </w:pPr>
      <w:r>
        <w:tab/>
        <w:t>(c)</w:t>
      </w:r>
      <w:r>
        <w:tab/>
        <w:t>any other information prescribed for this section.</w:t>
      </w:r>
    </w:p>
    <w:p>
      <w:pPr>
        <w:pStyle w:val="Footnotesection"/>
      </w:pPr>
      <w:r>
        <w:lastRenderedPageBreak/>
        <w:tab/>
        <w:t>[Section 124GO inserted: No. 31 of 2023 s. 23(3).]</w:t>
      </w:r>
    </w:p>
    <w:p>
      <w:pPr>
        <w:pStyle w:val="Heading3"/>
      </w:pPr>
      <w:bookmarkStart w:id="431" w:name="_Toc153284196"/>
      <w:bookmarkStart w:id="432" w:name="_Toc153284437"/>
      <w:bookmarkStart w:id="433" w:name="_Toc153284678"/>
      <w:bookmarkStart w:id="434" w:name="_Toc153544882"/>
      <w:bookmarkStart w:id="435" w:name="_Toc153796485"/>
      <w:bookmarkStart w:id="436" w:name="_Toc153887633"/>
      <w:r>
        <w:rPr>
          <w:rStyle w:val="CharDivNo"/>
        </w:rPr>
        <w:t>Division 4</w:t>
      </w:r>
      <w:r>
        <w:t> — </w:t>
      </w:r>
      <w:r>
        <w:rPr>
          <w:rStyle w:val="CharDivText"/>
        </w:rPr>
        <w:t>Effect of disqualifications and other matters</w:t>
      </w:r>
      <w:bookmarkEnd w:id="431"/>
      <w:bookmarkEnd w:id="432"/>
      <w:bookmarkEnd w:id="433"/>
      <w:bookmarkEnd w:id="434"/>
      <w:bookmarkEnd w:id="435"/>
      <w:bookmarkEnd w:id="436"/>
    </w:p>
    <w:p>
      <w:pPr>
        <w:pStyle w:val="Footnoteheading"/>
      </w:pPr>
      <w:bookmarkStart w:id="437" w:name="_Toc153284679"/>
      <w:r>
        <w:tab/>
        <w:t>[Heading inserted: No. 31 of 2023 s. 23(3).]</w:t>
      </w:r>
    </w:p>
    <w:p>
      <w:pPr>
        <w:pStyle w:val="Heading5"/>
      </w:pPr>
      <w:bookmarkStart w:id="438" w:name="_Toc153887634"/>
      <w:r>
        <w:rPr>
          <w:rStyle w:val="CharSectno"/>
        </w:rPr>
        <w:t>124GP</w:t>
      </w:r>
      <w:r>
        <w:t>.</w:t>
      </w:r>
      <w:r>
        <w:tab/>
        <w:t>Effect of disqualification</w:t>
      </w:r>
      <w:bookmarkEnd w:id="437"/>
      <w:bookmarkEnd w:id="438"/>
    </w:p>
    <w:p>
      <w:pPr>
        <w:pStyle w:val="Subsection"/>
      </w:pPr>
      <w:r>
        <w:tab/>
        <w:t>(1)</w:t>
      </w:r>
      <w:r>
        <w:tab/>
        <w:t>A WA marine qualification held by a person is suspended while the person is disqualified.</w:t>
      </w:r>
    </w:p>
    <w:p>
      <w:pPr>
        <w:pStyle w:val="Subsection"/>
      </w:pPr>
      <w:r>
        <w:tab/>
        <w:t>(2)</w:t>
      </w:r>
      <w:r>
        <w:tab/>
        <w:t>A WA marine qualification obtained by a person while the person is disqualified has no effect.</w:t>
      </w:r>
    </w:p>
    <w:p>
      <w:pPr>
        <w:pStyle w:val="Subsection"/>
      </w:pPr>
      <w:r>
        <w:tab/>
        <w:t>(3)</w:t>
      </w:r>
      <w:r>
        <w:tab/>
        <w:t>Subsection (2) applies whether or not the person applied for the WA marine qualification before becoming disqualified.</w:t>
      </w:r>
    </w:p>
    <w:p>
      <w:pPr>
        <w:pStyle w:val="Subsection"/>
      </w:pPr>
      <w:r>
        <w:tab/>
        <w:t>(4)</w:t>
      </w:r>
      <w:r>
        <w:tab/>
        <w:t xml:space="preserve">This section — </w:t>
      </w:r>
    </w:p>
    <w:p>
      <w:pPr>
        <w:pStyle w:val="Indenta"/>
      </w:pPr>
      <w:r>
        <w:tab/>
        <w:t>(a)</w:t>
      </w:r>
      <w:r>
        <w:tab/>
        <w:t>does not operate to extend the period for which a WA marine qualification may be valid or effective beyond the time it would otherwise expire; and</w:t>
      </w:r>
    </w:p>
    <w:p>
      <w:pPr>
        <w:pStyle w:val="Indenta"/>
      </w:pPr>
      <w:r>
        <w:tab/>
        <w:t>(b)</w:t>
      </w:r>
      <w:r>
        <w:tab/>
        <w:t>does not affect the cancellation of a WA marine qualification under regulations referred to in section 124GQ(a).</w:t>
      </w:r>
    </w:p>
    <w:p>
      <w:pPr>
        <w:pStyle w:val="Footnotesection"/>
      </w:pPr>
      <w:r>
        <w:tab/>
        <w:t>[Section 124GP inserted: No. 31 of 2023 s. 23(3).]</w:t>
      </w:r>
    </w:p>
    <w:p>
      <w:pPr>
        <w:pStyle w:val="Heading5"/>
      </w:pPr>
      <w:bookmarkStart w:id="439" w:name="_Toc153284680"/>
      <w:bookmarkStart w:id="440" w:name="_Toc153887635"/>
      <w:r>
        <w:rPr>
          <w:rStyle w:val="CharSectno"/>
        </w:rPr>
        <w:t>124GQ</w:t>
      </w:r>
      <w:r>
        <w:t>.</w:t>
      </w:r>
      <w:r>
        <w:tab/>
        <w:t>Other effects of disqualification</w:t>
      </w:r>
      <w:bookmarkEnd w:id="439"/>
      <w:bookmarkEnd w:id="440"/>
      <w:r>
        <w:t xml:space="preserve"> </w:t>
      </w:r>
    </w:p>
    <w:p>
      <w:pPr>
        <w:pStyle w:val="Subsection"/>
      </w:pPr>
      <w:r>
        <w:tab/>
      </w:r>
      <w:r>
        <w:tab/>
        <w:t xml:space="preserve">The regulations may provide — </w:t>
      </w:r>
    </w:p>
    <w:p>
      <w:pPr>
        <w:pStyle w:val="Indenta"/>
      </w:pPr>
      <w:r>
        <w:tab/>
        <w:t>(a)</w:t>
      </w:r>
      <w:r>
        <w:tab/>
        <w:t>for the circumstances in which a WA marine qualification held by a person who is disqualified under a disqualification order may be cancelled; and</w:t>
      </w:r>
    </w:p>
    <w:p>
      <w:pPr>
        <w:pStyle w:val="Indenta"/>
      </w:pPr>
      <w:r>
        <w:tab/>
        <w:t>(b)</w:t>
      </w:r>
      <w:r>
        <w:tab/>
        <w:t xml:space="preserve">if a person is disqualified from holding or obtaining a marine qualification under the law of another Australian jurisdiction or an overseas jurisdiction, that — </w:t>
      </w:r>
    </w:p>
    <w:p>
      <w:pPr>
        <w:pStyle w:val="Indenti"/>
      </w:pPr>
      <w:r>
        <w:tab/>
        <w:t>(i)</w:t>
      </w:r>
      <w:r>
        <w:tab/>
        <w:t>a WA marine qualification held by the person is suspended while the disqualification is in effect or may be cancelled; or</w:t>
      </w:r>
    </w:p>
    <w:p>
      <w:pPr>
        <w:pStyle w:val="Indenti"/>
      </w:pPr>
      <w:r>
        <w:lastRenderedPageBreak/>
        <w:tab/>
        <w:t>(ii)</w:t>
      </w:r>
      <w:r>
        <w:tab/>
        <w:t>the person cannot obtain a WA marine qualification.</w:t>
      </w:r>
    </w:p>
    <w:p>
      <w:pPr>
        <w:pStyle w:val="Footnotesection"/>
      </w:pPr>
      <w:r>
        <w:tab/>
        <w:t>[Section 124GQ inserted: No. 31 of 2023 s. 23(3).]</w:t>
      </w:r>
    </w:p>
    <w:p>
      <w:pPr>
        <w:pStyle w:val="Heading5"/>
      </w:pPr>
      <w:bookmarkStart w:id="441" w:name="_Toc153284681"/>
      <w:bookmarkStart w:id="442" w:name="_Toc153887636"/>
      <w:r>
        <w:rPr>
          <w:rStyle w:val="CharSectno"/>
        </w:rPr>
        <w:t>124GR</w:t>
      </w:r>
      <w:r>
        <w:t>.</w:t>
      </w:r>
      <w:r>
        <w:tab/>
        <w:t>Calculating period of disqualification</w:t>
      </w:r>
      <w:bookmarkEnd w:id="441"/>
      <w:bookmarkEnd w:id="442"/>
    </w:p>
    <w:p>
      <w:pPr>
        <w:pStyle w:val="Subsection"/>
      </w:pPr>
      <w:r>
        <w:tab/>
      </w:r>
      <w:r>
        <w:tab/>
        <w:t xml:space="preserve">Any of the following periods do not count towards a period of disqualification for a person — </w:t>
      </w:r>
    </w:p>
    <w:p>
      <w:pPr>
        <w:pStyle w:val="Indenta"/>
      </w:pPr>
      <w:r>
        <w:tab/>
        <w:t>(a)</w:t>
      </w:r>
      <w:r>
        <w:tab/>
        <w:t>a period during which the person is in custody serving a sentence of imprisonment;</w:t>
      </w:r>
    </w:p>
    <w:p>
      <w:pPr>
        <w:pStyle w:val="Indenta"/>
      </w:pPr>
      <w:r>
        <w:tab/>
        <w:t>(b)</w:t>
      </w:r>
      <w:r>
        <w:tab/>
        <w:t>if the person appeals against the conviction or sentence that gave rise to the disqualification — the period starting when the person commences the appeal and ending when the appeal is decided, dismissed or withdrawn.</w:t>
      </w:r>
    </w:p>
    <w:p>
      <w:pPr>
        <w:pStyle w:val="Footnotesection"/>
      </w:pPr>
      <w:r>
        <w:tab/>
        <w:t>[Section 124GR inserted: No. 31 of 2023 s. 23(3).]</w:t>
      </w:r>
    </w:p>
    <w:p>
      <w:pPr>
        <w:pStyle w:val="Heading5"/>
      </w:pPr>
      <w:bookmarkStart w:id="443" w:name="_Toc153284682"/>
      <w:bookmarkStart w:id="444" w:name="_Toc153887637"/>
      <w:r>
        <w:rPr>
          <w:rStyle w:val="CharSectno"/>
        </w:rPr>
        <w:t>124GS</w:t>
      </w:r>
      <w:r>
        <w:t>.</w:t>
      </w:r>
      <w:r>
        <w:tab/>
        <w:t>Navigating certain vessels when disqualified from holding or obtaining WA marine qualification</w:t>
      </w:r>
      <w:bookmarkEnd w:id="443"/>
      <w:bookmarkEnd w:id="444"/>
    </w:p>
    <w:p>
      <w:pPr>
        <w:pStyle w:val="Subsection"/>
      </w:pPr>
      <w:r>
        <w:tab/>
        <w:t>(1)</w:t>
      </w:r>
      <w:r>
        <w:tab/>
        <w:t xml:space="preserve">In this section — </w:t>
      </w:r>
    </w:p>
    <w:p>
      <w:pPr>
        <w:pStyle w:val="Defstart"/>
      </w:pPr>
      <w:r>
        <w:tab/>
      </w:r>
      <w:r>
        <w:rPr>
          <w:rStyle w:val="CharDefText"/>
        </w:rPr>
        <w:t>navigate</w:t>
      </w:r>
      <w:r>
        <w:t>, a vessel, has the meaning given in section 75AA(2);</w:t>
      </w:r>
    </w:p>
    <w:p>
      <w:pPr>
        <w:pStyle w:val="Defstart"/>
      </w:pPr>
      <w:r>
        <w:tab/>
      </w:r>
      <w:r>
        <w:rPr>
          <w:rStyle w:val="CharDefText"/>
        </w:rPr>
        <w:t>relevant vessel</w:t>
      </w:r>
      <w:r>
        <w:t xml:space="preserve"> means a vessel for which a WA marine qualification is required to navigate it under this Act.</w:t>
      </w:r>
    </w:p>
    <w:p>
      <w:pPr>
        <w:pStyle w:val="Subsection"/>
      </w:pPr>
      <w:r>
        <w:tab/>
        <w:t>(2)</w:t>
      </w:r>
      <w:r>
        <w:tab/>
        <w:t>A person commits an offence if the person navigates a relevant vessel while the person is disqualified.</w:t>
      </w:r>
    </w:p>
    <w:p>
      <w:pPr>
        <w:pStyle w:val="Penstart"/>
      </w:pPr>
      <w:r>
        <w:tab/>
        <w:t>Penalty for this subsection:</w:t>
      </w:r>
    </w:p>
    <w:p>
      <w:pPr>
        <w:pStyle w:val="Penpara"/>
      </w:pPr>
      <w:r>
        <w:tab/>
        <w:t>(a)</w:t>
      </w:r>
      <w:r>
        <w:tab/>
        <w:t>for a first offence, imprisonment for 12 months or a fine of not less than $400 or more than $2 000;</w:t>
      </w:r>
    </w:p>
    <w:p>
      <w:pPr>
        <w:pStyle w:val="Penpara"/>
      </w:pPr>
      <w:r>
        <w:tab/>
        <w:t>(b)</w:t>
      </w:r>
      <w:r>
        <w:tab/>
        <w:t>for a second or subsequent offence, imprisonment for 18 months or a fine of not less than $1 000 or not more than $4 000.</w:t>
      </w:r>
    </w:p>
    <w:p>
      <w:pPr>
        <w:pStyle w:val="Subsection"/>
      </w:pPr>
      <w:r>
        <w:tab/>
        <w:t>(3)</w:t>
      </w:r>
      <w:r>
        <w:tab/>
        <w:t xml:space="preserve">A court sentencing a person for an offence against subsection (2) must order that the person is disqualified from </w:t>
      </w:r>
      <w:r>
        <w:lastRenderedPageBreak/>
        <w:t>holding or obtaining a WA marine qualification for a period of not less than 3 months or more than 9 months.</w:t>
      </w:r>
    </w:p>
    <w:p>
      <w:pPr>
        <w:pStyle w:val="Subsection"/>
      </w:pPr>
      <w:r>
        <w:tab/>
        <w:t>(4)</w:t>
      </w:r>
      <w:r>
        <w:tab/>
        <w:t>A period of disqualification ordered under subsection (3) is cumulative upon —</w:t>
      </w:r>
    </w:p>
    <w:p>
      <w:pPr>
        <w:pStyle w:val="Indenta"/>
      </w:pPr>
      <w:r>
        <w:tab/>
        <w:t>(a)</w:t>
      </w:r>
      <w:r>
        <w:tab/>
        <w:t>another period for which the person is disqualified; or</w:t>
      </w:r>
    </w:p>
    <w:p>
      <w:pPr>
        <w:pStyle w:val="Indenta"/>
      </w:pPr>
      <w:r>
        <w:tab/>
        <w:t>(b)</w:t>
      </w:r>
      <w:r>
        <w:tab/>
        <w:t>if a WA marine qualification held by the person is suspended when the order is made — the period of suspension.</w:t>
      </w:r>
    </w:p>
    <w:p>
      <w:pPr>
        <w:pStyle w:val="Subsection"/>
      </w:pPr>
      <w:r>
        <w:tab/>
        <w:t>(5)</w:t>
      </w:r>
      <w:r>
        <w:tab/>
        <w:t xml:space="preserve">It is a defence to a charge of an offence against subsection (2) for the person charged to prove that the person — </w:t>
      </w:r>
    </w:p>
    <w:p>
      <w:pPr>
        <w:pStyle w:val="Indenta"/>
      </w:pPr>
      <w:r>
        <w:tab/>
        <w:t>(a)</w:t>
      </w:r>
      <w:r>
        <w:tab/>
        <w:t xml:space="preserve">held an exemption issued by the chief executive officer under this Act from holding a WA marine qualification; and </w:t>
      </w:r>
    </w:p>
    <w:p>
      <w:pPr>
        <w:pStyle w:val="Indenta"/>
      </w:pPr>
      <w:r>
        <w:tab/>
        <w:t>(b)</w:t>
      </w:r>
      <w:r>
        <w:tab/>
        <w:t xml:space="preserve">was navigating the vessel in accordance with the exemption at the time the alleged offence was committed. </w:t>
      </w:r>
    </w:p>
    <w:p>
      <w:pPr>
        <w:pStyle w:val="Subsection"/>
      </w:pPr>
      <w:r>
        <w:tab/>
        <w:t>(6)</w:t>
      </w:r>
      <w:r>
        <w:tab/>
        <w:t>A police officer may arrest a person for an offence against subsection (2) without a warrant.</w:t>
      </w:r>
    </w:p>
    <w:p>
      <w:pPr>
        <w:pStyle w:val="Footnotesection"/>
      </w:pPr>
      <w:r>
        <w:tab/>
        <w:t>[Section 124GS inserted: No. 31 of 2023 s. 23(3).]</w:t>
      </w:r>
    </w:p>
    <w:p>
      <w:pPr>
        <w:pStyle w:val="Heading2"/>
      </w:pPr>
      <w:bookmarkStart w:id="445" w:name="_Toc153377358"/>
      <w:bookmarkStart w:id="446" w:name="_Toc153544887"/>
      <w:bookmarkStart w:id="447" w:name="_Toc153796490"/>
      <w:bookmarkStart w:id="448" w:name="_Toc153887638"/>
      <w:r>
        <w:rPr>
          <w:rStyle w:val="CharPartNo"/>
        </w:rPr>
        <w:lastRenderedPageBreak/>
        <w:t>Part 9</w:t>
      </w:r>
      <w:r>
        <w:rPr>
          <w:szCs w:val="30"/>
        </w:rPr>
        <w:t> —</w:t>
      </w:r>
      <w:r>
        <w:rPr>
          <w:rStyle w:val="CharPartText"/>
        </w:rPr>
        <w:t> Legal proceedings</w:t>
      </w:r>
      <w:bookmarkEnd w:id="445"/>
      <w:bookmarkEnd w:id="446"/>
      <w:bookmarkEnd w:id="447"/>
      <w:bookmarkEnd w:id="448"/>
    </w:p>
    <w:p>
      <w:pPr>
        <w:pStyle w:val="Footnoteheading"/>
      </w:pPr>
      <w:bookmarkStart w:id="449" w:name="_Toc153284229"/>
      <w:bookmarkStart w:id="450" w:name="_Toc153284470"/>
      <w:bookmarkStart w:id="451" w:name="_Toc153284711"/>
      <w:r>
        <w:tab/>
        <w:t>[Heading amended: No. 24 of 2023 s. 87.]</w:t>
      </w:r>
    </w:p>
    <w:p>
      <w:pPr>
        <w:pStyle w:val="Heading3"/>
      </w:pPr>
      <w:bookmarkStart w:id="452" w:name="_Toc153544888"/>
      <w:bookmarkStart w:id="453" w:name="_Toc153796491"/>
      <w:bookmarkStart w:id="454" w:name="_Toc153887639"/>
      <w:r>
        <w:rPr>
          <w:rStyle w:val="CharDivNo"/>
        </w:rPr>
        <w:t>Division 2</w:t>
      </w:r>
      <w:r>
        <w:t> — </w:t>
      </w:r>
      <w:r>
        <w:rPr>
          <w:rStyle w:val="CharDivText"/>
        </w:rPr>
        <w:t>Provisions relating to sentencing for dangerous navigation and alcohol and drug related offences</w:t>
      </w:r>
      <w:bookmarkEnd w:id="449"/>
      <w:bookmarkEnd w:id="450"/>
      <w:bookmarkEnd w:id="451"/>
      <w:bookmarkEnd w:id="452"/>
      <w:bookmarkEnd w:id="453"/>
      <w:bookmarkEnd w:id="454"/>
    </w:p>
    <w:p>
      <w:pPr>
        <w:pStyle w:val="Footnoteheading"/>
      </w:pPr>
      <w:bookmarkStart w:id="455" w:name="_Toc153284712"/>
      <w:r>
        <w:tab/>
        <w:t>[Heading inserted: No. 31 of 2023 s. 24(2).]</w:t>
      </w:r>
    </w:p>
    <w:p>
      <w:pPr>
        <w:pStyle w:val="Heading5"/>
      </w:pPr>
      <w:bookmarkStart w:id="456" w:name="_Toc153887640"/>
      <w:r>
        <w:rPr>
          <w:rStyle w:val="CharSectno"/>
        </w:rPr>
        <w:t>124I</w:t>
      </w:r>
      <w:r>
        <w:t>.</w:t>
      </w:r>
      <w:r>
        <w:tab/>
        <w:t>Term used: young person</w:t>
      </w:r>
      <w:bookmarkEnd w:id="455"/>
      <w:bookmarkEnd w:id="456"/>
    </w:p>
    <w:p>
      <w:pPr>
        <w:pStyle w:val="Subsection"/>
      </w:pPr>
      <w:r>
        <w:tab/>
      </w:r>
      <w:r>
        <w:tab/>
        <w:t xml:space="preserve">In this Division — </w:t>
      </w:r>
    </w:p>
    <w:p>
      <w:pPr>
        <w:pStyle w:val="Defstart"/>
      </w:pPr>
      <w:r>
        <w:tab/>
      </w:r>
      <w:r>
        <w:rPr>
          <w:rStyle w:val="CharDefText"/>
        </w:rPr>
        <w:t>young person</w:t>
      </w:r>
      <w:r>
        <w:t xml:space="preserve"> has the meaning given in the </w:t>
      </w:r>
      <w:r>
        <w:rPr>
          <w:i/>
        </w:rPr>
        <w:t>Young Offenders Act 1994</w:t>
      </w:r>
      <w:r>
        <w:t xml:space="preserve"> section 3(1).</w:t>
      </w:r>
    </w:p>
    <w:p>
      <w:pPr>
        <w:pStyle w:val="Footnotesection"/>
      </w:pPr>
      <w:r>
        <w:tab/>
        <w:t>[Section 124I inserted: No. 31 of 2023 s. 24(2).]</w:t>
      </w:r>
    </w:p>
    <w:p>
      <w:pPr>
        <w:pStyle w:val="Heading5"/>
      </w:pPr>
      <w:bookmarkStart w:id="457" w:name="_Toc153284713"/>
      <w:bookmarkStart w:id="458" w:name="_Toc153887641"/>
      <w:r>
        <w:rPr>
          <w:rStyle w:val="CharSectno"/>
        </w:rPr>
        <w:t>124IA</w:t>
      </w:r>
      <w:r>
        <w:t>.</w:t>
      </w:r>
      <w:r>
        <w:tab/>
        <w:t>Limitation on period for which previous offences taken into account</w:t>
      </w:r>
      <w:bookmarkEnd w:id="457"/>
      <w:bookmarkEnd w:id="458"/>
    </w:p>
    <w:p>
      <w:pPr>
        <w:pStyle w:val="Subsection"/>
      </w:pPr>
      <w:r>
        <w:tab/>
        <w:t>(1)</w:t>
      </w:r>
      <w:r>
        <w:tab/>
        <w:t>This section applies if a person is convicted of an offence against Part 3A or 3B and the penalty for the offence varies according to whether the person has been previously convicted for another offence.</w:t>
      </w:r>
    </w:p>
    <w:p>
      <w:pPr>
        <w:pStyle w:val="Subsection"/>
      </w:pPr>
      <w:r>
        <w:tab/>
        <w:t>(2)</w:t>
      </w:r>
      <w:r>
        <w:tab/>
        <w:t>If a person’s conviction for a previous offence was recorded more than 20 years before the commission of the offence for which the person is being sentenced, the previous offence must not be taken into account in determining the penalty to be imposed.</w:t>
      </w:r>
    </w:p>
    <w:p>
      <w:pPr>
        <w:pStyle w:val="Footnotesection"/>
      </w:pPr>
      <w:r>
        <w:tab/>
        <w:t>[Section 124IA inserted: No. 31 of 2023 s. 24(2).]</w:t>
      </w:r>
    </w:p>
    <w:p>
      <w:pPr>
        <w:pStyle w:val="Heading5"/>
      </w:pPr>
      <w:bookmarkStart w:id="459" w:name="_Toc153284714"/>
      <w:bookmarkStart w:id="460" w:name="_Toc153887642"/>
      <w:r>
        <w:rPr>
          <w:rStyle w:val="CharSectno"/>
        </w:rPr>
        <w:t>124IB</w:t>
      </w:r>
      <w:r>
        <w:t>.</w:t>
      </w:r>
      <w:r>
        <w:tab/>
        <w:t>Sentencing for particular offences: option for community based order or youth community based order</w:t>
      </w:r>
      <w:bookmarkEnd w:id="459"/>
      <w:bookmarkEnd w:id="460"/>
    </w:p>
    <w:p>
      <w:pPr>
        <w:pStyle w:val="Subsection"/>
      </w:pPr>
      <w:r>
        <w:tab/>
        <w:t>(1)</w:t>
      </w:r>
      <w:r>
        <w:tab/>
        <w:t>This section applies if a court is sentencing a person who has been convicted of —</w:t>
      </w:r>
    </w:p>
    <w:p>
      <w:pPr>
        <w:pStyle w:val="Indenta"/>
      </w:pPr>
      <w:r>
        <w:tab/>
        <w:t>(a)</w:t>
      </w:r>
      <w:r>
        <w:tab/>
        <w:t xml:space="preserve">a first offence against a section mentioned in Table 1; or </w:t>
      </w:r>
    </w:p>
    <w:p>
      <w:pPr>
        <w:pStyle w:val="THeadingNAm"/>
      </w:pPr>
      <w:r>
        <w:lastRenderedPageBreak/>
        <w:t>Table 1 — Offences</w:t>
      </w:r>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257"/>
      </w:tblGrid>
      <w:tr>
        <w:trPr>
          <w:tblHeader/>
        </w:trPr>
        <w:tc>
          <w:tcPr>
            <w:tcW w:w="1413" w:type="dxa"/>
            <w:noWrap/>
          </w:tcPr>
          <w:p>
            <w:pPr>
              <w:pStyle w:val="TableNAm"/>
              <w:jc w:val="center"/>
              <w:rPr>
                <w:b/>
                <w:bCs/>
              </w:rPr>
            </w:pPr>
            <w:r>
              <w:rPr>
                <w:b/>
                <w:bCs/>
              </w:rPr>
              <w:t>Section no.</w:t>
            </w:r>
          </w:p>
        </w:tc>
        <w:tc>
          <w:tcPr>
            <w:tcW w:w="4257" w:type="dxa"/>
            <w:noWrap/>
          </w:tcPr>
          <w:p>
            <w:pPr>
              <w:pStyle w:val="TableNAm"/>
              <w:jc w:val="center"/>
              <w:rPr>
                <w:b/>
                <w:bCs/>
              </w:rPr>
            </w:pPr>
            <w:r>
              <w:rPr>
                <w:b/>
                <w:bCs/>
              </w:rPr>
              <w:t>Section heading</w:t>
            </w:r>
          </w:p>
        </w:tc>
      </w:tr>
      <w:tr>
        <w:tc>
          <w:tcPr>
            <w:tcW w:w="1413" w:type="dxa"/>
            <w:noWrap/>
          </w:tcPr>
          <w:p>
            <w:pPr>
              <w:pStyle w:val="TableNAm"/>
            </w:pPr>
            <w:r>
              <w:t>s. 75C(1)</w:t>
            </w:r>
          </w:p>
        </w:tc>
        <w:tc>
          <w:tcPr>
            <w:tcW w:w="4257" w:type="dxa"/>
            <w:noWrap/>
          </w:tcPr>
          <w:p>
            <w:pPr>
              <w:pStyle w:val="TableNAm"/>
            </w:pPr>
            <w:r>
              <w:t>Navigation of vessel while under influence of alcohol or drugs</w:t>
            </w:r>
          </w:p>
        </w:tc>
      </w:tr>
      <w:tr>
        <w:tc>
          <w:tcPr>
            <w:tcW w:w="1413" w:type="dxa"/>
            <w:noWrap/>
          </w:tcPr>
          <w:p>
            <w:pPr>
              <w:pStyle w:val="TableNAm"/>
            </w:pPr>
            <w:r>
              <w:t>s. 75CA(1)</w:t>
            </w:r>
          </w:p>
        </w:tc>
        <w:tc>
          <w:tcPr>
            <w:tcW w:w="4257" w:type="dxa"/>
            <w:noWrap/>
          </w:tcPr>
          <w:p>
            <w:pPr>
              <w:pStyle w:val="TableNAm"/>
            </w:pPr>
            <w:r>
              <w:t>Navigation of vessel while under influence of both alcohol and drugs</w:t>
            </w:r>
          </w:p>
        </w:tc>
      </w:tr>
      <w:tr>
        <w:tc>
          <w:tcPr>
            <w:tcW w:w="1413" w:type="dxa"/>
            <w:noWrap/>
          </w:tcPr>
          <w:p>
            <w:pPr>
              <w:pStyle w:val="TableNAm"/>
            </w:pPr>
            <w:r>
              <w:t>s. 75HB(1)</w:t>
            </w:r>
          </w:p>
        </w:tc>
        <w:tc>
          <w:tcPr>
            <w:tcW w:w="4257" w:type="dxa"/>
            <w:noWrap/>
          </w:tcPr>
          <w:p>
            <w:pPr>
              <w:pStyle w:val="TableNAm"/>
            </w:pPr>
            <w:r>
              <w:t>Failure to comply with requirement: breath analysis, blood sample or stop vessel or navigate to specified place</w:t>
            </w:r>
          </w:p>
        </w:tc>
      </w:tr>
      <w:tr>
        <w:tc>
          <w:tcPr>
            <w:tcW w:w="1413" w:type="dxa"/>
            <w:noWrap/>
          </w:tcPr>
          <w:p>
            <w:pPr>
              <w:pStyle w:val="TableNAm"/>
            </w:pPr>
            <w:r>
              <w:t>s. 75HC(1)</w:t>
            </w:r>
          </w:p>
        </w:tc>
        <w:tc>
          <w:tcPr>
            <w:tcW w:w="4257" w:type="dxa"/>
            <w:noWrap/>
          </w:tcPr>
          <w:p>
            <w:pPr>
              <w:pStyle w:val="TableNAm"/>
            </w:pPr>
            <w:r>
              <w:t>Failure to comply with requirement: incident occasioning death, grievous bodily harm or bodily harm</w:t>
            </w:r>
          </w:p>
        </w:tc>
      </w:tr>
      <w:tr>
        <w:tc>
          <w:tcPr>
            <w:tcW w:w="1413" w:type="dxa"/>
            <w:noWrap/>
          </w:tcPr>
          <w:p>
            <w:pPr>
              <w:pStyle w:val="TableNAm"/>
            </w:pPr>
            <w:r>
              <w:t>s. 75HI(1)</w:t>
            </w:r>
          </w:p>
        </w:tc>
        <w:tc>
          <w:tcPr>
            <w:tcW w:w="4257" w:type="dxa"/>
            <w:noWrap/>
          </w:tcPr>
          <w:p>
            <w:pPr>
              <w:pStyle w:val="TableNAm"/>
            </w:pPr>
            <w:r>
              <w:t>Failure to comply with drug testing requirement: BAC of 0.15 or above</w:t>
            </w:r>
          </w:p>
        </w:tc>
      </w:tr>
    </w:tbl>
    <w:p>
      <w:pPr>
        <w:pStyle w:val="Indenta"/>
      </w:pPr>
      <w:r>
        <w:tab/>
        <w:t>(b)</w:t>
      </w:r>
      <w:r>
        <w:tab/>
        <w:t>any offence against a section mentioned in Table 2.</w:t>
      </w:r>
    </w:p>
    <w:p>
      <w:pPr>
        <w:pStyle w:val="THeadingNAm"/>
      </w:pPr>
      <w:r>
        <w:t>Table 2 — Offences</w:t>
      </w:r>
    </w:p>
    <w:tbl>
      <w:tblPr>
        <w:tblW w:w="581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399"/>
      </w:tblGrid>
      <w:tr>
        <w:trPr>
          <w:cantSplit/>
          <w:tblHeader/>
        </w:trPr>
        <w:tc>
          <w:tcPr>
            <w:tcW w:w="1413" w:type="dxa"/>
            <w:noWrap/>
          </w:tcPr>
          <w:p>
            <w:pPr>
              <w:pStyle w:val="TableNAm"/>
              <w:jc w:val="center"/>
              <w:rPr>
                <w:b/>
                <w:bCs/>
              </w:rPr>
            </w:pPr>
            <w:r>
              <w:rPr>
                <w:b/>
                <w:bCs/>
              </w:rPr>
              <w:t>Section no.</w:t>
            </w:r>
          </w:p>
        </w:tc>
        <w:tc>
          <w:tcPr>
            <w:tcW w:w="4399" w:type="dxa"/>
            <w:noWrap/>
          </w:tcPr>
          <w:p>
            <w:pPr>
              <w:pStyle w:val="TableNAm"/>
              <w:jc w:val="center"/>
              <w:rPr>
                <w:b/>
                <w:bCs/>
              </w:rPr>
            </w:pPr>
            <w:r>
              <w:rPr>
                <w:b/>
                <w:bCs/>
              </w:rPr>
              <w:t>Section heading</w:t>
            </w:r>
          </w:p>
        </w:tc>
      </w:tr>
      <w:tr>
        <w:trPr>
          <w:cantSplit/>
        </w:trPr>
        <w:tc>
          <w:tcPr>
            <w:tcW w:w="1413" w:type="dxa"/>
            <w:noWrap/>
          </w:tcPr>
          <w:p>
            <w:pPr>
              <w:pStyle w:val="TableNAm"/>
            </w:pPr>
            <w:r>
              <w:t>s. 75DA(1)</w:t>
            </w:r>
          </w:p>
        </w:tc>
        <w:tc>
          <w:tcPr>
            <w:tcW w:w="4399" w:type="dxa"/>
            <w:noWrap/>
          </w:tcPr>
          <w:p>
            <w:pPr>
              <w:pStyle w:val="TableNAm"/>
            </w:pPr>
            <w:r>
              <w:t>Navigation of vessel while BAC is 0.08 or above</w:t>
            </w:r>
          </w:p>
        </w:tc>
      </w:tr>
      <w:tr>
        <w:trPr>
          <w:cantSplit/>
        </w:trPr>
        <w:tc>
          <w:tcPr>
            <w:tcW w:w="1413" w:type="dxa"/>
            <w:noWrap/>
          </w:tcPr>
          <w:p>
            <w:pPr>
              <w:pStyle w:val="TableNAm"/>
            </w:pPr>
            <w:r>
              <w:t>s. 75DD(1)</w:t>
            </w:r>
          </w:p>
        </w:tc>
        <w:tc>
          <w:tcPr>
            <w:tcW w:w="4399" w:type="dxa"/>
            <w:noWrap/>
          </w:tcPr>
          <w:p>
            <w:pPr>
              <w:pStyle w:val="TableNAm"/>
            </w:pPr>
            <w:r>
              <w:t>Navigation of vessel while BAC is 0.08 or above and prescribed illicit drug present</w:t>
            </w:r>
          </w:p>
        </w:tc>
      </w:tr>
      <w:tr>
        <w:trPr>
          <w:cantSplit/>
        </w:trPr>
        <w:tc>
          <w:tcPr>
            <w:tcW w:w="1413" w:type="dxa"/>
            <w:noWrap/>
          </w:tcPr>
          <w:p>
            <w:pPr>
              <w:pStyle w:val="TableNAm"/>
            </w:pPr>
            <w:r>
              <w:t>s. 75H(1)</w:t>
            </w:r>
          </w:p>
        </w:tc>
        <w:tc>
          <w:tcPr>
            <w:tcW w:w="4399" w:type="dxa"/>
            <w:noWrap/>
          </w:tcPr>
          <w:p>
            <w:pPr>
              <w:pStyle w:val="TableNAm"/>
            </w:pPr>
            <w:r>
              <w:t>Failure to comply with requirement: preliminary breath test, preliminary oral fluid test or boarding or moving vessel</w:t>
            </w:r>
          </w:p>
        </w:tc>
      </w:tr>
      <w:tr>
        <w:trPr>
          <w:cantSplit/>
        </w:trPr>
        <w:tc>
          <w:tcPr>
            <w:tcW w:w="1413" w:type="dxa"/>
            <w:noWrap/>
          </w:tcPr>
          <w:p>
            <w:pPr>
              <w:pStyle w:val="TableNAm"/>
            </w:pPr>
            <w:r>
              <w:t>s. 75HH(1)</w:t>
            </w:r>
          </w:p>
        </w:tc>
        <w:tc>
          <w:tcPr>
            <w:tcW w:w="4399" w:type="dxa"/>
            <w:noWrap/>
          </w:tcPr>
          <w:p>
            <w:pPr>
              <w:pStyle w:val="TableNAm"/>
            </w:pPr>
            <w:r>
              <w:t>Failure to comply with drug testing requirement: BAC of 0.08 or above</w:t>
            </w:r>
          </w:p>
        </w:tc>
      </w:tr>
    </w:tbl>
    <w:p>
      <w:pPr>
        <w:pStyle w:val="Subsection"/>
      </w:pPr>
      <w:r>
        <w:lastRenderedPageBreak/>
        <w:tab/>
        <w:t>(2)</w:t>
      </w:r>
      <w:r>
        <w:tab/>
        <w:t xml:space="preserve">The court may, instead of imposing a fine — </w:t>
      </w:r>
    </w:p>
    <w:p>
      <w:pPr>
        <w:pStyle w:val="Indenta"/>
      </w:pPr>
      <w:r>
        <w:tab/>
        <w:t>(a)</w:t>
      </w:r>
      <w:r>
        <w:tab/>
        <w:t xml:space="preserve">order the release of the person; and </w:t>
      </w:r>
    </w:p>
    <w:p>
      <w:pPr>
        <w:pStyle w:val="Indenta"/>
      </w:pPr>
      <w:r>
        <w:tab/>
        <w:t>(b)</w:t>
      </w:r>
      <w:r>
        <w:tab/>
        <w:t xml:space="preserve">impose a community based order under the </w:t>
      </w:r>
      <w:r>
        <w:rPr>
          <w:i/>
        </w:rPr>
        <w:t>Sentencing Act 1995</w:t>
      </w:r>
      <w:r>
        <w:t xml:space="preserve"> with at least a community service requirement as a primary requirement of the order.</w:t>
      </w:r>
    </w:p>
    <w:p>
      <w:pPr>
        <w:pStyle w:val="Subsection"/>
      </w:pPr>
      <w:r>
        <w:tab/>
        <w:t>(3)</w:t>
      </w:r>
      <w:r>
        <w:tab/>
        <w:t xml:space="preserve">If the offender is a young person, the court may, instead of imposing a fine, make a youth community based order under the </w:t>
      </w:r>
      <w:r>
        <w:rPr>
          <w:i/>
        </w:rPr>
        <w:t>Young Offenders Act 1994</w:t>
      </w:r>
      <w:r>
        <w:t>, imposing at least community work conditions on the offender.</w:t>
      </w:r>
    </w:p>
    <w:p>
      <w:pPr>
        <w:pStyle w:val="Subsection"/>
      </w:pPr>
      <w:r>
        <w:tab/>
        <w:t>(4)</w:t>
      </w:r>
      <w:r>
        <w:tab/>
        <w:t xml:space="preserve">Subsection (3) applies subject to sections 50, 50A and 50B of the </w:t>
      </w:r>
      <w:r>
        <w:rPr>
          <w:i/>
        </w:rPr>
        <w:t>Young Offenders Act 1994</w:t>
      </w:r>
      <w:r>
        <w:t>.</w:t>
      </w:r>
    </w:p>
    <w:p>
      <w:pPr>
        <w:pStyle w:val="Footnotesection"/>
      </w:pPr>
      <w:r>
        <w:tab/>
        <w:t>[Section 124IB inserted: No. 31 of 2023 s. 24(2).]</w:t>
      </w:r>
    </w:p>
    <w:p>
      <w:pPr>
        <w:pStyle w:val="Heading5"/>
      </w:pPr>
      <w:bookmarkStart w:id="461" w:name="_Toc153284715"/>
      <w:bookmarkStart w:id="462" w:name="_Toc153887643"/>
      <w:r>
        <w:rPr>
          <w:rStyle w:val="CharSectno"/>
        </w:rPr>
        <w:t>124IC</w:t>
      </w:r>
      <w:r>
        <w:t>.</w:t>
      </w:r>
      <w:r>
        <w:tab/>
        <w:t>Sentencing for particular offences if community based order or intensive supervision order imposed</w:t>
      </w:r>
      <w:bookmarkEnd w:id="461"/>
      <w:bookmarkEnd w:id="462"/>
    </w:p>
    <w:p>
      <w:pPr>
        <w:pStyle w:val="Subsection"/>
      </w:pPr>
      <w:r>
        <w:tab/>
        <w:t>(1)</w:t>
      </w:r>
      <w:r>
        <w:tab/>
        <w:t>This section applies if —</w:t>
      </w:r>
    </w:p>
    <w:p>
      <w:pPr>
        <w:pStyle w:val="Indenta"/>
      </w:pPr>
      <w:r>
        <w:tab/>
        <w:t>(a)</w:t>
      </w:r>
      <w:r>
        <w:tab/>
        <w:t xml:space="preserve">a court is sentencing a person who has been convicted of — </w:t>
      </w:r>
    </w:p>
    <w:p>
      <w:pPr>
        <w:pStyle w:val="Indenti"/>
      </w:pPr>
      <w:r>
        <w:tab/>
        <w:t>(i)</w:t>
      </w:r>
      <w:r>
        <w:tab/>
        <w:t>an offence against section 75HG(1) (Failure to comply with drug testing requirement: BAC of 0.05 or above); or</w:t>
      </w:r>
    </w:p>
    <w:p>
      <w:pPr>
        <w:pStyle w:val="Indenti"/>
      </w:pPr>
      <w:r>
        <w:tab/>
        <w:t>(ii)</w:t>
      </w:r>
      <w:r>
        <w:tab/>
        <w:t>a second or subsequent offence against a section specified in the Table;</w:t>
      </w:r>
    </w:p>
    <w:p>
      <w:pPr>
        <w:pStyle w:val="THeadingNAm"/>
      </w:pPr>
      <w:r>
        <w:t>Table — Offences</w:t>
      </w:r>
    </w:p>
    <w:tbl>
      <w:tblPr>
        <w:tblW w:w="581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399"/>
      </w:tblGrid>
      <w:tr>
        <w:trPr>
          <w:tblHeader/>
        </w:trPr>
        <w:tc>
          <w:tcPr>
            <w:tcW w:w="1413" w:type="dxa"/>
            <w:noWrap/>
          </w:tcPr>
          <w:p>
            <w:pPr>
              <w:pStyle w:val="TableNAm"/>
              <w:jc w:val="center"/>
              <w:rPr>
                <w:b/>
                <w:bCs/>
              </w:rPr>
            </w:pPr>
            <w:r>
              <w:rPr>
                <w:b/>
                <w:bCs/>
              </w:rPr>
              <w:t>Section no.</w:t>
            </w:r>
          </w:p>
        </w:tc>
        <w:tc>
          <w:tcPr>
            <w:tcW w:w="4399" w:type="dxa"/>
            <w:noWrap/>
          </w:tcPr>
          <w:p>
            <w:pPr>
              <w:pStyle w:val="TableNAm"/>
              <w:jc w:val="center"/>
              <w:rPr>
                <w:b/>
                <w:bCs/>
              </w:rPr>
            </w:pPr>
            <w:r>
              <w:rPr>
                <w:b/>
                <w:bCs/>
              </w:rPr>
              <w:t>Section heading</w:t>
            </w:r>
          </w:p>
        </w:tc>
      </w:tr>
      <w:tr>
        <w:tc>
          <w:tcPr>
            <w:tcW w:w="1413" w:type="dxa"/>
            <w:noWrap/>
          </w:tcPr>
          <w:p>
            <w:pPr>
              <w:pStyle w:val="TableNAm"/>
            </w:pPr>
            <w:r>
              <w:t>s. 75C(1)</w:t>
            </w:r>
          </w:p>
        </w:tc>
        <w:tc>
          <w:tcPr>
            <w:tcW w:w="4399" w:type="dxa"/>
            <w:noWrap/>
          </w:tcPr>
          <w:p>
            <w:pPr>
              <w:pStyle w:val="TableNAm"/>
            </w:pPr>
            <w:r>
              <w:t>Navigation of vessel while under influence of alcohol or drugs</w:t>
            </w:r>
          </w:p>
        </w:tc>
      </w:tr>
      <w:tr>
        <w:tc>
          <w:tcPr>
            <w:tcW w:w="1413" w:type="dxa"/>
            <w:noWrap/>
          </w:tcPr>
          <w:p>
            <w:pPr>
              <w:pStyle w:val="TableNAm"/>
            </w:pPr>
            <w:r>
              <w:t>s. 75CA(1)</w:t>
            </w:r>
          </w:p>
        </w:tc>
        <w:tc>
          <w:tcPr>
            <w:tcW w:w="4399" w:type="dxa"/>
            <w:noWrap/>
          </w:tcPr>
          <w:p>
            <w:pPr>
              <w:pStyle w:val="TableNAm"/>
            </w:pPr>
            <w:r>
              <w:t>Navigation of vessel while under influence of both alcohol and drugs</w:t>
            </w:r>
          </w:p>
        </w:tc>
      </w:tr>
      <w:tr>
        <w:tc>
          <w:tcPr>
            <w:tcW w:w="1413" w:type="dxa"/>
            <w:noWrap/>
          </w:tcPr>
          <w:p>
            <w:pPr>
              <w:pStyle w:val="TableNAm"/>
            </w:pPr>
            <w:r>
              <w:lastRenderedPageBreak/>
              <w:t>s. 75HB(1)</w:t>
            </w:r>
          </w:p>
        </w:tc>
        <w:tc>
          <w:tcPr>
            <w:tcW w:w="4399" w:type="dxa"/>
            <w:noWrap/>
          </w:tcPr>
          <w:p>
            <w:pPr>
              <w:pStyle w:val="TableNAm"/>
            </w:pPr>
            <w:r>
              <w:t>Failure to comply with requirement: breath analysis, blood sample or stop vessel or navigate to specified place</w:t>
            </w:r>
          </w:p>
        </w:tc>
      </w:tr>
      <w:tr>
        <w:tc>
          <w:tcPr>
            <w:tcW w:w="1413" w:type="dxa"/>
            <w:noWrap/>
          </w:tcPr>
          <w:p>
            <w:pPr>
              <w:pStyle w:val="TableNAm"/>
            </w:pPr>
            <w:r>
              <w:t>s. 75HC(1)</w:t>
            </w:r>
          </w:p>
        </w:tc>
        <w:tc>
          <w:tcPr>
            <w:tcW w:w="4399" w:type="dxa"/>
            <w:noWrap/>
          </w:tcPr>
          <w:p>
            <w:pPr>
              <w:pStyle w:val="TableNAm"/>
            </w:pPr>
            <w:r>
              <w:t>Failure to comply with requirement: incident occasioning death, grievous bodily harm or bodily harm</w:t>
            </w:r>
          </w:p>
        </w:tc>
      </w:tr>
      <w:tr>
        <w:tc>
          <w:tcPr>
            <w:tcW w:w="1413" w:type="dxa"/>
            <w:noWrap/>
          </w:tcPr>
          <w:p>
            <w:pPr>
              <w:pStyle w:val="TableNAm"/>
            </w:pPr>
            <w:r>
              <w:t>s. 75HI(1)</w:t>
            </w:r>
          </w:p>
        </w:tc>
        <w:tc>
          <w:tcPr>
            <w:tcW w:w="4399" w:type="dxa"/>
            <w:noWrap/>
          </w:tcPr>
          <w:p>
            <w:pPr>
              <w:pStyle w:val="TableNAm"/>
            </w:pPr>
            <w:r>
              <w:t>Failure to comply with drug testing requirement: BAC of 0.15 or above</w:t>
            </w:r>
          </w:p>
        </w:tc>
      </w:tr>
    </w:tbl>
    <w:p>
      <w:pPr>
        <w:pStyle w:val="Indenta"/>
      </w:pPr>
      <w:r>
        <w:tab/>
      </w:r>
      <w:r>
        <w:tab/>
        <w:t>and</w:t>
      </w:r>
    </w:p>
    <w:p>
      <w:pPr>
        <w:pStyle w:val="Indenta"/>
      </w:pPr>
      <w:r>
        <w:tab/>
        <w:t>(b)</w:t>
      </w:r>
      <w:r>
        <w:tab/>
        <w:t>the court orders the release of the offender; and</w:t>
      </w:r>
    </w:p>
    <w:p>
      <w:pPr>
        <w:pStyle w:val="Indenta"/>
      </w:pPr>
      <w:r>
        <w:tab/>
        <w:t>(c)</w:t>
      </w:r>
      <w:r>
        <w:tab/>
        <w:t xml:space="preserve">the court imposes — </w:t>
      </w:r>
    </w:p>
    <w:p>
      <w:pPr>
        <w:pStyle w:val="Indenti"/>
      </w:pPr>
      <w:r>
        <w:tab/>
        <w:t>(i)</w:t>
      </w:r>
      <w:r>
        <w:tab/>
        <w:t xml:space="preserve">a community based order or an intensive supervision order under the </w:t>
      </w:r>
      <w:r>
        <w:rPr>
          <w:i/>
        </w:rPr>
        <w:t>Sentencing Act 1995</w:t>
      </w:r>
      <w:r>
        <w:t>; or</w:t>
      </w:r>
    </w:p>
    <w:p>
      <w:pPr>
        <w:pStyle w:val="Indenti"/>
      </w:pPr>
      <w:r>
        <w:tab/>
        <w:t>(ii)</w:t>
      </w:r>
      <w:r>
        <w:tab/>
        <w:t xml:space="preserve">if the offender is a young person — a youth community based order or an intensive youth supervision order under the </w:t>
      </w:r>
      <w:r>
        <w:rPr>
          <w:i/>
        </w:rPr>
        <w:t>Young Offenders Act 1994</w:t>
      </w:r>
      <w:r>
        <w:t>.</w:t>
      </w:r>
    </w:p>
    <w:p>
      <w:pPr>
        <w:pStyle w:val="Subsection"/>
      </w:pPr>
      <w:r>
        <w:tab/>
        <w:t>(2)</w:t>
      </w:r>
      <w:r>
        <w:tab/>
        <w:t>If the court imposes an order referred to in subsection (1)(c)(i), the court must impose at least a community service requirement as a primary requirement of the community based order or intensive supervision order.</w:t>
      </w:r>
    </w:p>
    <w:p>
      <w:pPr>
        <w:pStyle w:val="Subsection"/>
      </w:pPr>
      <w:r>
        <w:tab/>
        <w:t>(3)</w:t>
      </w:r>
      <w:r>
        <w:tab/>
        <w:t>If the court imposes an order referred to in subsection (1)(c)(ii), the court must impose community work conditions on the offender as part of the youth community based order or intensive youth supervision order.</w:t>
      </w:r>
    </w:p>
    <w:p>
      <w:pPr>
        <w:pStyle w:val="Footnotesection"/>
      </w:pPr>
      <w:r>
        <w:tab/>
        <w:t>[Section 124IC inserted: No. 31 of 2023 s. 24(2).]</w:t>
      </w:r>
    </w:p>
    <w:p>
      <w:pPr>
        <w:pStyle w:val="Heading5"/>
      </w:pPr>
      <w:bookmarkStart w:id="463" w:name="_Toc153284716"/>
      <w:bookmarkStart w:id="464" w:name="_Toc153887644"/>
      <w:r>
        <w:rPr>
          <w:rStyle w:val="CharSectno"/>
        </w:rPr>
        <w:lastRenderedPageBreak/>
        <w:t>124ID</w:t>
      </w:r>
      <w:r>
        <w:t>.</w:t>
      </w:r>
      <w:r>
        <w:tab/>
        <w:t>Pre</w:t>
      </w:r>
      <w:r>
        <w:noBreakHyphen/>
        <w:t>sentence report required for sentencing for navigation while impaired by drugs</w:t>
      </w:r>
      <w:bookmarkEnd w:id="463"/>
      <w:bookmarkEnd w:id="464"/>
      <w:r>
        <w:t xml:space="preserve"> </w:t>
      </w:r>
    </w:p>
    <w:p>
      <w:pPr>
        <w:pStyle w:val="Subsection"/>
      </w:pPr>
      <w:r>
        <w:tab/>
      </w:r>
      <w:r>
        <w:tab/>
        <w:t>A court sentencing a person who has been convicted of an offence against section 75CD(1) (Navigation of vessel while impaired by drugs) must order a pre</w:t>
      </w:r>
      <w:r>
        <w:noBreakHyphen/>
        <w:t xml:space="preserve">sentence report about the offender under the </w:t>
      </w:r>
      <w:r>
        <w:rPr>
          <w:i/>
        </w:rPr>
        <w:t>Sentencing Act 1995</w:t>
      </w:r>
      <w:r>
        <w:t xml:space="preserve"> Part 3 Division 3.</w:t>
      </w:r>
    </w:p>
    <w:p>
      <w:pPr>
        <w:pStyle w:val="Footnotesection"/>
      </w:pPr>
      <w:r>
        <w:tab/>
        <w:t>[Section 124ID inserted: No. 31 of 2023 s. 24(2).]</w:t>
      </w:r>
    </w:p>
    <w:p>
      <w:pPr>
        <w:pStyle w:val="Heading5"/>
      </w:pPr>
      <w:bookmarkStart w:id="465" w:name="_Toc153284717"/>
      <w:bookmarkStart w:id="466" w:name="_Toc153887645"/>
      <w:r>
        <w:rPr>
          <w:rStyle w:val="CharSectno"/>
        </w:rPr>
        <w:t>124IE</w:t>
      </w:r>
      <w:r>
        <w:t>.</w:t>
      </w:r>
      <w:r>
        <w:tab/>
        <w:t>Sentencing for first offence of navigation while impaired by drugs or failure to comply with drug impairment assessment</w:t>
      </w:r>
      <w:bookmarkEnd w:id="465"/>
      <w:bookmarkEnd w:id="466"/>
    </w:p>
    <w:p>
      <w:pPr>
        <w:pStyle w:val="Subsection"/>
      </w:pPr>
      <w:r>
        <w:tab/>
        <w:t>(1)</w:t>
      </w:r>
      <w:r>
        <w:tab/>
        <w:t xml:space="preserve">This section applies if a court is sentencing a person who has been convicted of a first offence against — </w:t>
      </w:r>
    </w:p>
    <w:p>
      <w:pPr>
        <w:pStyle w:val="Indenta"/>
      </w:pPr>
      <w:r>
        <w:tab/>
        <w:t>(a)</w:t>
      </w:r>
      <w:r>
        <w:tab/>
        <w:t xml:space="preserve">section 75CD(1) (Navigation of vessel while impaired by drugs); or </w:t>
      </w:r>
    </w:p>
    <w:p>
      <w:pPr>
        <w:pStyle w:val="Indenta"/>
      </w:pPr>
      <w:r>
        <w:tab/>
        <w:t>(b)</w:t>
      </w:r>
      <w:r>
        <w:tab/>
        <w:t>section 75HE(1) (Failure to comply with requirements relating to assessment of drug impairment).</w:t>
      </w:r>
    </w:p>
    <w:p>
      <w:pPr>
        <w:pStyle w:val="Subsection"/>
      </w:pPr>
      <w:r>
        <w:tab/>
        <w:t>(2)</w:t>
      </w:r>
      <w:r>
        <w:tab/>
        <w:t xml:space="preserve">Despite the </w:t>
      </w:r>
      <w:r>
        <w:rPr>
          <w:i/>
        </w:rPr>
        <w:t>Sentencing Act 1995</w:t>
      </w:r>
      <w:r>
        <w:t xml:space="preserve"> section 39(3) and (4), the court must, instead of or in addition to imposing a fine — </w:t>
      </w:r>
    </w:p>
    <w:p>
      <w:pPr>
        <w:pStyle w:val="Indenta"/>
      </w:pPr>
      <w:r>
        <w:tab/>
        <w:t>(a)</w:t>
      </w:r>
      <w:r>
        <w:tab/>
        <w:t xml:space="preserve">order the release of the person; and </w:t>
      </w:r>
    </w:p>
    <w:p>
      <w:pPr>
        <w:pStyle w:val="Indenta"/>
      </w:pPr>
      <w:r>
        <w:tab/>
        <w:t>(b)</w:t>
      </w:r>
      <w:r>
        <w:tab/>
        <w:t xml:space="preserve">impose a community based order under the </w:t>
      </w:r>
      <w:r>
        <w:rPr>
          <w:i/>
        </w:rPr>
        <w:t>Sentencing Act 1995</w:t>
      </w:r>
      <w:r>
        <w:t xml:space="preserve"> with at least a programme requirement as a primary requirement of the order.</w:t>
      </w:r>
    </w:p>
    <w:p>
      <w:pPr>
        <w:pStyle w:val="Subsection"/>
      </w:pPr>
      <w:r>
        <w:tab/>
        <w:t>(3)</w:t>
      </w:r>
      <w:r>
        <w:tab/>
        <w:t xml:space="preserve">If the offender is a young person, the court must, instead of or in addition to imposing a fine, make a youth community based order under the </w:t>
      </w:r>
      <w:r>
        <w:rPr>
          <w:i/>
        </w:rPr>
        <w:t>Young Offenders Act 1994</w:t>
      </w:r>
      <w:r>
        <w:t>, imposing at least attendance conditions on the offender.</w:t>
      </w:r>
    </w:p>
    <w:p>
      <w:pPr>
        <w:pStyle w:val="Subsection"/>
      </w:pPr>
      <w:r>
        <w:tab/>
        <w:t>(4)</w:t>
      </w:r>
      <w:r>
        <w:tab/>
        <w:t xml:space="preserve">Subsection (3) applies — </w:t>
      </w:r>
    </w:p>
    <w:p>
      <w:pPr>
        <w:pStyle w:val="Indenta"/>
      </w:pPr>
      <w:r>
        <w:tab/>
        <w:t>(a)</w:t>
      </w:r>
      <w:r>
        <w:tab/>
        <w:t xml:space="preserve">subject to sections 50, 50A and 50B of the </w:t>
      </w:r>
      <w:r>
        <w:rPr>
          <w:i/>
        </w:rPr>
        <w:t>Young Offenders Act 1994</w:t>
      </w:r>
      <w:r>
        <w:t>; and</w:t>
      </w:r>
    </w:p>
    <w:p>
      <w:pPr>
        <w:pStyle w:val="Indenta"/>
      </w:pPr>
      <w:r>
        <w:tab/>
        <w:t>(b)</w:t>
      </w:r>
      <w:r>
        <w:tab/>
        <w:t>despite section 74 of that Act.</w:t>
      </w:r>
    </w:p>
    <w:p>
      <w:pPr>
        <w:pStyle w:val="Footnotesection"/>
      </w:pPr>
      <w:r>
        <w:tab/>
        <w:t>[Section 124IE inserted: No. 31 of 2023 s. 24(2).]</w:t>
      </w:r>
    </w:p>
    <w:p>
      <w:pPr>
        <w:pStyle w:val="Heading5"/>
      </w:pPr>
      <w:bookmarkStart w:id="467" w:name="_Toc153284718"/>
      <w:bookmarkStart w:id="468" w:name="_Toc153887646"/>
      <w:r>
        <w:rPr>
          <w:rStyle w:val="CharSectno"/>
        </w:rPr>
        <w:lastRenderedPageBreak/>
        <w:t>124IF</w:t>
      </w:r>
      <w:r>
        <w:t>.</w:t>
      </w:r>
      <w:r>
        <w:tab/>
        <w:t>Sentencing for second or subsequent offence of navigation while impaired by drugs or failure to comply with drug impairment assessment</w:t>
      </w:r>
      <w:bookmarkEnd w:id="467"/>
      <w:bookmarkEnd w:id="468"/>
    </w:p>
    <w:p>
      <w:pPr>
        <w:pStyle w:val="Subsection"/>
      </w:pPr>
      <w:r>
        <w:tab/>
        <w:t>(1)</w:t>
      </w:r>
      <w:r>
        <w:tab/>
        <w:t xml:space="preserve">This section applies if a court is sentencing a person who has been convicted of a second or subsequent offence against — </w:t>
      </w:r>
    </w:p>
    <w:p>
      <w:pPr>
        <w:pStyle w:val="Indenta"/>
      </w:pPr>
      <w:r>
        <w:tab/>
        <w:t>(a)</w:t>
      </w:r>
      <w:r>
        <w:tab/>
        <w:t xml:space="preserve">section 75CD(1) (Navigation of vessel while impaired by drugs); or </w:t>
      </w:r>
    </w:p>
    <w:p>
      <w:pPr>
        <w:pStyle w:val="Indenta"/>
      </w:pPr>
      <w:r>
        <w:tab/>
        <w:t>(b)</w:t>
      </w:r>
      <w:r>
        <w:tab/>
        <w:t>section 75HE(1) (Failure to comply with requirements relating to assessment of drug impairment).</w:t>
      </w:r>
    </w:p>
    <w:p>
      <w:pPr>
        <w:pStyle w:val="Subsection"/>
      </w:pPr>
      <w:r>
        <w:tab/>
        <w:t>(2)</w:t>
      </w:r>
      <w:r>
        <w:tab/>
        <w:t xml:space="preserve">The court must, instead of or in addition to imposing a fine, order the release of the person and impose either of the following under the </w:t>
      </w:r>
      <w:r>
        <w:rPr>
          <w:i/>
        </w:rPr>
        <w:t>Sentencing Act 1995</w:t>
      </w:r>
      <w:r>
        <w:t xml:space="preserve"> — </w:t>
      </w:r>
    </w:p>
    <w:p>
      <w:pPr>
        <w:pStyle w:val="Indenta"/>
      </w:pPr>
      <w:r>
        <w:tab/>
        <w:t>(a)</w:t>
      </w:r>
      <w:r>
        <w:tab/>
        <w:t>a community based order with at least a supervision requirement and a programme requirement as primary requirements of the order; or</w:t>
      </w:r>
    </w:p>
    <w:p>
      <w:pPr>
        <w:pStyle w:val="Indenta"/>
      </w:pPr>
      <w:r>
        <w:tab/>
        <w:t>(b)</w:t>
      </w:r>
      <w:r>
        <w:tab/>
        <w:t>an intensive supervision order with at least a programme requirement as a primary requirement of the order.</w:t>
      </w:r>
    </w:p>
    <w:p>
      <w:pPr>
        <w:pStyle w:val="Subsection"/>
      </w:pPr>
      <w:r>
        <w:tab/>
        <w:t>(3)</w:t>
      </w:r>
      <w:r>
        <w:tab/>
        <w:t xml:space="preserve">Subsection (2) applies despite the </w:t>
      </w:r>
      <w:r>
        <w:rPr>
          <w:i/>
        </w:rPr>
        <w:t>Sentencing Act 1995</w:t>
      </w:r>
      <w:r>
        <w:t xml:space="preserve"> section 39(3) and (4).</w:t>
      </w:r>
    </w:p>
    <w:p>
      <w:pPr>
        <w:pStyle w:val="Subsection"/>
      </w:pPr>
      <w:r>
        <w:tab/>
        <w:t>(4)</w:t>
      </w:r>
      <w:r>
        <w:tab/>
        <w:t xml:space="preserve">If the offender is a young person, the court must, instead of or in addition to imposing a fine — </w:t>
      </w:r>
    </w:p>
    <w:p>
      <w:pPr>
        <w:pStyle w:val="Indenta"/>
      </w:pPr>
      <w:r>
        <w:tab/>
        <w:t>(a)</w:t>
      </w:r>
      <w:r>
        <w:tab/>
        <w:t xml:space="preserve">make a youth community based order or an intensive youth supervision order under the </w:t>
      </w:r>
      <w:r>
        <w:rPr>
          <w:i/>
        </w:rPr>
        <w:t>Young Offenders Act 1994</w:t>
      </w:r>
      <w:r>
        <w:t>; and</w:t>
      </w:r>
    </w:p>
    <w:p>
      <w:pPr>
        <w:pStyle w:val="Indenta"/>
      </w:pPr>
      <w:r>
        <w:tab/>
        <w:t>(b)</w:t>
      </w:r>
      <w:r>
        <w:tab/>
        <w:t>impose at least attendance conditions and supervision conditions on the offender.</w:t>
      </w:r>
    </w:p>
    <w:p>
      <w:pPr>
        <w:pStyle w:val="Subsection"/>
      </w:pPr>
      <w:r>
        <w:tab/>
        <w:t>(5)</w:t>
      </w:r>
      <w:r>
        <w:tab/>
        <w:t xml:space="preserve">Subsection (4) applies — </w:t>
      </w:r>
    </w:p>
    <w:p>
      <w:pPr>
        <w:pStyle w:val="Indenta"/>
      </w:pPr>
      <w:r>
        <w:tab/>
        <w:t>(a)</w:t>
      </w:r>
      <w:r>
        <w:tab/>
        <w:t xml:space="preserve">subject to sections 50, 50A and 50B of the </w:t>
      </w:r>
      <w:r>
        <w:rPr>
          <w:i/>
        </w:rPr>
        <w:t>Young Offenders Act 1994</w:t>
      </w:r>
      <w:r>
        <w:t>; and</w:t>
      </w:r>
    </w:p>
    <w:p>
      <w:pPr>
        <w:pStyle w:val="Indenta"/>
      </w:pPr>
      <w:r>
        <w:tab/>
        <w:t>(b)</w:t>
      </w:r>
      <w:r>
        <w:tab/>
        <w:t>despite section 74 of that Act.</w:t>
      </w:r>
    </w:p>
    <w:p>
      <w:pPr>
        <w:pStyle w:val="Subsection"/>
      </w:pPr>
      <w:r>
        <w:lastRenderedPageBreak/>
        <w:tab/>
        <w:t>(6)</w:t>
      </w:r>
      <w:r>
        <w:tab/>
        <w:t>Subsections (2) and (4) do not apply if the court imposes a custodial sentence on the offender.</w:t>
      </w:r>
    </w:p>
    <w:p>
      <w:pPr>
        <w:pStyle w:val="Footnotesection"/>
      </w:pPr>
      <w:r>
        <w:tab/>
        <w:t>[Section 124IF inserted: No. 31 of 2023 s. 24(2).]</w:t>
      </w:r>
    </w:p>
    <w:p>
      <w:pPr>
        <w:pStyle w:val="Heading5"/>
      </w:pPr>
      <w:bookmarkStart w:id="469" w:name="_Toc153284719"/>
      <w:bookmarkStart w:id="470" w:name="_Toc153887647"/>
      <w:r>
        <w:rPr>
          <w:rStyle w:val="CharSectno"/>
        </w:rPr>
        <w:t>124IG</w:t>
      </w:r>
      <w:r>
        <w:t>.</w:t>
      </w:r>
      <w:r>
        <w:tab/>
        <w:t>Mandatory disqualification</w:t>
      </w:r>
      <w:bookmarkEnd w:id="469"/>
      <w:bookmarkEnd w:id="470"/>
    </w:p>
    <w:p>
      <w:pPr>
        <w:pStyle w:val="Subsection"/>
      </w:pPr>
      <w:r>
        <w:tab/>
        <w:t>(1)</w:t>
      </w:r>
      <w:r>
        <w:tab/>
        <w:t xml:space="preserve">This section applies if this Act requires a court sentencing a person for an offence to disqualify the offender from holding or obtaining a WA marine qualification for — </w:t>
      </w:r>
    </w:p>
    <w:p>
      <w:pPr>
        <w:pStyle w:val="Indenta"/>
      </w:pPr>
      <w:r>
        <w:tab/>
        <w:t>(a)</w:t>
      </w:r>
      <w:r>
        <w:tab/>
        <w:t>a specified period, or permanently, in relation to the offence; or</w:t>
      </w:r>
    </w:p>
    <w:p>
      <w:pPr>
        <w:pStyle w:val="Indenta"/>
      </w:pPr>
      <w:r>
        <w:tab/>
        <w:t>(b)</w:t>
      </w:r>
      <w:r>
        <w:tab/>
        <w:t>a period not less than a specified minimum period in relation to the offence; or</w:t>
      </w:r>
    </w:p>
    <w:p>
      <w:pPr>
        <w:pStyle w:val="Indenta"/>
      </w:pPr>
      <w:r>
        <w:tab/>
        <w:t>(c)</w:t>
      </w:r>
      <w:r>
        <w:tab/>
        <w:t>a period not less than a specified minimum period, and no more than a specified maximum period, in relation to the offence.</w:t>
      </w:r>
    </w:p>
    <w:p>
      <w:pPr>
        <w:pStyle w:val="Subsection"/>
      </w:pPr>
      <w:r>
        <w:tab/>
        <w:t>(2)</w:t>
      </w:r>
      <w:r>
        <w:tab/>
        <w:t xml:space="preserve">Regardless of any sentence the court imposes on the offender for the offence, the court — </w:t>
      </w:r>
    </w:p>
    <w:p>
      <w:pPr>
        <w:pStyle w:val="Indenta"/>
      </w:pPr>
      <w:r>
        <w:tab/>
        <w:t>(a)</w:t>
      </w:r>
      <w:r>
        <w:tab/>
        <w:t>must disqualify the offender for the specified period, or at least the specified minimum period and more than the specified maximum period; and</w:t>
      </w:r>
    </w:p>
    <w:p>
      <w:pPr>
        <w:pStyle w:val="Indenta"/>
      </w:pPr>
      <w:r>
        <w:tab/>
        <w:t>(b)</w:t>
      </w:r>
      <w:r>
        <w:tab/>
        <w:t>cannot reduce the period of disqualification other than by the period the offender was disqualified by a disqualification notice given to the offender under section 124GA in relation to the offence.</w:t>
      </w:r>
    </w:p>
    <w:p>
      <w:pPr>
        <w:pStyle w:val="Subsection"/>
      </w:pPr>
      <w:r>
        <w:tab/>
        <w:t>(3)</w:t>
      </w:r>
      <w:r>
        <w:tab/>
        <w:t>Without limiting subsection (2)(b), the specified period of disqualification cannot be reduced in mitigation.</w:t>
      </w:r>
    </w:p>
    <w:p>
      <w:pPr>
        <w:pStyle w:val="Subsection"/>
      </w:pPr>
      <w:r>
        <w:tab/>
        <w:t>(4)</w:t>
      </w:r>
      <w:r>
        <w:tab/>
        <w:t>This section applies despite any other written law.</w:t>
      </w:r>
    </w:p>
    <w:p>
      <w:pPr>
        <w:pStyle w:val="Footnotesection"/>
      </w:pPr>
      <w:r>
        <w:tab/>
        <w:t>[Section 124IG inserted: No. 31 of 2023 s. 24(2).]</w:t>
      </w:r>
    </w:p>
    <w:p>
      <w:pPr>
        <w:pStyle w:val="Heading5"/>
      </w:pPr>
      <w:bookmarkStart w:id="471" w:name="_Toc153284720"/>
      <w:bookmarkStart w:id="472" w:name="_Toc153887648"/>
      <w:r>
        <w:rPr>
          <w:rStyle w:val="CharSectno"/>
        </w:rPr>
        <w:t>124IH</w:t>
      </w:r>
      <w:r>
        <w:t>.</w:t>
      </w:r>
      <w:r>
        <w:tab/>
        <w:t>Minimum fines</w:t>
      </w:r>
      <w:bookmarkEnd w:id="471"/>
      <w:bookmarkEnd w:id="472"/>
    </w:p>
    <w:p>
      <w:pPr>
        <w:pStyle w:val="Subsection"/>
      </w:pPr>
      <w:r>
        <w:tab/>
      </w:r>
      <w:r>
        <w:tab/>
        <w:t xml:space="preserve">Without limiting the </w:t>
      </w:r>
      <w:r>
        <w:rPr>
          <w:i/>
        </w:rPr>
        <w:t>Sentencing Act 1995</w:t>
      </w:r>
      <w:r>
        <w:t xml:space="preserve">, and despite any other written law, a fine provided for an offence under Part 3A or </w:t>
      </w:r>
      <w:r>
        <w:lastRenderedPageBreak/>
        <w:t>Part 3B of this Act that is a minimum penalty (however expressed) cannot be reduced in mitigation.</w:t>
      </w:r>
    </w:p>
    <w:p>
      <w:pPr>
        <w:pStyle w:val="Footnotesection"/>
      </w:pPr>
      <w:r>
        <w:tab/>
        <w:t>[Section 124IH inserted: No. 31 of 2023 s. 24(2).]</w:t>
      </w:r>
    </w:p>
    <w:p>
      <w:pPr>
        <w:pStyle w:val="Heading3"/>
      </w:pPr>
      <w:bookmarkStart w:id="473" w:name="_Toc153284240"/>
      <w:bookmarkStart w:id="474" w:name="_Toc153284481"/>
      <w:bookmarkStart w:id="475" w:name="_Toc153284722"/>
      <w:bookmarkStart w:id="476" w:name="_Toc153544898"/>
      <w:bookmarkStart w:id="477" w:name="_Toc153796501"/>
      <w:bookmarkStart w:id="478" w:name="_Toc153887649"/>
      <w:r>
        <w:rPr>
          <w:rStyle w:val="CharDivNo"/>
        </w:rPr>
        <w:t>Division 3</w:t>
      </w:r>
      <w:r>
        <w:t> — </w:t>
      </w:r>
      <w:r>
        <w:rPr>
          <w:rStyle w:val="CharDivText"/>
        </w:rPr>
        <w:t>General matters</w:t>
      </w:r>
      <w:bookmarkEnd w:id="473"/>
      <w:bookmarkEnd w:id="474"/>
      <w:bookmarkEnd w:id="475"/>
      <w:bookmarkEnd w:id="476"/>
      <w:bookmarkEnd w:id="477"/>
      <w:bookmarkEnd w:id="478"/>
    </w:p>
    <w:p>
      <w:pPr>
        <w:pStyle w:val="Footnoteheading"/>
      </w:pPr>
      <w:r>
        <w:tab/>
        <w:t>[Heading inserted: No. 31 of 2023 s. 25.]</w:t>
      </w:r>
    </w:p>
    <w:p>
      <w:pPr>
        <w:pStyle w:val="Heading5"/>
        <w:rPr>
          <w:snapToGrid w:val="0"/>
        </w:rPr>
      </w:pPr>
      <w:bookmarkStart w:id="479" w:name="_Toc153887650"/>
      <w:r>
        <w:rPr>
          <w:rStyle w:val="CharSectno"/>
        </w:rPr>
        <w:t>125</w:t>
      </w:r>
      <w:r>
        <w:rPr>
          <w:snapToGrid w:val="0"/>
        </w:rPr>
        <w:t>.</w:t>
      </w:r>
      <w:r>
        <w:rPr>
          <w:snapToGrid w:val="0"/>
        </w:rPr>
        <w:tab/>
        <w:t>Evidence of documents and proof of signature</w:t>
      </w:r>
      <w:bookmarkEnd w:id="479"/>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No. 35 of 1990 s. 21.]</w:t>
      </w:r>
    </w:p>
    <w:p>
      <w:pPr>
        <w:pStyle w:val="Heading5"/>
        <w:rPr>
          <w:snapToGrid w:val="0"/>
        </w:rPr>
      </w:pPr>
      <w:bookmarkStart w:id="480" w:name="_Toc153887651"/>
      <w:r>
        <w:rPr>
          <w:rStyle w:val="CharSectno"/>
        </w:rPr>
        <w:t>125A</w:t>
      </w:r>
      <w:r>
        <w:rPr>
          <w:snapToGrid w:val="0"/>
        </w:rPr>
        <w:t>.</w:t>
      </w:r>
      <w:r>
        <w:rPr>
          <w:snapToGrid w:val="0"/>
        </w:rPr>
        <w:tab/>
        <w:t>Limitation period for prosecutions</w:t>
      </w:r>
      <w:bookmarkEnd w:id="480"/>
    </w:p>
    <w:p>
      <w:pPr>
        <w:pStyle w:val="Subsection"/>
        <w:rPr>
          <w:snapToGrid w:val="0"/>
        </w:rPr>
      </w:pPr>
      <w:r>
        <w:rPr>
          <w:snapToGrid w:val="0"/>
        </w:rPr>
        <w:tab/>
      </w:r>
      <w:r>
        <w:rPr>
          <w:snapToGrid w:val="0"/>
        </w:rPr>
        <w:tab/>
        <w:t xml:space="preserve">A prosecution for an offence </w:t>
      </w:r>
      <w:r>
        <w:t>under</w:t>
      </w:r>
      <w:r>
        <w:rPr>
          <w:snapToGrid w:val="0"/>
        </w:rPr>
        <w:t xml:space="preserve"> this Act or any subsidiary legislation under this Act must be commenced within 3 years after the date on which the offence was allegedly committed.</w:t>
      </w:r>
    </w:p>
    <w:p>
      <w:pPr>
        <w:pStyle w:val="Footnotesection"/>
      </w:pPr>
      <w:r>
        <w:tab/>
        <w:t>[Section 125A inserted: No. 84 of 2004 s. 80; amended: No. 24 of 2023 s. 88.]</w:t>
      </w:r>
    </w:p>
    <w:p>
      <w:pPr>
        <w:pStyle w:val="Heading5"/>
        <w:rPr>
          <w:snapToGrid w:val="0"/>
        </w:rPr>
      </w:pPr>
      <w:bookmarkStart w:id="481" w:name="_Toc153887652"/>
      <w:r>
        <w:rPr>
          <w:rStyle w:val="CharSectno"/>
        </w:rPr>
        <w:lastRenderedPageBreak/>
        <w:t>126</w:t>
      </w:r>
      <w:r>
        <w:rPr>
          <w:snapToGrid w:val="0"/>
        </w:rPr>
        <w:t>.</w:t>
      </w:r>
      <w:r>
        <w:rPr>
          <w:snapToGrid w:val="0"/>
        </w:rPr>
        <w:tab/>
        <w:t>Admissibility of documents in evidence</w:t>
      </w:r>
      <w:bookmarkEnd w:id="481"/>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spacing w:before="120"/>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482" w:name="_Toc153887653"/>
      <w:r>
        <w:rPr>
          <w:rStyle w:val="CharSectno"/>
        </w:rPr>
        <w:t>127</w:t>
      </w:r>
      <w:r>
        <w:rPr>
          <w:snapToGrid w:val="0"/>
        </w:rPr>
        <w:t>.</w:t>
      </w:r>
      <w:r>
        <w:rPr>
          <w:snapToGrid w:val="0"/>
        </w:rPr>
        <w:tab/>
        <w:t>Service of summons and process</w:t>
      </w:r>
      <w:bookmarkEnd w:id="482"/>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 xml:space="preserve">at </w:t>
      </w:r>
      <w:r>
        <w:t>the person’s</w:t>
      </w:r>
      <w:r>
        <w:rPr>
          <w:snapToGrid w:val="0"/>
        </w:rPr>
        <w:t xml:space="preserve"> last known place of abode or business; or</w:t>
      </w:r>
    </w:p>
    <w:p>
      <w:pPr>
        <w:pStyle w:val="Indenta"/>
        <w:rPr>
          <w:snapToGrid w:val="0"/>
        </w:rPr>
      </w:pPr>
      <w:r>
        <w:rPr>
          <w:snapToGrid w:val="0"/>
        </w:rPr>
        <w:tab/>
        <w:t>(c)</w:t>
      </w:r>
      <w:r>
        <w:rPr>
          <w:snapToGrid w:val="0"/>
        </w:rPr>
        <w:tab/>
        <w:t xml:space="preserve">on board any vessel to which </w:t>
      </w:r>
      <w:r>
        <w:t>the person</w:t>
      </w:r>
      <w:r>
        <w:rPr>
          <w:snapToGrid w:val="0"/>
        </w:rPr>
        <w:t xml:space="preserve"> belongs and accompanied with a statement of the purport thereof, to the person being or appearing to be </w:t>
      </w:r>
      <w:r>
        <w:t>the master</w:t>
      </w:r>
      <w:r>
        <w:rPr>
          <w:snapToGrid w:val="0"/>
        </w:rPr>
        <w:t xml:space="preserve"> of the vessel.</w:t>
      </w:r>
    </w:p>
    <w:p>
      <w:pPr>
        <w:pStyle w:val="Subsection"/>
        <w:keepNext/>
        <w:rPr>
          <w:snapToGrid w:val="0"/>
        </w:rPr>
      </w:pPr>
      <w:r>
        <w:rPr>
          <w:snapToGrid w:val="0"/>
        </w:rPr>
        <w:lastRenderedPageBreak/>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No. 55 of 2004 s. 1312; No. 24 of 2023 s. 89.]</w:t>
      </w:r>
    </w:p>
    <w:p>
      <w:pPr>
        <w:pStyle w:val="Heading5"/>
        <w:rPr>
          <w:snapToGrid w:val="0"/>
        </w:rPr>
      </w:pPr>
      <w:bookmarkStart w:id="483" w:name="_Toc153887654"/>
      <w:r>
        <w:rPr>
          <w:rStyle w:val="CharSectno"/>
        </w:rPr>
        <w:t>128</w:t>
      </w:r>
      <w:r>
        <w:rPr>
          <w:snapToGrid w:val="0"/>
        </w:rPr>
        <w:t>.</w:t>
      </w:r>
      <w:r>
        <w:rPr>
          <w:snapToGrid w:val="0"/>
        </w:rPr>
        <w:tab/>
        <w:t>Service of notice where no master</w:t>
      </w:r>
      <w:bookmarkEnd w:id="483"/>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pPr>
      <w:bookmarkStart w:id="484" w:name="_Toc149055804"/>
      <w:bookmarkStart w:id="485" w:name="_Toc153887655"/>
      <w:r>
        <w:rPr>
          <w:rStyle w:val="CharSectno"/>
        </w:rPr>
        <w:t>129</w:t>
      </w:r>
      <w:r>
        <w:t>.</w:t>
      </w:r>
      <w:r>
        <w:tab/>
        <w:t>Averments relating to vessels</w:t>
      </w:r>
      <w:bookmarkEnd w:id="484"/>
      <w:bookmarkEnd w:id="485"/>
    </w:p>
    <w:p>
      <w:pPr>
        <w:pStyle w:val="Subsection"/>
      </w:pPr>
      <w:r>
        <w:tab/>
      </w:r>
      <w:r>
        <w:tab/>
        <w:t xml:space="preserve">In a prosecution under this Act, an averment in the charge as to 1 of the following matters is, in the absence of evidence to the contrary, sufficient evidence of the matter — </w:t>
      </w:r>
    </w:p>
    <w:p>
      <w:pPr>
        <w:pStyle w:val="Indenta"/>
      </w:pPr>
      <w:r>
        <w:tab/>
        <w:t>(a)</w:t>
      </w:r>
      <w:r>
        <w:tab/>
        <w:t>that a person is, or was at a specified time, the owner, master or operator of a specified vessel;</w:t>
      </w:r>
    </w:p>
    <w:p>
      <w:pPr>
        <w:pStyle w:val="Indenta"/>
      </w:pPr>
      <w:r>
        <w:tab/>
        <w:t>(b)</w:t>
      </w:r>
      <w:r>
        <w:tab/>
        <w:t>that a specified vessel is, or was at a specified time, a domestic commercial vessel, a pleasure vessel or a prescribed vessel;</w:t>
      </w:r>
    </w:p>
    <w:p>
      <w:pPr>
        <w:pStyle w:val="Indenta"/>
      </w:pPr>
      <w:r>
        <w:tab/>
        <w:t>(c)</w:t>
      </w:r>
      <w:r>
        <w:tab/>
        <w:t>that a specified vessel is not, or was not at a specified time, exempt from a specified provision of this Act;</w:t>
      </w:r>
    </w:p>
    <w:p>
      <w:pPr>
        <w:pStyle w:val="Indenta"/>
      </w:pPr>
      <w:r>
        <w:tab/>
        <w:t>(d)</w:t>
      </w:r>
      <w:r>
        <w:tab/>
        <w:t>that a specified vessel is, or was at a specified time, registered or licensed or required to be registered or licensed under an Act;</w:t>
      </w:r>
    </w:p>
    <w:p>
      <w:pPr>
        <w:pStyle w:val="Indenta"/>
      </w:pPr>
      <w:r>
        <w:tab/>
        <w:t>(e)</w:t>
      </w:r>
      <w:r>
        <w:tab/>
        <w:t>that a vessel is or was in or used in navigable waters.</w:t>
      </w:r>
    </w:p>
    <w:p>
      <w:pPr>
        <w:pStyle w:val="Footnotesection"/>
      </w:pPr>
      <w:r>
        <w:tab/>
        <w:t>[Section 129 inserted: No. 24 of 2023 s. 91.]</w:t>
      </w:r>
    </w:p>
    <w:p>
      <w:pPr>
        <w:pStyle w:val="Heading5"/>
        <w:spacing w:before="180"/>
        <w:rPr>
          <w:snapToGrid w:val="0"/>
        </w:rPr>
      </w:pPr>
      <w:bookmarkStart w:id="486" w:name="_Toc153887656"/>
      <w:r>
        <w:rPr>
          <w:rStyle w:val="CharSectno"/>
        </w:rPr>
        <w:lastRenderedPageBreak/>
        <w:t>130</w:t>
      </w:r>
      <w:r>
        <w:rPr>
          <w:snapToGrid w:val="0"/>
        </w:rPr>
        <w:t>.</w:t>
      </w:r>
      <w:r>
        <w:rPr>
          <w:snapToGrid w:val="0"/>
        </w:rPr>
        <w:tab/>
      </w:r>
      <w:r>
        <w:t>Averment relating to qualifications of crew</w:t>
      </w:r>
      <w:bookmarkEnd w:id="486"/>
    </w:p>
    <w:p>
      <w:pPr>
        <w:pStyle w:val="Subsection"/>
        <w:spacing w:before="120"/>
        <w:rPr>
          <w:snapToGrid w:val="0"/>
        </w:rPr>
      </w:pPr>
      <w:r>
        <w:rPr>
          <w:snapToGrid w:val="0"/>
        </w:rPr>
        <w:tab/>
      </w:r>
      <w:r>
        <w:rPr>
          <w:snapToGrid w:val="0"/>
        </w:rPr>
        <w:tab/>
        <w:t xml:space="preserve">In a prosecution under this Act relating to the </w:t>
      </w:r>
      <w:r>
        <w:t>crewing</w:t>
      </w:r>
      <w:r>
        <w:rPr>
          <w:snapToGrid w:val="0"/>
        </w:rPr>
        <w:t xml:space="preserve"> of a vessel, an averment in the charge that a person is or was, or is not or was not, the holder of a particular certificate </w:t>
      </w:r>
      <w:r>
        <w:t>or qualification</w:t>
      </w:r>
      <w:r>
        <w:rPr>
          <w:snapToGrid w:val="0"/>
        </w:rPr>
        <w:t xml:space="preserve"> or a particular class of certificate </w:t>
      </w:r>
      <w:r>
        <w:t>or qualification is</w:t>
      </w:r>
      <w:r>
        <w:rPr>
          <w:snapToGrid w:val="0"/>
        </w:rPr>
        <w:t xml:space="preserve"> sufficient evidence of that fact in the absence of evidence to the contrary.</w:t>
      </w:r>
    </w:p>
    <w:p>
      <w:pPr>
        <w:pStyle w:val="Footnotesection"/>
      </w:pPr>
      <w:r>
        <w:tab/>
        <w:t>[Section 130 amended: No. 84 of 2004 s. 80; No. 24 of 2023 s. 92.]</w:t>
      </w:r>
    </w:p>
    <w:p>
      <w:pPr>
        <w:pStyle w:val="Heading5"/>
        <w:spacing w:before="180"/>
        <w:rPr>
          <w:snapToGrid w:val="0"/>
        </w:rPr>
      </w:pPr>
      <w:bookmarkStart w:id="487" w:name="_Toc153887657"/>
      <w:r>
        <w:rPr>
          <w:rStyle w:val="CharSectno"/>
        </w:rPr>
        <w:t>131</w:t>
      </w:r>
      <w:r>
        <w:rPr>
          <w:snapToGrid w:val="0"/>
        </w:rPr>
        <w:t>.</w:t>
      </w:r>
      <w:r>
        <w:rPr>
          <w:snapToGrid w:val="0"/>
        </w:rPr>
        <w:tab/>
        <w:t>Place where act committed</w:t>
      </w:r>
      <w:bookmarkEnd w:id="487"/>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488" w:name="_Toc153887658"/>
      <w:r>
        <w:rPr>
          <w:rStyle w:val="CharSectno"/>
        </w:rPr>
        <w:t>132</w:t>
      </w:r>
      <w:r>
        <w:rPr>
          <w:snapToGrid w:val="0"/>
        </w:rPr>
        <w:t>.</w:t>
      </w:r>
      <w:r>
        <w:rPr>
          <w:snapToGrid w:val="0"/>
        </w:rPr>
        <w:tab/>
        <w:t>Proceedings by way of infringement notice</w:t>
      </w:r>
      <w:bookmarkEnd w:id="488"/>
    </w:p>
    <w:p>
      <w:pPr>
        <w:pStyle w:val="Subsection"/>
        <w:rPr>
          <w:snapToGrid w:val="0"/>
        </w:rPr>
      </w:pPr>
      <w:r>
        <w:rPr>
          <w:snapToGrid w:val="0"/>
        </w:rPr>
        <w:tab/>
        <w:t>(1)</w:t>
      </w:r>
      <w:r>
        <w:rPr>
          <w:snapToGrid w:val="0"/>
        </w:rPr>
        <w:tab/>
        <w:t xml:space="preserve">An authorised person who </w:t>
      </w:r>
      <w:r>
        <w:t>believes on reasonable grounds that a person has committed an offence under this Act,</w:t>
      </w:r>
      <w:r>
        <w:rPr>
          <w:snapToGrid w:val="0"/>
        </w:rPr>
        <w:t xml:space="preserve"> in respect of which offence a modified penalty is prescribed, may serve, by personal delivery to the person or by posting to him at his address ascertained from him at or about the time that offence is believed to have been committed, a notice </w:t>
      </w:r>
      <w:r>
        <w:t xml:space="preserve">(an </w:t>
      </w:r>
      <w:r>
        <w:rPr>
          <w:b/>
          <w:i/>
        </w:rPr>
        <w:t>infringement notice</w:t>
      </w:r>
      <w:r>
        <w:t xml:space="preserve">) </w:t>
      </w:r>
      <w:r>
        <w:rPr>
          <w:snapToGrid w:val="0"/>
        </w:rPr>
        <w:t xml:space="preserve">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keepNext/>
        <w:rPr>
          <w:snapToGrid w:val="0"/>
        </w:rPr>
      </w:pPr>
      <w:r>
        <w:rPr>
          <w:snapToGrid w:val="0"/>
        </w:rPr>
        <w:lastRenderedPageBreak/>
        <w:tab/>
        <w:t>(2)</w:t>
      </w:r>
      <w:r>
        <w:rPr>
          <w:snapToGrid w:val="0"/>
        </w:rPr>
        <w:tab/>
      </w:r>
      <w:r>
        <w:t>If the alleged offence was allegedly committed in connection with a vessel, an</w:t>
      </w:r>
      <w:r>
        <w:rPr>
          <w:snapToGrid w:val="0"/>
        </w:rPr>
        <w:t xml:space="preserve"> authorised person may —</w:t>
      </w:r>
    </w:p>
    <w:p>
      <w:pPr>
        <w:pStyle w:val="Indenta"/>
        <w:rPr>
          <w:snapToGrid w:val="0"/>
        </w:rPr>
      </w:pPr>
      <w:r>
        <w:rPr>
          <w:snapToGrid w:val="0"/>
        </w:rPr>
        <w:tab/>
        <w:t>(a)</w:t>
      </w:r>
      <w:r>
        <w:rPr>
          <w:snapToGrid w:val="0"/>
        </w:rPr>
        <w:tab/>
        <w:t xml:space="preserve">if the identity of the alleged offender is not known and cannot immediately be </w:t>
      </w:r>
      <w:r>
        <w:t xml:space="preserve">ascertained — </w:t>
      </w:r>
      <w:r>
        <w:rPr>
          <w:snapToGrid w:val="0"/>
        </w:rPr>
        <w:t>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 xml:space="preserve">if the identity of the alleged offender is not known and cannot immediately be ascertained and the identity of the owner of the vessel is not known and cannot be ascertained after reasonable </w:t>
      </w:r>
      <w:r>
        <w:t xml:space="preserve">enquiry — </w:t>
      </w:r>
      <w:r>
        <w:rPr>
          <w:snapToGrid w:val="0"/>
        </w:rPr>
        <w:t>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spacing w:before="120"/>
        <w:rPr>
          <w:snapToGrid w:val="0"/>
        </w:rPr>
      </w:pPr>
      <w:r>
        <w:rPr>
          <w:snapToGrid w:val="0"/>
        </w:rPr>
        <w:lastRenderedPageBreak/>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spacing w:before="70"/>
        <w:rPr>
          <w:snapToGrid w:val="0"/>
        </w:rPr>
      </w:pPr>
      <w:r>
        <w:rPr>
          <w:snapToGrid w:val="0"/>
        </w:rPr>
        <w:tab/>
        <w:t>(a)</w:t>
      </w:r>
      <w:r>
        <w:rPr>
          <w:snapToGrid w:val="0"/>
        </w:rPr>
        <w:tab/>
        <w:t>may decline; or</w:t>
      </w:r>
    </w:p>
    <w:p>
      <w:pPr>
        <w:pStyle w:val="Indenta"/>
        <w:spacing w:before="70"/>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spacing w:before="120"/>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tab/>
        <w:t>(5A)</w:t>
      </w:r>
      <w:r>
        <w:tab/>
      </w:r>
      <w:r>
        <w:rPr>
          <w:snapToGrid w:val="0"/>
        </w:rPr>
        <w:t>An authorised person may not withdraw an infringement notice under subsection (5) if the authorised person served the infringement notice.</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keepNext/>
        <w:rPr>
          <w:snapToGrid w:val="0"/>
        </w:rPr>
      </w:pPr>
      <w:r>
        <w:rPr>
          <w:snapToGrid w:val="0"/>
        </w:rPr>
        <w:tab/>
        <w:t>(8)</w:t>
      </w:r>
      <w:r>
        <w:rPr>
          <w:snapToGrid w:val="0"/>
        </w:rPr>
        <w:tab/>
        <w:t xml:space="preserve">A person, other than the owner or person in charge of a vessel in respect of which an alleged offence is believed to have been committed, shall not remove an infringement notice relating to </w:t>
      </w:r>
      <w:r>
        <w:rPr>
          <w:snapToGrid w:val="0"/>
        </w:rPr>
        <w:lastRenderedPageBreak/>
        <w:t>the alleged offence attached to or left in or on that vessel by an authorised person.</w:t>
      </w:r>
    </w:p>
    <w:p>
      <w:pPr>
        <w:pStyle w:val="Penstart"/>
        <w:rPr>
          <w:snapToGrid w:val="0"/>
        </w:rPr>
      </w:pPr>
      <w:r>
        <w:rPr>
          <w:snapToGrid w:val="0"/>
        </w:rPr>
        <w:tab/>
        <w:t xml:space="preserve">Penalty for this subsection: </w:t>
      </w:r>
      <w:r>
        <w:t>a fine of</w:t>
      </w:r>
      <w:r>
        <w:rPr>
          <w:snapToGrid w:val="0"/>
        </w:rPr>
        <w:t xml:space="preserve"> $2 000.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tab/>
      </w:r>
      <w:bookmarkStart w:id="489" w:name="_Hlk153537461"/>
      <w:r>
        <w:rPr>
          <w:rStyle w:val="CharDefText"/>
        </w:rPr>
        <w:t>authorised person</w:t>
      </w:r>
      <w:r>
        <w:t xml:space="preserve"> includes an inspector;</w:t>
      </w:r>
      <w:bookmarkEnd w:id="489"/>
    </w:p>
    <w:p>
      <w:pPr>
        <w:pStyle w:val="Defstart"/>
      </w:pPr>
      <w:r>
        <w:rPr>
          <w:b/>
        </w:rPr>
        <w:tab/>
      </w:r>
      <w:r>
        <w:rPr>
          <w:rStyle w:val="CharDefText"/>
        </w:rPr>
        <w:t>designated officer</w:t>
      </w:r>
      <w:r>
        <w:t xml:space="preserve"> means person designated under subsection (10).</w:t>
      </w:r>
    </w:p>
    <w:p>
      <w:pPr>
        <w:pStyle w:val="Subsection"/>
        <w:keepNext/>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No. 47 of 1993 s. 33(2); No. 32 of 1994 s. 19; No. 84 of 2004 s. 80; No. 2 of 2019 s 64; No. 24 of 2023 s. 93.]</w:t>
      </w:r>
    </w:p>
    <w:p>
      <w:pPr>
        <w:pStyle w:val="Heading5"/>
        <w:spacing w:before="180"/>
        <w:rPr>
          <w:snapToGrid w:val="0"/>
        </w:rPr>
      </w:pPr>
      <w:bookmarkStart w:id="490" w:name="_Toc153887659"/>
      <w:r>
        <w:rPr>
          <w:rStyle w:val="CharSectno"/>
        </w:rPr>
        <w:t>133</w:t>
      </w:r>
      <w:r>
        <w:rPr>
          <w:snapToGrid w:val="0"/>
        </w:rPr>
        <w:t>.</w:t>
      </w:r>
      <w:r>
        <w:rPr>
          <w:snapToGrid w:val="0"/>
        </w:rPr>
        <w:tab/>
        <w:t>Onus on owner to identify person in charge of vessel</w:t>
      </w:r>
      <w:bookmarkEnd w:id="490"/>
    </w:p>
    <w:p>
      <w:pPr>
        <w:pStyle w:val="Subsection"/>
        <w:keepNext/>
        <w:spacing w:before="200"/>
        <w:rPr>
          <w:snapToGrid w:val="0"/>
        </w:rPr>
      </w:pPr>
      <w:r>
        <w:rPr>
          <w:snapToGrid w:val="0"/>
        </w:rPr>
        <w:tab/>
        <w:t>(1)</w:t>
      </w:r>
      <w:r>
        <w:rPr>
          <w:snapToGrid w:val="0"/>
        </w:rPr>
        <w:tab/>
        <w:t xml:space="preserve">Any owner of a vessel and any person to whom for the time being the possession or control of a vessel may be entrusted </w:t>
      </w:r>
      <w:r>
        <w:rPr>
          <w:snapToGrid w:val="0"/>
        </w:rPr>
        <w:lastRenderedPageBreak/>
        <w:t>shall, if required by an authorised person, give to the authorised person any information —</w:t>
      </w:r>
    </w:p>
    <w:p>
      <w:pPr>
        <w:pStyle w:val="Indenta"/>
        <w:rPr>
          <w:snapToGrid w:val="0"/>
        </w:rPr>
      </w:pPr>
      <w:r>
        <w:rPr>
          <w:snapToGrid w:val="0"/>
        </w:rPr>
        <w:tab/>
        <w:t>(a)</w:t>
      </w:r>
      <w:r>
        <w:rPr>
          <w:snapToGrid w:val="0"/>
        </w:rPr>
        <w:tab/>
        <w:t xml:space="preserve">which it is in </w:t>
      </w:r>
      <w:r>
        <w:t>the owner’s or other person’s</w:t>
      </w:r>
      <w:r>
        <w:rPr>
          <w:snapToGrid w:val="0"/>
        </w:rPr>
        <w:t xml:space="preserve"> power to give; and</w:t>
      </w:r>
    </w:p>
    <w:p>
      <w:pPr>
        <w:pStyle w:val="Indenta"/>
        <w:rPr>
          <w:snapToGrid w:val="0"/>
        </w:rPr>
      </w:pPr>
      <w:r>
        <w:rPr>
          <w:snapToGrid w:val="0"/>
        </w:rPr>
        <w:tab/>
        <w:t>(b)</w:t>
      </w:r>
      <w:r>
        <w:rPr>
          <w:snapToGrid w:val="0"/>
        </w:rPr>
        <w:tab/>
        <w:t xml:space="preserve">which may lead to the identification of </w:t>
      </w:r>
      <w:r>
        <w:t>the</w:t>
      </w:r>
      <w:r>
        <w:rPr>
          <w:snapToGrid w:val="0"/>
        </w:rPr>
        <w:t xml:space="preserve"> person who was in charge of the vessel </w:t>
      </w:r>
      <w:r>
        <w:t>at the time when an offence under</w:t>
      </w:r>
      <w:r>
        <w:rPr>
          <w:snapToGrid w:val="0"/>
        </w:rPr>
        <w:t xml:space="preserve"> this Act is alleged to have been committed.</w:t>
      </w:r>
    </w:p>
    <w:p>
      <w:pPr>
        <w:pStyle w:val="Penstart"/>
        <w:rPr>
          <w:snapToGrid w:val="0"/>
        </w:rPr>
      </w:pPr>
      <w:r>
        <w:rPr>
          <w:snapToGrid w:val="0"/>
        </w:rPr>
        <w:tab/>
      </w:r>
      <w:r>
        <w:t>Penalty for this subsection: a fine of $3 000.</w:t>
      </w:r>
    </w:p>
    <w:p>
      <w:pPr>
        <w:pStyle w:val="Subsection"/>
        <w:spacing w:before="200"/>
        <w:rPr>
          <w:snapToGrid w:val="0"/>
        </w:rPr>
      </w:pPr>
      <w:r>
        <w:rPr>
          <w:snapToGrid w:val="0"/>
        </w:rPr>
        <w:tab/>
        <w:t>(2)</w:t>
      </w:r>
      <w:r>
        <w:rPr>
          <w:snapToGrid w:val="0"/>
        </w:rPr>
        <w:tab/>
        <w:t xml:space="preserve">When an offence </w:t>
      </w:r>
      <w:r>
        <w:t>under</w:t>
      </w:r>
      <w:r>
        <w:rPr>
          <w:snapToGrid w:val="0"/>
        </w:rPr>
        <w:t xml:space="preserve"> this Act is alleged to have been committed </w:t>
      </w:r>
      <w:r>
        <w:t>in connection with a vessel</w:t>
      </w:r>
      <w:r>
        <w:rPr>
          <w:snapToGrid w:val="0"/>
        </w:rPr>
        <w:t xml:space="preserve">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keepNext/>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keepNext/>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lastRenderedPageBreak/>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a meaning affected by section 132;</w:t>
      </w:r>
    </w:p>
    <w:p>
      <w:pPr>
        <w:pStyle w:val="Defstart"/>
      </w:pPr>
      <w:r>
        <w:rPr>
          <w:b/>
        </w:rPr>
        <w:tab/>
      </w:r>
      <w:r>
        <w:rPr>
          <w:rStyle w:val="CharDefText"/>
        </w:rPr>
        <w:t>person who was in charge of the vessel</w:t>
      </w:r>
      <w: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133 amended: No. 24 of 2023 s. 94.]</w:t>
      </w:r>
    </w:p>
    <w:p>
      <w:pPr>
        <w:pStyle w:val="Defstart"/>
      </w:pPr>
    </w:p>
    <w:p>
      <w:pPr>
        <w:pStyle w:val="Heading5"/>
        <w:rPr>
          <w:snapToGrid w:val="0"/>
        </w:rPr>
      </w:pPr>
      <w:bookmarkStart w:id="491" w:name="_Toc153887660"/>
      <w:r>
        <w:rPr>
          <w:rStyle w:val="CharSectno"/>
        </w:rPr>
        <w:t>134</w:t>
      </w:r>
      <w:r>
        <w:rPr>
          <w:snapToGrid w:val="0"/>
        </w:rPr>
        <w:t>.</w:t>
      </w:r>
      <w:r>
        <w:rPr>
          <w:snapToGrid w:val="0"/>
        </w:rPr>
        <w:tab/>
        <w:t>Production of proof of identity by authorised person</w:t>
      </w:r>
      <w:bookmarkEnd w:id="491"/>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keepNext/>
        <w:rPr>
          <w:snapToGrid w:val="0"/>
        </w:rPr>
      </w:pPr>
      <w:r>
        <w:rPr>
          <w:snapToGrid w:val="0"/>
        </w:rPr>
        <w:lastRenderedPageBreak/>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No. 35 of 1990 s. 21.]</w:t>
      </w:r>
    </w:p>
    <w:p>
      <w:pPr>
        <w:pStyle w:val="Heading2"/>
      </w:pPr>
      <w:bookmarkStart w:id="492" w:name="_Toc153377370"/>
      <w:bookmarkStart w:id="493" w:name="_Toc153544910"/>
      <w:bookmarkStart w:id="494" w:name="_Toc153796513"/>
      <w:bookmarkStart w:id="495" w:name="_Toc153887661"/>
      <w:r>
        <w:rPr>
          <w:rStyle w:val="CharPartNo"/>
        </w:rPr>
        <w:lastRenderedPageBreak/>
        <w:t>Part 10</w:t>
      </w:r>
      <w:r>
        <w:t> —</w:t>
      </w:r>
      <w:bookmarkStart w:id="496" w:name="_Hlk153537814"/>
      <w:bookmarkStart w:id="497" w:name="_Toc149055810"/>
      <w:r>
        <w:t> </w:t>
      </w:r>
      <w:bookmarkStart w:id="498" w:name="_Hlk153537825"/>
      <w:bookmarkEnd w:id="496"/>
      <w:r>
        <w:rPr>
          <w:rStyle w:val="CharPartText"/>
        </w:rPr>
        <w:t>Repeal and transitional provisions</w:t>
      </w:r>
      <w:bookmarkEnd w:id="497"/>
      <w:bookmarkEnd w:id="498"/>
      <w:bookmarkEnd w:id="492"/>
      <w:bookmarkEnd w:id="493"/>
      <w:bookmarkEnd w:id="494"/>
      <w:bookmarkEnd w:id="495"/>
    </w:p>
    <w:p>
      <w:pPr>
        <w:pStyle w:val="Footnoteheading"/>
      </w:pPr>
      <w:r>
        <w:tab/>
        <w:t>[Heading inserted: No. 24 of 2023 s. 96.]</w:t>
      </w:r>
    </w:p>
    <w:p>
      <w:pPr>
        <w:pStyle w:val="Heading3"/>
      </w:pPr>
      <w:bookmarkStart w:id="499" w:name="_Toc149055812"/>
      <w:bookmarkStart w:id="500" w:name="_Toc153544911"/>
      <w:bookmarkStart w:id="501" w:name="_Toc153796514"/>
      <w:bookmarkStart w:id="502" w:name="_Toc153887662"/>
      <w:r>
        <w:rPr>
          <w:rStyle w:val="CharDivNo"/>
        </w:rPr>
        <w:t>Division 1</w:t>
      </w:r>
      <w:r>
        <w:t> — </w:t>
      </w:r>
      <w:r>
        <w:rPr>
          <w:rStyle w:val="CharDivText"/>
          <w:i/>
        </w:rPr>
        <w:t>Western Australian Marine Act 1982</w:t>
      </w:r>
      <w:bookmarkEnd w:id="499"/>
      <w:bookmarkEnd w:id="500"/>
      <w:bookmarkEnd w:id="501"/>
      <w:bookmarkEnd w:id="502"/>
    </w:p>
    <w:p>
      <w:pPr>
        <w:pStyle w:val="Footnoteheading"/>
      </w:pPr>
      <w:r>
        <w:tab/>
        <w:t>[Heading inserted: No. 24 of 2023 s. 97.]</w:t>
      </w:r>
    </w:p>
    <w:p>
      <w:pPr>
        <w:pStyle w:val="Heading5"/>
        <w:rPr>
          <w:snapToGrid w:val="0"/>
        </w:rPr>
      </w:pPr>
      <w:bookmarkStart w:id="503" w:name="_Toc153887663"/>
      <w:r>
        <w:rPr>
          <w:rStyle w:val="CharSectno"/>
        </w:rPr>
        <w:t>135</w:t>
      </w:r>
      <w:r>
        <w:rPr>
          <w:snapToGrid w:val="0"/>
        </w:rPr>
        <w:t>.</w:t>
      </w:r>
      <w:r>
        <w:rPr>
          <w:snapToGrid w:val="0"/>
        </w:rPr>
        <w:tab/>
        <w:t>Repeals</w:t>
      </w:r>
      <w:bookmarkEnd w:id="503"/>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r>
        <w:rPr>
          <w:rStyle w:val="CharDefText"/>
        </w:rPr>
        <w:t>Merchant Shipping Act</w:t>
      </w:r>
      <w:r>
        <w:rPr>
          <w:snapToGrid w:val="0"/>
        </w:rPr>
        <w:t xml:space="preserve"> 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Heading3"/>
      </w:pPr>
      <w:bookmarkStart w:id="504" w:name="_Toc149055815"/>
      <w:bookmarkStart w:id="505" w:name="_Toc153544913"/>
      <w:bookmarkStart w:id="506" w:name="_Toc153796516"/>
      <w:bookmarkStart w:id="507" w:name="_Toc153887664"/>
      <w:r>
        <w:rPr>
          <w:rStyle w:val="CharDivNo"/>
        </w:rPr>
        <w:t>Division 2</w:t>
      </w:r>
      <w:r>
        <w:t> — </w:t>
      </w:r>
      <w:r>
        <w:rPr>
          <w:rStyle w:val="CharDivText"/>
          <w:i/>
        </w:rPr>
        <w:t>Marine Safety (Domestic Commercial Vessel National Law Application) Act 2023</w:t>
      </w:r>
      <w:bookmarkEnd w:id="504"/>
      <w:bookmarkEnd w:id="505"/>
      <w:bookmarkEnd w:id="506"/>
      <w:bookmarkEnd w:id="507"/>
    </w:p>
    <w:p>
      <w:pPr>
        <w:pStyle w:val="Footnoteheading"/>
      </w:pPr>
      <w:r>
        <w:tab/>
        <w:t>[Heading inserted: No. 24 of 2023 s. 99.]</w:t>
      </w:r>
    </w:p>
    <w:p>
      <w:pPr>
        <w:pStyle w:val="Heading5"/>
      </w:pPr>
      <w:bookmarkStart w:id="508" w:name="_Toc149055816"/>
      <w:bookmarkStart w:id="509" w:name="_Toc153887665"/>
      <w:r>
        <w:rPr>
          <w:rStyle w:val="CharSectno"/>
        </w:rPr>
        <w:t>136</w:t>
      </w:r>
      <w:r>
        <w:t>.</w:t>
      </w:r>
      <w:r>
        <w:tab/>
        <w:t>Certain orders, notices, exemptions and certificates</w:t>
      </w:r>
      <w:bookmarkEnd w:id="508"/>
      <w:bookmarkEnd w:id="509"/>
    </w:p>
    <w:p>
      <w:pPr>
        <w:pStyle w:val="Subsection"/>
      </w:pPr>
      <w:r>
        <w:tab/>
        <w:t>(1)</w:t>
      </w:r>
      <w:r>
        <w:tab/>
        <w:t xml:space="preserve">An order in effect under section 66(1) immediately before the day on which the </w:t>
      </w:r>
      <w:r>
        <w:rPr>
          <w:i/>
        </w:rPr>
        <w:t>Marine Safety (Domestic Commercial Vessel National Law Application) Act 2023</w:t>
      </w:r>
      <w:r>
        <w:t xml:space="preserve"> section 50(1) comes into operation has effect on and after that day as if made by the chief executive officer under section 66(1).</w:t>
      </w:r>
    </w:p>
    <w:p>
      <w:pPr>
        <w:pStyle w:val="Subsection"/>
      </w:pPr>
      <w:r>
        <w:lastRenderedPageBreak/>
        <w:tab/>
        <w:t>(2)</w:t>
      </w:r>
      <w:r>
        <w:tab/>
        <w:t xml:space="preserve">A notice in effect under section 67(1) immediately before the day on which the </w:t>
      </w:r>
      <w:r>
        <w:rPr>
          <w:i/>
        </w:rPr>
        <w:t>Marine Safety (Domestic Commercial Vessel National Law Application) Act 2023</w:t>
      </w:r>
      <w:r>
        <w:t xml:space="preserve"> section 51 comes into operation has effect on and after that day as if it were an order under section 67(1).</w:t>
      </w:r>
    </w:p>
    <w:p>
      <w:pPr>
        <w:pStyle w:val="Subsection"/>
      </w:pPr>
      <w:r>
        <w:tab/>
        <w:t>(3)</w:t>
      </w:r>
      <w:r>
        <w:tab/>
        <w:t xml:space="preserve">A notice in effect under section 99(2) immediately before the day on which the </w:t>
      </w:r>
      <w:r>
        <w:rPr>
          <w:i/>
        </w:rPr>
        <w:t>Marine Safety (Domestic Commercial Vessel National Law Application) Act 2023</w:t>
      </w:r>
      <w:r>
        <w:t xml:space="preserve"> section 69 comes into operation has effect on and after that day as if it were an exemption granted under section 115A(1), to the extent not inconsistent with section 115A(1).</w:t>
      </w:r>
    </w:p>
    <w:p>
      <w:pPr>
        <w:pStyle w:val="Subsection"/>
      </w:pPr>
      <w:r>
        <w:tab/>
        <w:t>(4)</w:t>
      </w:r>
      <w:r>
        <w:tab/>
        <w:t xml:space="preserve">An exemption in effect under section 99(3) immediately before the day on which the </w:t>
      </w:r>
      <w:r>
        <w:rPr>
          <w:i/>
        </w:rPr>
        <w:t>Marine Safety (Domestic Commercial Vessel National Law Application) Act 2023</w:t>
      </w:r>
      <w:r>
        <w:t xml:space="preserve"> section 69 comes into operation has effect on and after that day as if it were granted under section 115A(1) or (1A) or both.</w:t>
      </w:r>
    </w:p>
    <w:p>
      <w:pPr>
        <w:pStyle w:val="Subsection"/>
      </w:pPr>
      <w:r>
        <w:tab/>
        <w:t>(5)</w:t>
      </w:r>
      <w:r>
        <w:tab/>
        <w:t xml:space="preserve">A certificate in effect under section 118 or 134 immediately before the day on which the </w:t>
      </w:r>
      <w:r>
        <w:rPr>
          <w:i/>
        </w:rPr>
        <w:t>Marine Safety (Domestic Commercial Vessel National Law Application) Act 2023</w:t>
      </w:r>
      <w:r>
        <w:t xml:space="preserve"> section 79 comes into operation continues to have effect on and after that day as if it were an identity card issued under section 118 on the same terms and conditions as the certificate.</w:t>
      </w:r>
    </w:p>
    <w:p>
      <w:pPr>
        <w:pStyle w:val="Subsection"/>
      </w:pPr>
      <w:r>
        <w:tab/>
        <w:t>(6)</w:t>
      </w:r>
      <w:r>
        <w:tab/>
        <w:t>An order, notice, exemption or certificate that has effect under this section has effect subject to this Act.</w:t>
      </w:r>
    </w:p>
    <w:p>
      <w:pPr>
        <w:pStyle w:val="Footnotesection"/>
      </w:pPr>
      <w:r>
        <w:tab/>
        <w:t>[Section 136 inserted: No. 24 of 2023 s. 99.]</w:t>
      </w:r>
    </w:p>
    <w:p>
      <w:pPr>
        <w:pStyle w:val="Heading5"/>
      </w:pPr>
      <w:bookmarkStart w:id="510" w:name="_Toc149055817"/>
      <w:bookmarkStart w:id="511" w:name="_Toc153887666"/>
      <w:r>
        <w:rPr>
          <w:rStyle w:val="CharSectno"/>
        </w:rPr>
        <w:t>137</w:t>
      </w:r>
      <w:r>
        <w:t>.</w:t>
      </w:r>
      <w:r>
        <w:tab/>
        <w:t>Transitional regulations</w:t>
      </w:r>
      <w:bookmarkEnd w:id="510"/>
      <w:bookmarkEnd w:id="51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Marine Safety (Domestic Commercial Vessel National Law Application) Act 2023</w:t>
      </w:r>
      <w:r>
        <w:t xml:space="preserve"> section 36 comes into operation;</w:t>
      </w:r>
    </w:p>
    <w:p>
      <w:pPr>
        <w:pStyle w:val="Defstart"/>
      </w:pPr>
      <w:r>
        <w:lastRenderedPageBreak/>
        <w:tab/>
      </w:r>
      <w:r>
        <w:rPr>
          <w:rStyle w:val="CharDefText"/>
        </w:rPr>
        <w:t>publication day</w:t>
      </w:r>
      <w:r>
        <w:t>, in relation to transitional regulations, means the day on which the transitional regulations are published on the WA legislation website;</w:t>
      </w:r>
    </w:p>
    <w:p>
      <w:pPr>
        <w:pStyle w:val="Defstart"/>
      </w:pPr>
      <w:r>
        <w:tab/>
      </w:r>
      <w:r>
        <w:rPr>
          <w:rStyle w:val="CharDefText"/>
        </w:rPr>
        <w:t>transitional regulations</w:t>
      </w:r>
      <w:r>
        <w:t xml:space="preserve"> means regulations made for the purposes of subsection (2).</w:t>
      </w:r>
    </w:p>
    <w:p>
      <w:pPr>
        <w:pStyle w:val="Subsection"/>
      </w:pPr>
      <w:r>
        <w:tab/>
        <w:t>(2)</w:t>
      </w:r>
      <w:r>
        <w:tab/>
        <w:t xml:space="preserve">The regulations may deal with matters of a transitional, savings or application nature arising in connection with the enactment of the </w:t>
      </w:r>
      <w:r>
        <w:rPr>
          <w:i/>
        </w:rPr>
        <w:t>Marine Safety (Domestic Commercial Vessel National Law Application) Act 2023</w:t>
      </w:r>
      <w:r>
        <w:t xml:space="preserve"> Parts 9 and 10.</w:t>
      </w:r>
    </w:p>
    <w:p>
      <w:pPr>
        <w:pStyle w:val="Subsection"/>
      </w:pPr>
      <w:r>
        <w:tab/>
        <w:t>(3)</w:t>
      </w:r>
      <w:r>
        <w:tab/>
        <w:t>Transitional regulations cannot be made after the end of the period of 2 years beginning on commencement day.</w:t>
      </w:r>
    </w:p>
    <w:p>
      <w:pPr>
        <w:pStyle w:val="Subsection"/>
      </w:pPr>
      <w:r>
        <w:tab/>
        <w:t>(4)</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Footnotesection"/>
      </w:pPr>
      <w:r>
        <w:tab/>
        <w:t>[Section 137 inserted: No. 24 of 2023 s. 99.]</w:t>
      </w:r>
    </w:p>
    <w:p>
      <w:pPr>
        <w:pStyle w:val="Heading3"/>
      </w:pPr>
      <w:bookmarkStart w:id="512" w:name="_Toc153284243"/>
      <w:bookmarkStart w:id="513" w:name="_Toc153284484"/>
      <w:bookmarkStart w:id="514" w:name="_Toc153284725"/>
      <w:bookmarkStart w:id="515" w:name="_Toc153544916"/>
      <w:bookmarkStart w:id="516" w:name="_Toc153796519"/>
      <w:bookmarkStart w:id="517" w:name="_Toc153887667"/>
      <w:r>
        <w:rPr>
          <w:rStyle w:val="CharDivNo"/>
        </w:rPr>
        <w:t>Division 3</w:t>
      </w:r>
      <w:r>
        <w:t> — </w:t>
      </w:r>
      <w:r>
        <w:rPr>
          <w:rStyle w:val="CharDivText"/>
          <w:i/>
        </w:rPr>
        <w:t>Western Australian Marine Amendment Act 2023</w:t>
      </w:r>
      <w:bookmarkEnd w:id="512"/>
      <w:bookmarkEnd w:id="513"/>
      <w:bookmarkEnd w:id="514"/>
      <w:bookmarkEnd w:id="515"/>
      <w:bookmarkEnd w:id="516"/>
      <w:bookmarkEnd w:id="517"/>
    </w:p>
    <w:p>
      <w:pPr>
        <w:pStyle w:val="Footnoteheading"/>
      </w:pPr>
      <w:bookmarkStart w:id="518" w:name="_Toc153284726"/>
      <w:r>
        <w:tab/>
        <w:t>[Heading inserted: No. 31 of 2023 s. 27.]</w:t>
      </w:r>
    </w:p>
    <w:p>
      <w:pPr>
        <w:pStyle w:val="Heading5"/>
      </w:pPr>
      <w:bookmarkStart w:id="519" w:name="_Toc153887668"/>
      <w:r>
        <w:rPr>
          <w:rStyle w:val="CharSectno"/>
        </w:rPr>
        <w:t>138</w:t>
      </w:r>
      <w:r>
        <w:t>.</w:t>
      </w:r>
      <w:r>
        <w:tab/>
        <w:t>Offences against repealed section 59</w:t>
      </w:r>
      <w:bookmarkEnd w:id="518"/>
      <w:bookmarkEnd w:id="519"/>
    </w:p>
    <w:p>
      <w:pPr>
        <w:pStyle w:val="Subsection"/>
      </w:pPr>
      <w:r>
        <w:tab/>
        <w:t>(1)</w:t>
      </w:r>
      <w:r>
        <w:tab/>
        <w:t xml:space="preserve">In this section — </w:t>
      </w:r>
    </w:p>
    <w:p>
      <w:pPr>
        <w:pStyle w:val="Defstart"/>
      </w:pPr>
      <w:r>
        <w:tab/>
      </w:r>
      <w:r>
        <w:rPr>
          <w:rStyle w:val="CharDefText"/>
        </w:rPr>
        <w:t>repeal day</w:t>
      </w:r>
      <w:r>
        <w:t xml:space="preserve"> means the day on which the </w:t>
      </w:r>
      <w:r>
        <w:rPr>
          <w:i/>
        </w:rPr>
        <w:t>Western Australian Marine Amendment Act 2023</w:t>
      </w:r>
      <w:r>
        <w:t xml:space="preserve"> section 9 comes into operation.</w:t>
      </w:r>
    </w:p>
    <w:p>
      <w:pPr>
        <w:pStyle w:val="Subsection"/>
      </w:pPr>
      <w:r>
        <w:lastRenderedPageBreak/>
        <w:tab/>
        <w:t>(2)</w:t>
      </w:r>
      <w:r>
        <w:tab/>
        <w:t xml:space="preserve">Despite </w:t>
      </w:r>
      <w:r>
        <w:rPr>
          <w:i/>
        </w:rPr>
        <w:t>The Criminal Code</w:t>
      </w:r>
      <w:r>
        <w:t xml:space="preserve"> section 11, a person may be prosecuted and punished for an offence committed against section 59 before repeal day.</w:t>
      </w:r>
    </w:p>
    <w:p>
      <w:pPr>
        <w:pStyle w:val="Footnotesection"/>
      </w:pPr>
      <w:r>
        <w:tab/>
        <w:t>[Section 138 inserted: No. 31 of 2023 s. 27.]</w:t>
      </w:r>
    </w:p>
    <w:p>
      <w:pPr>
        <w:pStyle w:val="Heading5"/>
      </w:pPr>
      <w:bookmarkStart w:id="520" w:name="_Toc153284727"/>
      <w:bookmarkStart w:id="521" w:name="_Toc153887669"/>
      <w:r>
        <w:rPr>
          <w:rStyle w:val="CharSectno"/>
        </w:rPr>
        <w:t>139</w:t>
      </w:r>
      <w:r>
        <w:t>.</w:t>
      </w:r>
      <w:r>
        <w:tab/>
        <w:t>Transitional regulations</w:t>
      </w:r>
      <w:bookmarkEnd w:id="520"/>
      <w:bookmarkEnd w:id="521"/>
    </w:p>
    <w:p>
      <w:pPr>
        <w:pStyle w:val="Subsection"/>
      </w:pPr>
      <w:r>
        <w:tab/>
        <w:t>(1)</w:t>
      </w:r>
      <w:r>
        <w:tab/>
        <w:t xml:space="preserve">In this section — </w:t>
      </w:r>
    </w:p>
    <w:p>
      <w:pPr>
        <w:pStyle w:val="Defstart"/>
      </w:pPr>
      <w:r>
        <w:tab/>
      </w:r>
      <w:r>
        <w:rPr>
          <w:rStyle w:val="CharDefText"/>
        </w:rPr>
        <w:t>assent day</w:t>
      </w:r>
      <w:r>
        <w:t xml:space="preserve"> means the day on which the </w:t>
      </w:r>
      <w:r>
        <w:rPr>
          <w:i/>
        </w:rPr>
        <w:t>Western Australian Marine Amendment Act 2023</w:t>
      </w:r>
      <w:r>
        <w:t xml:space="preserve"> receives the Royal Assent;</w:t>
      </w:r>
    </w:p>
    <w:p>
      <w:pPr>
        <w:pStyle w:val="Defstart"/>
      </w:pPr>
      <w:r>
        <w:tab/>
      </w:r>
      <w:r>
        <w:rPr>
          <w:rStyle w:val="CharDefText"/>
        </w:rPr>
        <w:t>publication day</w:t>
      </w:r>
      <w:r>
        <w:t xml:space="preserve">, for transitional regulations, means the day on which the transitional regulations are published in accordance with the </w:t>
      </w:r>
      <w:r>
        <w:rPr>
          <w:i/>
        </w:rPr>
        <w:t xml:space="preserve">Interpretation Act 1984 </w:t>
      </w:r>
      <w:r>
        <w:t>section 41;</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because of the enactment of the </w:t>
      </w:r>
      <w:r>
        <w:rPr>
          <w:i/>
        </w:rPr>
        <w:t>Western Australian Marine Amendment Act 2023</w:t>
      </w:r>
      <w:r>
        <w:t>; and</w:t>
      </w:r>
    </w:p>
    <w:p>
      <w:pPr>
        <w:pStyle w:val="Defpara"/>
      </w:pPr>
      <w:r>
        <w:tab/>
        <w:t>(b)</w:t>
      </w:r>
      <w:r>
        <w:tab/>
        <w:t>includes a saving or application matter.</w:t>
      </w:r>
    </w:p>
    <w:p>
      <w:pPr>
        <w:pStyle w:val="Subsection"/>
      </w:pPr>
      <w:r>
        <w:tab/>
        <w:t>(2)</w:t>
      </w:r>
      <w:r>
        <w:tab/>
        <w:t>Regulations (</w:t>
      </w:r>
      <w:r>
        <w:rPr>
          <w:rStyle w:val="CharDefText"/>
        </w:rPr>
        <w:t>transitional regulations</w:t>
      </w:r>
      <w:r>
        <w:t xml:space="preserve">) may do either or both of the following — </w:t>
      </w:r>
    </w:p>
    <w:p>
      <w:pPr>
        <w:pStyle w:val="Indenta"/>
      </w:pPr>
      <w:r>
        <w:tab/>
        <w:t>(a)</w:t>
      </w:r>
      <w:r>
        <w:tab/>
        <w:t>make any provision that is necessary or convenient for dealing with a transitional matter; or</w:t>
      </w:r>
    </w:p>
    <w:p>
      <w:pPr>
        <w:pStyle w:val="Indenta"/>
      </w:pPr>
      <w:r>
        <w:tab/>
        <w:t>(b)</w:t>
      </w:r>
      <w:r>
        <w:tab/>
        <w:t xml:space="preserve">make any provision that is necessary or convenient in consequence of, or for giving effect to, the enactment of the </w:t>
      </w:r>
      <w:r>
        <w:rPr>
          <w:i/>
        </w:rPr>
        <w:t>Western Australian Marine Amendment Act 2023</w:t>
      </w:r>
      <w:r>
        <w:t>.</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lastRenderedPageBreak/>
        <w:tab/>
        <w:t>(4)</w:t>
      </w:r>
      <w:r>
        <w:tab/>
        <w:t>If transitional regulations provide that a specified state of affairs is taken to have existed, or not to have existed, on and from a day that is earlier than publication day but not earlier than assent day, the transitional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or</w:t>
      </w:r>
    </w:p>
    <w:p>
      <w:pPr>
        <w:pStyle w:val="Indenta"/>
      </w:pPr>
      <w:r>
        <w:tab/>
        <w:t>(b)</w:t>
      </w:r>
      <w:r>
        <w:tab/>
        <w:t>impose liabilities on a person (other than the State or an authority of the State) in respect of an act done or omission made before publication day.</w:t>
      </w:r>
    </w:p>
    <w:p>
      <w:pPr>
        <w:pStyle w:val="Footnotesection"/>
      </w:pPr>
      <w:r>
        <w:tab/>
        <w:t>[Section 139 inserted: No. 31 of 2023 s. 27.]</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522" w:name="_Toc153377372"/>
      <w:bookmarkStart w:id="523" w:name="_Toc153544919"/>
      <w:bookmarkStart w:id="524" w:name="_Toc153796522"/>
      <w:bookmarkStart w:id="525" w:name="_Toc153887670"/>
      <w:r>
        <w:rPr>
          <w:rStyle w:val="CharSchNo"/>
        </w:rPr>
        <w:lastRenderedPageBreak/>
        <w:t>Schedule 1</w:t>
      </w:r>
      <w:r>
        <w:t> — </w:t>
      </w:r>
      <w:r>
        <w:rPr>
          <w:rStyle w:val="CharSchText"/>
        </w:rPr>
        <w:t>Container Convention</w:t>
      </w:r>
      <w:bookmarkEnd w:id="522"/>
      <w:bookmarkEnd w:id="523"/>
      <w:bookmarkEnd w:id="524"/>
      <w:bookmarkEnd w:id="525"/>
    </w:p>
    <w:p>
      <w:pPr>
        <w:pStyle w:val="yShoulderClause"/>
        <w:rPr>
          <w:snapToGrid w:val="0"/>
        </w:rPr>
      </w:pPr>
      <w:r>
        <w:rPr>
          <w:snapToGrid w:val="0"/>
        </w:rPr>
        <w:t>[s. 76]</w:t>
      </w:r>
    </w:p>
    <w:p>
      <w:pPr>
        <w:pStyle w:val="yFootnoteheading"/>
      </w:pPr>
      <w:r>
        <w:tab/>
        <w:t>[Heading amended: No. 19 of 2010 s. 4.]</w:t>
      </w:r>
    </w:p>
    <w:p>
      <w:pPr>
        <w:pStyle w:val="yMiscellaneousHeading"/>
        <w:rPr>
          <w:b/>
          <w:bCs/>
          <w:sz w:val="24"/>
          <w:szCs w:val="22"/>
        </w:rPr>
      </w:pPr>
      <w:r>
        <w:rPr>
          <w:b/>
          <w:bCs/>
          <w:sz w:val="24"/>
          <w:szCs w:val="22"/>
        </w:rPr>
        <w:t>INTERNATIONAL CONVENTION FOR SAFE CONTAINERS</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570"/>
        </w:tabs>
        <w:rPr>
          <w:snapToGrid w:val="0"/>
        </w:rPr>
      </w:pPr>
      <w:r>
        <w:rPr>
          <w:snapToGrid w:val="0"/>
        </w:rPr>
        <w:t>1.</w:t>
      </w:r>
      <w:r>
        <w:rPr>
          <w:snapToGrid w:val="0"/>
        </w:rPr>
        <w:tab/>
        <w:t>“Container” means an article of transport equipment:</w:t>
      </w:r>
    </w:p>
    <w:p>
      <w:pPr>
        <w:pStyle w:val="yIndenta"/>
        <w:tabs>
          <w:tab w:val="clear" w:pos="1332"/>
          <w:tab w:val="clear" w:pos="1616"/>
          <w:tab w:val="right" w:pos="1026"/>
        </w:tabs>
        <w:ind w:left="1311" w:hanging="1311"/>
        <w:rPr>
          <w:snapToGrid w:val="0"/>
        </w:rPr>
      </w:pPr>
      <w:r>
        <w:rPr>
          <w:snapToGrid w:val="0"/>
        </w:rPr>
        <w:tab/>
        <w:t>(a)</w:t>
      </w:r>
      <w:r>
        <w:rPr>
          <w:snapToGrid w:val="0"/>
        </w:rPr>
        <w:tab/>
        <w:t>of a permanent character and accordingly strong enough to be suitable for repeated use;</w:t>
      </w:r>
    </w:p>
    <w:p>
      <w:pPr>
        <w:pStyle w:val="yIndenta"/>
        <w:tabs>
          <w:tab w:val="clear" w:pos="1332"/>
          <w:tab w:val="clear" w:pos="1616"/>
          <w:tab w:val="right" w:pos="1026"/>
        </w:tabs>
        <w:ind w:left="1311" w:hanging="1311"/>
        <w:rPr>
          <w:snapToGrid w:val="0"/>
        </w:rPr>
      </w:pPr>
      <w:r>
        <w:rPr>
          <w:snapToGrid w:val="0"/>
        </w:rPr>
        <w:tab/>
        <w:t>(b)</w:t>
      </w:r>
      <w:r>
        <w:rPr>
          <w:snapToGrid w:val="0"/>
        </w:rPr>
        <w:tab/>
        <w:t>specially designed to facilitate the transport of goods, by one or more modes of transport, without intermediate reloading;</w:t>
      </w:r>
    </w:p>
    <w:p>
      <w:pPr>
        <w:pStyle w:val="yIndenta"/>
        <w:tabs>
          <w:tab w:val="clear" w:pos="1332"/>
          <w:tab w:val="clear" w:pos="1616"/>
          <w:tab w:val="right" w:pos="1026"/>
        </w:tabs>
        <w:ind w:left="1311" w:hanging="1311"/>
        <w:rPr>
          <w:snapToGrid w:val="0"/>
        </w:rPr>
      </w:pPr>
      <w:r>
        <w:rPr>
          <w:snapToGrid w:val="0"/>
        </w:rPr>
        <w:tab/>
        <w:t>(c)</w:t>
      </w:r>
      <w:r>
        <w:rPr>
          <w:snapToGrid w:val="0"/>
        </w:rPr>
        <w:tab/>
        <w:t>designed to be secured and/or readily handled, having corner fittings for these purposes;</w:t>
      </w:r>
    </w:p>
    <w:p>
      <w:pPr>
        <w:pStyle w:val="yIndenta"/>
        <w:tabs>
          <w:tab w:val="clear" w:pos="1332"/>
          <w:tab w:val="clear" w:pos="1616"/>
          <w:tab w:val="right" w:pos="1026"/>
        </w:tabs>
        <w:ind w:left="1311" w:hanging="1311"/>
        <w:rPr>
          <w:snapToGrid w:val="0"/>
        </w:rPr>
      </w:pPr>
      <w:r>
        <w:rPr>
          <w:snapToGrid w:val="0"/>
        </w:rPr>
        <w:tab/>
        <w:t>(d)</w:t>
      </w:r>
      <w:r>
        <w:rPr>
          <w:snapToGrid w:val="0"/>
        </w:rPr>
        <w:tab/>
        <w:t>of a size such that the area enclosed by the four outer bottom corners is either:</w:t>
      </w:r>
    </w:p>
    <w:p>
      <w:pPr>
        <w:pStyle w:val="yIndenti0"/>
        <w:tabs>
          <w:tab w:val="clear" w:pos="2041"/>
          <w:tab w:val="clear" w:pos="2325"/>
          <w:tab w:val="right" w:pos="1710"/>
        </w:tabs>
        <w:ind w:left="1995" w:hanging="1995"/>
        <w:rPr>
          <w:snapToGrid w:val="0"/>
        </w:rPr>
      </w:pPr>
      <w:r>
        <w:rPr>
          <w:snapToGrid w:val="0"/>
        </w:rPr>
        <w:tab/>
        <w:t>(i)</w:t>
      </w:r>
      <w:r>
        <w:rPr>
          <w:snapToGrid w:val="0"/>
        </w:rPr>
        <w:tab/>
        <w:t>at least 14 sq. m. (150 sq. ft.) or</w:t>
      </w:r>
    </w:p>
    <w:p>
      <w:pPr>
        <w:pStyle w:val="yIndenti0"/>
        <w:tabs>
          <w:tab w:val="clear" w:pos="2041"/>
          <w:tab w:val="clear" w:pos="2325"/>
          <w:tab w:val="right" w:pos="1710"/>
        </w:tabs>
        <w:ind w:left="1995" w:hanging="1995"/>
        <w:rPr>
          <w:snapToGrid w:val="0"/>
        </w:rPr>
      </w:pPr>
      <w:r>
        <w:rPr>
          <w:snapToGrid w:val="0"/>
        </w:rPr>
        <w:tab/>
        <w:t>(ii)</w:t>
      </w:r>
      <w:r>
        <w:rPr>
          <w:snapToGrid w:val="0"/>
        </w:rPr>
        <w:tab/>
        <w:t>at least 7 sq. m. (75 sq. ft.) if it is fitted with top corner fittings;</w:t>
      </w:r>
    </w:p>
    <w:p>
      <w:pPr>
        <w:pStyle w:val="yMiscellaneousBody"/>
        <w:ind w:left="570" w:hanging="570"/>
        <w:rPr>
          <w:snapToGrid w:val="0"/>
        </w:rPr>
      </w:pPr>
      <w:r>
        <w:rPr>
          <w:snapToGrid w:val="0"/>
        </w:rPr>
        <w:tab/>
        <w:t>the term “container” includes neither vehicles nor packaging; however, containers when carried on chassis are included.</w:t>
      </w:r>
    </w:p>
    <w:p>
      <w:pPr>
        <w:pStyle w:val="yMiscellaneousBody"/>
        <w:ind w:left="570" w:hanging="570"/>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spacing w:before="150"/>
        <w:ind w:left="573" w:hanging="573"/>
        <w:rPr>
          <w:snapToGrid w:val="0"/>
        </w:rPr>
      </w:pPr>
      <w:r>
        <w:rPr>
          <w:snapToGrid w:val="0"/>
        </w:rPr>
        <w:lastRenderedPageBreak/>
        <w:t>3.</w:t>
      </w:r>
      <w:r>
        <w:rPr>
          <w:snapToGrid w:val="0"/>
        </w:rPr>
        <w:tab/>
        <w:t>“Administration” means the Government of a Contracting Party under whose authority containers are approved.</w:t>
      </w:r>
    </w:p>
    <w:p>
      <w:pPr>
        <w:pStyle w:val="yMiscellaneousBody"/>
        <w:spacing w:before="150"/>
        <w:ind w:left="573" w:hanging="573"/>
        <w:rPr>
          <w:snapToGrid w:val="0"/>
        </w:rPr>
      </w:pPr>
      <w:r>
        <w:rPr>
          <w:snapToGrid w:val="0"/>
        </w:rPr>
        <w:t>4.</w:t>
      </w:r>
      <w:r>
        <w:rPr>
          <w:snapToGrid w:val="0"/>
        </w:rPr>
        <w:tab/>
        <w:t>“Approved” means approved by the Administration.</w:t>
      </w:r>
    </w:p>
    <w:p>
      <w:pPr>
        <w:pStyle w:val="yMiscellaneousBody"/>
        <w:spacing w:before="150"/>
        <w:ind w:left="573" w:hanging="573"/>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spacing w:before="150"/>
        <w:ind w:left="573" w:hanging="573"/>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spacing w:before="150"/>
        <w:ind w:left="573" w:hanging="573"/>
        <w:rPr>
          <w:snapToGrid w:val="0"/>
        </w:rPr>
      </w:pPr>
      <w:r>
        <w:rPr>
          <w:snapToGrid w:val="0"/>
        </w:rPr>
        <w:t>7.</w:t>
      </w:r>
      <w:r>
        <w:rPr>
          <w:snapToGrid w:val="0"/>
        </w:rPr>
        <w:tab/>
        <w:t>“Cargo” means any goods, wares, merchandise and articles of every kind whatsoever carried in the containers.</w:t>
      </w:r>
    </w:p>
    <w:p>
      <w:pPr>
        <w:pStyle w:val="yMiscellaneousBody"/>
        <w:spacing w:before="150"/>
        <w:ind w:left="573" w:hanging="573"/>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spacing w:before="150"/>
        <w:ind w:left="573" w:hanging="573"/>
        <w:rPr>
          <w:snapToGrid w:val="0"/>
        </w:rPr>
      </w:pPr>
      <w:r>
        <w:rPr>
          <w:snapToGrid w:val="0"/>
        </w:rPr>
        <w:t>9.</w:t>
      </w:r>
      <w:r>
        <w:rPr>
          <w:snapToGrid w:val="0"/>
        </w:rPr>
        <w:tab/>
        <w:t>“Existing container” means a container which is not a new container.</w:t>
      </w:r>
    </w:p>
    <w:p>
      <w:pPr>
        <w:pStyle w:val="yMiscellaneousBody"/>
        <w:spacing w:before="150"/>
        <w:ind w:left="573" w:hanging="573"/>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spacing w:before="150"/>
        <w:ind w:left="573" w:hanging="573"/>
        <w:rPr>
          <w:snapToGrid w:val="0"/>
        </w:rPr>
      </w:pPr>
      <w:r>
        <w:rPr>
          <w:snapToGrid w:val="0"/>
        </w:rPr>
        <w:t>11.</w:t>
      </w:r>
      <w:r>
        <w:rPr>
          <w:snapToGrid w:val="0"/>
        </w:rPr>
        <w:tab/>
        <w:t>“Type of container” means the design type approved by the Administration.</w:t>
      </w:r>
    </w:p>
    <w:p>
      <w:pPr>
        <w:pStyle w:val="yMiscellaneousBody"/>
        <w:spacing w:before="150"/>
        <w:ind w:left="573" w:hanging="573"/>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spacing w:before="150"/>
        <w:ind w:left="573" w:hanging="573"/>
        <w:rPr>
          <w:snapToGrid w:val="0"/>
        </w:rPr>
      </w:pPr>
      <w:r>
        <w:rPr>
          <w:snapToGrid w:val="0"/>
        </w:rPr>
        <w:t>13.</w:t>
      </w:r>
      <w:r>
        <w:rPr>
          <w:snapToGrid w:val="0"/>
        </w:rPr>
        <w:tab/>
        <w:t>“Prototype” means a container representative of those manufactured or to be manufactured in a design type series.</w:t>
      </w:r>
    </w:p>
    <w:p>
      <w:pPr>
        <w:pStyle w:val="yMiscellaneousBody"/>
        <w:spacing w:before="150"/>
        <w:ind w:left="573" w:hanging="573"/>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spacing w:before="150"/>
        <w:ind w:left="573" w:hanging="573"/>
        <w:rPr>
          <w:snapToGrid w:val="0"/>
        </w:rPr>
      </w:pPr>
      <w:r>
        <w:rPr>
          <w:snapToGrid w:val="0"/>
        </w:rPr>
        <w:t>15.</w:t>
      </w:r>
      <w:r>
        <w:rPr>
          <w:snapToGrid w:val="0"/>
        </w:rPr>
        <w:tab/>
        <w:t>“Tare Weight” means the weight of the empty container including permanently affixed ancillary equipment.</w:t>
      </w:r>
    </w:p>
    <w:p>
      <w:pPr>
        <w:pStyle w:val="yMiscellaneousBody"/>
        <w:spacing w:before="150"/>
        <w:ind w:left="573" w:hanging="573"/>
        <w:rPr>
          <w:snapToGrid w:val="0"/>
        </w:rPr>
      </w:pPr>
      <w:r>
        <w:rPr>
          <w:snapToGrid w:val="0"/>
        </w:rPr>
        <w:lastRenderedPageBreak/>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ind w:left="570" w:hanging="570"/>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ind w:left="570" w:hanging="570"/>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ind w:left="570" w:hanging="570"/>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ind w:left="570" w:hanging="570"/>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ind w:left="570" w:hanging="570"/>
        <w:rPr>
          <w:snapToGrid w:val="0"/>
        </w:rPr>
      </w:pPr>
      <w:r>
        <w:rPr>
          <w:snapToGrid w:val="0"/>
        </w:rPr>
        <w:t>3.</w:t>
      </w:r>
      <w:r>
        <w:rPr>
          <w:snapToGrid w:val="0"/>
        </w:rPr>
        <w:tab/>
        <w:t>Application for approval may be made to the Administration of any Contracting Party.</w:t>
      </w:r>
    </w:p>
    <w:p>
      <w:pPr>
        <w:pStyle w:val="yMiscellaneousBody"/>
        <w:ind w:left="570" w:hanging="570"/>
        <w:rPr>
          <w:snapToGrid w:val="0"/>
        </w:rPr>
      </w:pPr>
      <w:r>
        <w:rPr>
          <w:snapToGrid w:val="0"/>
        </w:rPr>
        <w:t>4.</w:t>
      </w:r>
      <w:r>
        <w:rPr>
          <w:snapToGrid w:val="0"/>
        </w:rPr>
        <w:tab/>
        <w:t>Every container shall be maintained in a safe condition in accordance with the provisions of Annex I.</w:t>
      </w:r>
    </w:p>
    <w:p>
      <w:pPr>
        <w:pStyle w:val="yMiscellaneousBody"/>
        <w:ind w:left="570" w:hanging="570"/>
        <w:rPr>
          <w:snapToGrid w:val="0"/>
        </w:rPr>
      </w:pPr>
      <w:r>
        <w:rPr>
          <w:snapToGrid w:val="0"/>
        </w:rPr>
        <w:lastRenderedPageBreak/>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Acceptance of Approval</w:t>
      </w:r>
    </w:p>
    <w:p>
      <w:pPr>
        <w:pStyle w:val="yMiscellaneousBody"/>
        <w:ind w:left="570" w:hanging="570"/>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ind w:left="570" w:hanging="570"/>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Control</w:t>
      </w:r>
    </w:p>
    <w:p>
      <w:pPr>
        <w:pStyle w:val="yMiscellaneousBody"/>
        <w:ind w:left="570" w:hanging="570"/>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ind w:left="570" w:hanging="570"/>
        <w:rPr>
          <w:snapToGrid w:val="0"/>
        </w:rPr>
      </w:pPr>
      <w:r>
        <w:rPr>
          <w:snapToGrid w:val="0"/>
        </w:rPr>
        <w:t>2.</w:t>
      </w:r>
      <w:r>
        <w:rPr>
          <w:snapToGrid w:val="0"/>
        </w:rPr>
        <w:tab/>
        <w:t xml:space="preserve">Where the container appears to have become unsafe as a result of a defect which may have existed when the container was approved, the </w:t>
      </w:r>
      <w:r>
        <w:rPr>
          <w:snapToGrid w:val="0"/>
        </w:rPr>
        <w:lastRenderedPageBreak/>
        <w:t>Administration responsible for that approval shall be informed by the Contracting Party which detected the defect.</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ind w:left="570" w:hanging="570"/>
        <w:rPr>
          <w:snapToGrid w:val="0"/>
        </w:rPr>
      </w:pPr>
      <w:r>
        <w:rPr>
          <w:snapToGrid w:val="0"/>
        </w:rPr>
        <w:t>2.</w:t>
      </w:r>
      <w:r>
        <w:rPr>
          <w:snapToGrid w:val="0"/>
        </w:rPr>
        <w:tab/>
        <w:t>The present Convention is subject to ratification, acceptance or approval by States which have signed it.</w:t>
      </w:r>
    </w:p>
    <w:p>
      <w:pPr>
        <w:pStyle w:val="yMiscellaneousBody"/>
        <w:ind w:left="570" w:hanging="570"/>
        <w:rPr>
          <w:snapToGrid w:val="0"/>
        </w:rPr>
      </w:pPr>
      <w:r>
        <w:rPr>
          <w:snapToGrid w:val="0"/>
        </w:rPr>
        <w:t>3.</w:t>
      </w:r>
      <w:r>
        <w:rPr>
          <w:snapToGrid w:val="0"/>
        </w:rPr>
        <w:tab/>
        <w:t>The present Convention shall remain open for accession by any State referred to in paragraph 1.</w:t>
      </w:r>
    </w:p>
    <w:p>
      <w:pPr>
        <w:pStyle w:val="yMiscellaneousBody"/>
        <w:ind w:left="570" w:hanging="570"/>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ind w:left="570" w:hanging="570"/>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ind w:left="570" w:hanging="570"/>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be considered as a Party to the Convention as amended; and</w:t>
      </w:r>
    </w:p>
    <w:p>
      <w:pPr>
        <w:pStyle w:val="yIndenta"/>
        <w:tabs>
          <w:tab w:val="clear" w:pos="1332"/>
          <w:tab w:val="clear" w:pos="1616"/>
          <w:tab w:val="right" w:pos="1026"/>
        </w:tabs>
        <w:ind w:left="1311" w:hanging="1311"/>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ind w:left="570" w:hanging="570"/>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ind w:left="570" w:hanging="570"/>
        <w:rPr>
          <w:snapToGrid w:val="0"/>
        </w:rPr>
      </w:pPr>
      <w:r>
        <w:rPr>
          <w:snapToGrid w:val="0"/>
        </w:rPr>
        <w:t>2.</w:t>
      </w:r>
      <w:r>
        <w:rPr>
          <w:snapToGrid w:val="0"/>
        </w:rPr>
        <w:tab/>
        <w:t>Amendment after consideration in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tabs>
          <w:tab w:val="clear" w:pos="1332"/>
          <w:tab w:val="clear" w:pos="1616"/>
          <w:tab w:val="right" w:pos="1026"/>
        </w:tabs>
        <w:ind w:left="1311" w:hanging="1311"/>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tabs>
          <w:tab w:val="clear" w:pos="1332"/>
          <w:tab w:val="clear" w:pos="1616"/>
          <w:tab w:val="right" w:pos="1026"/>
        </w:tabs>
        <w:ind w:left="1311" w:hanging="1311"/>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ind w:left="570" w:hanging="570"/>
        <w:rPr>
          <w:snapToGrid w:val="0"/>
        </w:rPr>
      </w:pPr>
      <w:r>
        <w:rPr>
          <w:snapToGrid w:val="0"/>
        </w:rPr>
        <w:t>3.</w:t>
      </w:r>
      <w:r>
        <w:rPr>
          <w:snapToGrid w:val="0"/>
        </w:rPr>
        <w:tab/>
        <w:t>Amendment by a Conference:</w:t>
      </w:r>
    </w:p>
    <w:p>
      <w:pPr>
        <w:pStyle w:val="yMiscellaneousBody"/>
        <w:ind w:left="570" w:hanging="570"/>
        <w:rPr>
          <w:snapToGrid w:val="0"/>
        </w:rPr>
      </w:pPr>
      <w:r>
        <w:rPr>
          <w:snapToGrid w:val="0"/>
        </w:rPr>
        <w:tab/>
        <w:t>Upon the request of a Contracting Party, concurred in by at least one</w:t>
      </w:r>
      <w:r>
        <w:rPr>
          <w:snapToGrid w:val="0"/>
        </w:rPr>
        <w:noBreakHyphen/>
        <w:t xml:space="preserve">third of the Contracting Parties, a Conference to which the States </w:t>
      </w:r>
      <w:r>
        <w:rPr>
          <w:snapToGrid w:val="0"/>
        </w:rPr>
        <w:lastRenderedPageBreak/>
        <w:t>referred to in article VII shall be invited will be convened by the Secretary</w:t>
      </w:r>
      <w:r>
        <w:rPr>
          <w:snapToGrid w:val="0"/>
        </w:rPr>
        <w:noBreakHyphen/>
        <w:t>General.</w:t>
      </w:r>
    </w:p>
    <w:p>
      <w:pPr>
        <w:pStyle w:val="yMiscellaneousHeading"/>
        <w:spacing w:before="300"/>
        <w:outlineLvl w:val="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ind w:left="570" w:hanging="570"/>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ind w:left="570" w:hanging="570"/>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ind w:left="570" w:hanging="570"/>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ind w:left="570" w:hanging="570"/>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 xml:space="preserve">third of the other Contracting Parties such a Conference </w:t>
      </w:r>
      <w:r>
        <w:rPr>
          <w:snapToGrid w:val="0"/>
        </w:rPr>
        <w:lastRenderedPageBreak/>
        <w:t>shall be convened by the Secretary</w:t>
      </w:r>
      <w:r>
        <w:rPr>
          <w:snapToGrid w:val="0"/>
        </w:rPr>
        <w:noBreakHyphen/>
        <w:t>General to consider amendments to the Annexes.</w:t>
      </w:r>
    </w:p>
    <w:p>
      <w:pPr>
        <w:pStyle w:val="yMiscellaneousHeading"/>
        <w:spacing w:before="30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ind w:left="570" w:hanging="570"/>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r>
        <w:rPr>
          <w:snapToGrid w:val="0"/>
        </w:rPr>
        <w:t>ARTICLE XIII</w:t>
      </w:r>
    </w:p>
    <w:p>
      <w:pPr>
        <w:pStyle w:val="yMiscellaneousHeading"/>
        <w:rPr>
          <w:i/>
          <w:snapToGrid w:val="0"/>
        </w:rPr>
      </w:pPr>
      <w:r>
        <w:rPr>
          <w:i/>
          <w:snapToGrid w:val="0"/>
        </w:rPr>
        <w:t>Settlement of Disputes</w:t>
      </w:r>
    </w:p>
    <w:p>
      <w:pPr>
        <w:pStyle w:val="yMiscellaneousBody"/>
        <w:ind w:left="570" w:hanging="570"/>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ind w:left="570" w:hanging="570"/>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ind w:left="570" w:hanging="570"/>
        <w:rPr>
          <w:snapToGrid w:val="0"/>
        </w:rPr>
      </w:pPr>
      <w:r>
        <w:rPr>
          <w:snapToGrid w:val="0"/>
        </w:rPr>
        <w:t>3.</w:t>
      </w:r>
      <w:r>
        <w:rPr>
          <w:snapToGrid w:val="0"/>
        </w:rPr>
        <w:tab/>
        <w:t>The arbitration tribunal shall determine its own rules of procedure.</w:t>
      </w:r>
    </w:p>
    <w:p>
      <w:pPr>
        <w:pStyle w:val="yMiscellaneousBody"/>
        <w:ind w:left="570" w:hanging="570"/>
        <w:rPr>
          <w:snapToGrid w:val="0"/>
        </w:rPr>
      </w:pPr>
      <w:r>
        <w:rPr>
          <w:snapToGrid w:val="0"/>
        </w:rPr>
        <w:lastRenderedPageBreak/>
        <w:t>4.</w:t>
      </w:r>
      <w:r>
        <w:rPr>
          <w:snapToGrid w:val="0"/>
        </w:rPr>
        <w:tab/>
        <w:t>Decisions of the arbitration tribunal, both as to its procedure and its place of meeting and as to any controversy laid before it, shall be taken by majority vote.</w:t>
      </w:r>
    </w:p>
    <w:p>
      <w:pPr>
        <w:pStyle w:val="yMiscellaneousBody"/>
        <w:ind w:left="570" w:hanging="570"/>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r>
        <w:rPr>
          <w:snapToGrid w:val="0"/>
        </w:rPr>
        <w:t>ARTICLE XIV</w:t>
      </w:r>
    </w:p>
    <w:p>
      <w:pPr>
        <w:pStyle w:val="yMiscellaneousHeading"/>
        <w:rPr>
          <w:i/>
          <w:snapToGrid w:val="0"/>
        </w:rPr>
      </w:pPr>
      <w:r>
        <w:rPr>
          <w:i/>
          <w:snapToGrid w:val="0"/>
        </w:rPr>
        <w:t>Reservations</w:t>
      </w:r>
    </w:p>
    <w:p>
      <w:pPr>
        <w:pStyle w:val="yMiscellaneousBody"/>
        <w:ind w:left="570" w:hanging="570"/>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ind w:left="570" w:hanging="570"/>
        <w:rPr>
          <w:snapToGrid w:val="0"/>
        </w:rPr>
      </w:pPr>
      <w:r>
        <w:rPr>
          <w:snapToGrid w:val="0"/>
        </w:rPr>
        <w:t>2.</w:t>
      </w:r>
      <w:r>
        <w:rPr>
          <w:snapToGrid w:val="0"/>
        </w:rPr>
        <w:tab/>
        <w:t>Any reservations made in accordance with paragraph 1:</w:t>
      </w:r>
    </w:p>
    <w:p>
      <w:pPr>
        <w:pStyle w:val="yIndenta"/>
        <w:tabs>
          <w:tab w:val="clear" w:pos="1332"/>
          <w:tab w:val="clear" w:pos="1616"/>
          <w:tab w:val="right" w:pos="1026"/>
        </w:tabs>
        <w:ind w:left="1311" w:hanging="1311"/>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tabs>
          <w:tab w:val="clear" w:pos="1332"/>
          <w:tab w:val="clear" w:pos="1616"/>
          <w:tab w:val="right" w:pos="1026"/>
        </w:tabs>
        <w:ind w:left="1311" w:hanging="1311"/>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ind w:left="570" w:hanging="570"/>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signatures, ratifications, acceptances, approvals and accessions under article VII;</w:t>
      </w:r>
    </w:p>
    <w:p>
      <w:pPr>
        <w:pStyle w:val="yIndenta"/>
        <w:tabs>
          <w:tab w:val="clear" w:pos="1332"/>
          <w:tab w:val="clear" w:pos="1616"/>
          <w:tab w:val="right" w:pos="1026"/>
        </w:tabs>
        <w:ind w:left="1311" w:hanging="1311"/>
        <w:rPr>
          <w:snapToGrid w:val="0"/>
        </w:rPr>
      </w:pPr>
      <w:r>
        <w:rPr>
          <w:snapToGrid w:val="0"/>
        </w:rPr>
        <w:tab/>
        <w:t>(b)</w:t>
      </w:r>
      <w:r>
        <w:rPr>
          <w:snapToGrid w:val="0"/>
        </w:rPr>
        <w:tab/>
        <w:t>the dates of entry into force of the present Convention in accordance with article VIII;</w:t>
      </w:r>
    </w:p>
    <w:p>
      <w:pPr>
        <w:pStyle w:val="yIndenta"/>
        <w:tabs>
          <w:tab w:val="clear" w:pos="1332"/>
          <w:tab w:val="clear" w:pos="1616"/>
          <w:tab w:val="right" w:pos="1026"/>
        </w:tabs>
        <w:ind w:left="1311" w:hanging="1311"/>
        <w:rPr>
          <w:snapToGrid w:val="0"/>
        </w:rPr>
      </w:pPr>
      <w:r>
        <w:rPr>
          <w:snapToGrid w:val="0"/>
        </w:rPr>
        <w:tab/>
        <w:t>(c)</w:t>
      </w:r>
      <w:r>
        <w:rPr>
          <w:snapToGrid w:val="0"/>
        </w:rPr>
        <w:tab/>
        <w:t>the date of entry into force of amendments to the present Convention in accordance with articles IX and X;</w:t>
      </w:r>
    </w:p>
    <w:p>
      <w:pPr>
        <w:pStyle w:val="yIndenta"/>
        <w:tabs>
          <w:tab w:val="clear" w:pos="1332"/>
          <w:tab w:val="clear" w:pos="1616"/>
          <w:tab w:val="right" w:pos="1026"/>
        </w:tabs>
        <w:ind w:left="1311" w:hanging="1311"/>
        <w:rPr>
          <w:snapToGrid w:val="0"/>
        </w:rPr>
      </w:pPr>
      <w:r>
        <w:rPr>
          <w:snapToGrid w:val="0"/>
        </w:rPr>
        <w:tab/>
        <w:t>(d)</w:t>
      </w:r>
      <w:r>
        <w:rPr>
          <w:snapToGrid w:val="0"/>
        </w:rPr>
        <w:tab/>
        <w:t>denunciations under article XI;</w:t>
      </w:r>
    </w:p>
    <w:p>
      <w:pPr>
        <w:pStyle w:val="yIndenta"/>
        <w:tabs>
          <w:tab w:val="clear" w:pos="1332"/>
          <w:tab w:val="clear" w:pos="1616"/>
          <w:tab w:val="right" w:pos="1026"/>
        </w:tabs>
        <w:ind w:left="1311" w:hanging="1311"/>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rPr>
          <w:b/>
          <w:bCs/>
        </w:rPr>
      </w:pPr>
      <w:r>
        <w:rPr>
          <w:b/>
          <w:bCs/>
        </w:rPr>
        <w:t>Regulation 1</w:t>
      </w:r>
    </w:p>
    <w:p>
      <w:pPr>
        <w:pStyle w:val="yMiscellaneousHeading"/>
        <w:rPr>
          <w:i/>
          <w:snapToGrid w:val="0"/>
        </w:rPr>
      </w:pPr>
      <w:r>
        <w:rPr>
          <w:i/>
          <w:snapToGrid w:val="0"/>
        </w:rPr>
        <w:t>Safety Approval Plate</w:t>
      </w:r>
    </w:p>
    <w:p>
      <w:pPr>
        <w:pStyle w:val="yMiscellaneousBody"/>
        <w:spacing w:before="140"/>
        <w:ind w:left="570" w:hanging="570"/>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tabs>
          <w:tab w:val="clear" w:pos="1332"/>
          <w:tab w:val="clear" w:pos="1616"/>
          <w:tab w:val="right" w:pos="1026"/>
        </w:tabs>
        <w:ind w:left="1311" w:hanging="1311"/>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tabs>
          <w:tab w:val="clear" w:pos="1332"/>
          <w:tab w:val="clear" w:pos="1616"/>
          <w:tab w:val="left" w:pos="1311"/>
        </w:tabs>
        <w:ind w:left="1767" w:hanging="1767"/>
        <w:rPr>
          <w:snapToGrid w:val="0"/>
        </w:rPr>
      </w:pPr>
      <w:r>
        <w:rPr>
          <w:snapToGrid w:val="0"/>
        </w:rPr>
        <w:tab/>
        <w:t>“CSC SAFETY APPROVAL”</w:t>
      </w:r>
    </w:p>
    <w:p>
      <w:pPr>
        <w:pStyle w:val="yIndenta"/>
        <w:tabs>
          <w:tab w:val="clear" w:pos="1332"/>
          <w:tab w:val="clear" w:pos="1616"/>
          <w:tab w:val="left" w:pos="1311"/>
        </w:tabs>
        <w:ind w:left="1767" w:hanging="1767"/>
        <w:rPr>
          <w:snapToGrid w:val="0"/>
        </w:rPr>
      </w:pPr>
      <w:r>
        <w:rPr>
          <w:snapToGrid w:val="0"/>
        </w:rPr>
        <w:tab/>
        <w:t>Country of approval and approval reference</w:t>
      </w:r>
    </w:p>
    <w:p>
      <w:pPr>
        <w:pStyle w:val="yIndenta"/>
        <w:tabs>
          <w:tab w:val="clear" w:pos="1332"/>
          <w:tab w:val="clear" w:pos="1616"/>
          <w:tab w:val="left" w:pos="1311"/>
        </w:tabs>
        <w:ind w:left="1767" w:hanging="1767"/>
        <w:rPr>
          <w:snapToGrid w:val="0"/>
        </w:rPr>
      </w:pPr>
      <w:r>
        <w:rPr>
          <w:snapToGrid w:val="0"/>
        </w:rPr>
        <w:tab/>
        <w:t>Date (month and year) of manufacture</w:t>
      </w:r>
    </w:p>
    <w:p>
      <w:pPr>
        <w:pStyle w:val="yIndenta"/>
        <w:tabs>
          <w:tab w:val="clear" w:pos="1332"/>
          <w:tab w:val="clear" w:pos="1616"/>
          <w:tab w:val="left" w:pos="1311"/>
        </w:tabs>
        <w:ind w:left="1767" w:hanging="1767"/>
        <w:rPr>
          <w:snapToGrid w:val="0"/>
        </w:rPr>
      </w:pPr>
      <w:r>
        <w:rPr>
          <w:snapToGrid w:val="0"/>
        </w:rPr>
        <w:lastRenderedPageBreak/>
        <w:tab/>
        <w:t>Manufacturer’s identification number of the container or, in the case of existing containers for which that number is unknown, the number allotted by the Administration</w:t>
      </w:r>
    </w:p>
    <w:p>
      <w:pPr>
        <w:pStyle w:val="yIndenta"/>
        <w:tabs>
          <w:tab w:val="clear" w:pos="1332"/>
          <w:tab w:val="clear" w:pos="1616"/>
          <w:tab w:val="left" w:pos="1311"/>
        </w:tabs>
        <w:ind w:left="1767" w:hanging="1767"/>
        <w:rPr>
          <w:snapToGrid w:val="0"/>
        </w:rPr>
      </w:pPr>
      <w:r>
        <w:rPr>
          <w:snapToGrid w:val="0"/>
        </w:rPr>
        <w:tab/>
        <w:t>Maximum operating gross weight (kilogrammes and lbs)</w:t>
      </w:r>
    </w:p>
    <w:p>
      <w:pPr>
        <w:pStyle w:val="yIndenta"/>
        <w:tabs>
          <w:tab w:val="clear" w:pos="1332"/>
          <w:tab w:val="clear" w:pos="1616"/>
          <w:tab w:val="left" w:pos="1311"/>
        </w:tabs>
        <w:ind w:left="1767" w:hanging="1767"/>
        <w:rPr>
          <w:snapToGrid w:val="0"/>
        </w:rPr>
      </w:pPr>
      <w:r>
        <w:rPr>
          <w:snapToGrid w:val="0"/>
        </w:rPr>
        <w:tab/>
        <w:t>Allowable stacking weight for 1.8 g (kilogrammes and lbs)</w:t>
      </w:r>
    </w:p>
    <w:p>
      <w:pPr>
        <w:pStyle w:val="yIndenta"/>
        <w:tabs>
          <w:tab w:val="clear" w:pos="1332"/>
          <w:tab w:val="clear" w:pos="1616"/>
          <w:tab w:val="left" w:pos="1311"/>
        </w:tabs>
        <w:ind w:left="1767" w:hanging="1767"/>
        <w:rPr>
          <w:snapToGrid w:val="0"/>
        </w:rPr>
      </w:pPr>
      <w:r>
        <w:rPr>
          <w:snapToGrid w:val="0"/>
        </w:rPr>
        <w:tab/>
        <w:t>Transverse racking test load value (kilogrammes and lbs).</w:t>
      </w:r>
    </w:p>
    <w:p>
      <w:pPr>
        <w:pStyle w:val="yIndenta"/>
        <w:tabs>
          <w:tab w:val="clear" w:pos="1332"/>
          <w:tab w:val="clear" w:pos="1616"/>
          <w:tab w:val="right" w:pos="1026"/>
        </w:tabs>
        <w:ind w:left="1311" w:hanging="1311"/>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ind w:left="570" w:hanging="570"/>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ind w:left="570" w:hanging="570"/>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rPr>
          <w:b/>
          <w:snapToGrid w:val="0"/>
        </w:rPr>
      </w:pPr>
      <w:r>
        <w:rPr>
          <w:b/>
          <w:bCs/>
        </w:rPr>
        <w:t>Regulation</w:t>
      </w:r>
      <w:r>
        <w:rPr>
          <w:b/>
          <w:snapToGrid w:val="0"/>
        </w:rPr>
        <w:t> 2</w:t>
      </w:r>
    </w:p>
    <w:p>
      <w:pPr>
        <w:pStyle w:val="yMiscellaneousHeading"/>
        <w:rPr>
          <w:i/>
          <w:snapToGrid w:val="0"/>
        </w:rPr>
      </w:pPr>
      <w:r>
        <w:rPr>
          <w:i/>
          <w:snapToGrid w:val="0"/>
        </w:rPr>
        <w:t>Maintenance</w:t>
      </w:r>
    </w:p>
    <w:p>
      <w:pPr>
        <w:pStyle w:val="yMiscellaneousBody"/>
        <w:ind w:left="570" w:hanging="570"/>
        <w:rPr>
          <w:snapToGrid w:val="0"/>
        </w:rPr>
      </w:pPr>
      <w:r>
        <w:rPr>
          <w:snapToGrid w:val="0"/>
        </w:rPr>
        <w:t>1.</w:t>
      </w:r>
      <w:r>
        <w:rPr>
          <w:snapToGrid w:val="0"/>
        </w:rPr>
        <w:tab/>
        <w:t>The owner of the container shall be responsible for maintaining it in safe condition.</w:t>
      </w:r>
    </w:p>
    <w:p>
      <w:pPr>
        <w:pStyle w:val="yMiscellaneousBody"/>
        <w:ind w:left="570" w:hanging="570"/>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ind w:left="570" w:hanging="570"/>
        <w:rPr>
          <w:snapToGrid w:val="0"/>
        </w:rPr>
      </w:pPr>
      <w:r>
        <w:rPr>
          <w:snapToGrid w:val="0"/>
        </w:rPr>
        <w:t>3.</w:t>
      </w:r>
      <w:r>
        <w:rPr>
          <w:snapToGrid w:val="0"/>
        </w:rPr>
        <w:tab/>
        <w:t>The date (month and year) before which the container shall be re</w:t>
      </w:r>
      <w:r>
        <w:rPr>
          <w:snapToGrid w:val="0"/>
        </w:rPr>
        <w:noBreakHyphen/>
        <w:t xml:space="preserve">examined shall be clearly marked on the container on or as close as practicable to the Safety Approval Plate and in a manner acceptable to </w:t>
      </w:r>
      <w:r>
        <w:rPr>
          <w:snapToGrid w:val="0"/>
        </w:rPr>
        <w:lastRenderedPageBreak/>
        <w:t>that Contracting Party which prescribed or approved the particular maintenance procedure involved.</w:t>
      </w:r>
    </w:p>
    <w:p>
      <w:pPr>
        <w:pStyle w:val="yMiscellaneousBody"/>
        <w:ind w:left="570" w:hanging="570"/>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ind w:left="570" w:hanging="570"/>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rPr>
          <w:b/>
          <w:snapToGrid w:val="0"/>
        </w:rPr>
      </w:pPr>
      <w:r>
        <w:rPr>
          <w:b/>
          <w:bCs/>
        </w:rPr>
        <w:t>Regulation</w:t>
      </w:r>
      <w:r>
        <w:rPr>
          <w:b/>
          <w:snapToGrid w:val="0"/>
        </w:rPr>
        <w:t>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rPr>
          <w:b/>
          <w:snapToGrid w:val="0"/>
        </w:rPr>
      </w:pPr>
      <w:r>
        <w:rPr>
          <w:b/>
          <w:bCs/>
        </w:rPr>
        <w:t>Regulation</w:t>
      </w:r>
      <w:r>
        <w:rPr>
          <w:b/>
          <w:snapToGrid w:val="0"/>
        </w:rPr>
        <w:t>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rPr>
          <w:snapToGrid w:val="0"/>
        </w:rPr>
      </w:pPr>
      <w:r>
        <w:rPr>
          <w:b/>
          <w:bCs/>
        </w:rPr>
        <w:t>Regulation</w:t>
      </w:r>
      <w:r>
        <w:rPr>
          <w:b/>
          <w:snapToGrid w:val="0"/>
        </w:rPr>
        <w:t> 5</w:t>
      </w:r>
    </w:p>
    <w:p>
      <w:pPr>
        <w:pStyle w:val="yMiscellaneousHeading"/>
        <w:rPr>
          <w:i/>
          <w:snapToGrid w:val="0"/>
        </w:rPr>
      </w:pPr>
      <w:r>
        <w:rPr>
          <w:i/>
          <w:snapToGrid w:val="0"/>
        </w:rPr>
        <w:t>Provisions for Approval by Design Type</w:t>
      </w:r>
    </w:p>
    <w:p>
      <w:pPr>
        <w:pStyle w:val="yMiscellaneousBody"/>
        <w:ind w:left="570" w:hanging="570"/>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ind w:left="570" w:hanging="570"/>
        <w:rPr>
          <w:snapToGrid w:val="0"/>
        </w:rPr>
      </w:pPr>
      <w:r>
        <w:rPr>
          <w:snapToGrid w:val="0"/>
        </w:rPr>
        <w:lastRenderedPageBreak/>
        <w:t>2.</w:t>
      </w:r>
      <w:r>
        <w:rPr>
          <w:snapToGrid w:val="0"/>
        </w:rPr>
        <w:tab/>
        <w:t>The applicant shall state the identification symbols which will be assigned by the manufacturer to the type of container to which the application for approval relates.</w:t>
      </w:r>
    </w:p>
    <w:p>
      <w:pPr>
        <w:pStyle w:val="yMiscellaneousBody"/>
        <w:keepNext/>
        <w:ind w:left="570" w:hanging="570"/>
        <w:rPr>
          <w:snapToGrid w:val="0"/>
        </w:rPr>
      </w:pPr>
      <w:r>
        <w:rPr>
          <w:snapToGrid w:val="0"/>
        </w:rPr>
        <w:t>3.</w:t>
      </w:r>
      <w:r>
        <w:rPr>
          <w:snapToGrid w:val="0"/>
        </w:rPr>
        <w:tab/>
        <w:t>The application shall also be accompanied by an assurance from the manufacturer that he will:</w:t>
      </w:r>
    </w:p>
    <w:p>
      <w:pPr>
        <w:pStyle w:val="yIndenta"/>
        <w:tabs>
          <w:tab w:val="clear" w:pos="1332"/>
          <w:tab w:val="clear" w:pos="1616"/>
          <w:tab w:val="right" w:pos="1026"/>
        </w:tabs>
        <w:ind w:left="1311" w:hanging="1311"/>
        <w:rPr>
          <w:snapToGrid w:val="0"/>
        </w:rPr>
      </w:pPr>
      <w:r>
        <w:rPr>
          <w:snapToGrid w:val="0"/>
        </w:rPr>
        <w:tab/>
        <w:t>(a)</w:t>
      </w:r>
      <w:r>
        <w:rPr>
          <w:snapToGrid w:val="0"/>
        </w:rPr>
        <w:tab/>
        <w:t>produce to the Administration such containers of the design type concerned as the Administration may wish to examine;</w:t>
      </w:r>
    </w:p>
    <w:p>
      <w:pPr>
        <w:pStyle w:val="yIndenta"/>
        <w:tabs>
          <w:tab w:val="clear" w:pos="1332"/>
          <w:tab w:val="clear" w:pos="1616"/>
          <w:tab w:val="right" w:pos="1026"/>
        </w:tabs>
        <w:ind w:left="1311" w:hanging="1311"/>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tabs>
          <w:tab w:val="clear" w:pos="1332"/>
          <w:tab w:val="clear" w:pos="1616"/>
          <w:tab w:val="right" w:pos="1026"/>
        </w:tabs>
        <w:ind w:left="1311" w:hanging="1311"/>
        <w:rPr>
          <w:snapToGrid w:val="0"/>
        </w:rPr>
      </w:pPr>
      <w:r>
        <w:rPr>
          <w:snapToGrid w:val="0"/>
        </w:rPr>
        <w:tab/>
        <w:t>(c)</w:t>
      </w:r>
      <w:r>
        <w:rPr>
          <w:snapToGrid w:val="0"/>
        </w:rPr>
        <w:tab/>
        <w:t>affix the Safety Approval Plate to each container in the design type series and to no others;</w:t>
      </w:r>
    </w:p>
    <w:p>
      <w:pPr>
        <w:pStyle w:val="yIndenta"/>
        <w:tabs>
          <w:tab w:val="clear" w:pos="1332"/>
          <w:tab w:val="clear" w:pos="1616"/>
          <w:tab w:val="right" w:pos="1026"/>
        </w:tabs>
        <w:ind w:left="1311" w:hanging="1311"/>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ind w:left="570" w:hanging="570"/>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ind w:left="570" w:hanging="570"/>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rPr>
          <w:b/>
          <w:snapToGrid w:val="0"/>
        </w:rPr>
      </w:pPr>
      <w:r>
        <w:rPr>
          <w:b/>
          <w:bCs/>
        </w:rPr>
        <w:t>Regulation</w:t>
      </w:r>
      <w:r>
        <w:rPr>
          <w:b/>
          <w:snapToGrid w:val="0"/>
        </w:rPr>
        <w:t>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rPr>
          <w:snapToGrid w:val="0"/>
        </w:rPr>
      </w:pPr>
      <w:r>
        <w:rPr>
          <w:b/>
          <w:bCs/>
        </w:rPr>
        <w:lastRenderedPageBreak/>
        <w:t>Regulation</w:t>
      </w:r>
      <w:r>
        <w:rPr>
          <w:b/>
          <w:snapToGrid w:val="0"/>
        </w:rPr>
        <w:t>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rPr>
          <w:b/>
          <w:snapToGrid w:val="0"/>
        </w:rPr>
      </w:pPr>
      <w:r>
        <w:rPr>
          <w:b/>
          <w:bCs/>
        </w:rPr>
        <w:t>Regulation</w:t>
      </w:r>
      <w:r>
        <w:rPr>
          <w:b/>
          <w:snapToGrid w:val="0"/>
        </w:rPr>
        <w:t>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rPr>
          <w:b/>
          <w:snapToGrid w:val="0"/>
        </w:rPr>
      </w:pPr>
      <w:r>
        <w:rPr>
          <w:b/>
          <w:bCs/>
        </w:rPr>
        <w:t>Regulation</w:t>
      </w:r>
      <w:r>
        <w:rPr>
          <w:b/>
          <w:snapToGrid w:val="0"/>
        </w:rPr>
        <w:t> 9</w:t>
      </w:r>
    </w:p>
    <w:p>
      <w:pPr>
        <w:pStyle w:val="yMiscellaneousHeading"/>
        <w:rPr>
          <w:i/>
          <w:snapToGrid w:val="0"/>
        </w:rPr>
      </w:pPr>
      <w:r>
        <w:rPr>
          <w:i/>
          <w:snapToGrid w:val="0"/>
        </w:rPr>
        <w:t>Approval of Existing Containers</w:t>
      </w:r>
    </w:p>
    <w:p>
      <w:pPr>
        <w:pStyle w:val="yMiscellaneousBody"/>
        <w:ind w:left="570" w:hanging="570"/>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tabs>
          <w:tab w:val="clear" w:pos="1332"/>
          <w:tab w:val="clear" w:pos="1616"/>
          <w:tab w:val="right" w:pos="1026"/>
        </w:tabs>
        <w:ind w:left="1311" w:hanging="1311"/>
        <w:rPr>
          <w:snapToGrid w:val="0"/>
        </w:rPr>
      </w:pPr>
      <w:r>
        <w:rPr>
          <w:snapToGrid w:val="0"/>
        </w:rPr>
        <w:tab/>
        <w:t>(a)</w:t>
      </w:r>
      <w:r>
        <w:rPr>
          <w:snapToGrid w:val="0"/>
        </w:rPr>
        <w:tab/>
        <w:t>date and place of manufacture;</w:t>
      </w:r>
    </w:p>
    <w:p>
      <w:pPr>
        <w:pStyle w:val="yIndenta"/>
        <w:tabs>
          <w:tab w:val="clear" w:pos="1332"/>
          <w:tab w:val="clear" w:pos="1616"/>
          <w:tab w:val="right" w:pos="1026"/>
        </w:tabs>
        <w:ind w:left="1311" w:hanging="1311"/>
        <w:rPr>
          <w:snapToGrid w:val="0"/>
        </w:rPr>
      </w:pPr>
      <w:r>
        <w:rPr>
          <w:snapToGrid w:val="0"/>
        </w:rPr>
        <w:tab/>
        <w:t>(b)</w:t>
      </w:r>
      <w:r>
        <w:rPr>
          <w:snapToGrid w:val="0"/>
        </w:rPr>
        <w:tab/>
        <w:t>manufacturer’s identification number of the container if available;</w:t>
      </w:r>
    </w:p>
    <w:p>
      <w:pPr>
        <w:pStyle w:val="yIndenta"/>
        <w:tabs>
          <w:tab w:val="clear" w:pos="1332"/>
          <w:tab w:val="clear" w:pos="1616"/>
          <w:tab w:val="right" w:pos="1026"/>
        </w:tabs>
        <w:ind w:left="1311" w:hanging="1311"/>
        <w:rPr>
          <w:snapToGrid w:val="0"/>
        </w:rPr>
      </w:pPr>
      <w:r>
        <w:rPr>
          <w:snapToGrid w:val="0"/>
        </w:rPr>
        <w:tab/>
        <w:t>(c)</w:t>
      </w:r>
      <w:r>
        <w:rPr>
          <w:snapToGrid w:val="0"/>
        </w:rPr>
        <w:tab/>
        <w:t>maximum operating gross weight capability;</w:t>
      </w:r>
    </w:p>
    <w:p>
      <w:pPr>
        <w:pStyle w:val="yIndenta"/>
        <w:tabs>
          <w:tab w:val="clear" w:pos="1332"/>
          <w:tab w:val="clear" w:pos="1616"/>
          <w:tab w:val="right" w:pos="1026"/>
          <w:tab w:val="right" w:pos="1710"/>
        </w:tabs>
        <w:ind w:left="1995" w:hanging="1995"/>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tabs>
          <w:tab w:val="clear" w:pos="2041"/>
          <w:tab w:val="clear" w:pos="2325"/>
          <w:tab w:val="right" w:pos="1710"/>
        </w:tabs>
        <w:ind w:left="1995" w:hanging="1995"/>
        <w:rPr>
          <w:snapToGrid w:val="0"/>
        </w:rPr>
      </w:pPr>
      <w:r>
        <w:rPr>
          <w:snapToGrid w:val="0"/>
        </w:rPr>
        <w:tab/>
        <w:t>(ii)</w:t>
      </w:r>
      <w:r>
        <w:rPr>
          <w:snapToGrid w:val="0"/>
        </w:rPr>
        <w:tab/>
        <w:t xml:space="preserve">evidence to the satisfaction of the Administration that the container was manufactured to a design type which had been tested and found to comply with the technical </w:t>
      </w:r>
      <w:r>
        <w:rPr>
          <w:snapToGrid w:val="0"/>
        </w:rPr>
        <w:lastRenderedPageBreak/>
        <w:t>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tabs>
          <w:tab w:val="clear" w:pos="2041"/>
          <w:tab w:val="clear" w:pos="2325"/>
          <w:tab w:val="right" w:pos="1710"/>
        </w:tabs>
        <w:ind w:left="1995" w:hanging="1995"/>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tabs>
          <w:tab w:val="clear" w:pos="1332"/>
          <w:tab w:val="clear" w:pos="1616"/>
          <w:tab w:val="right" w:pos="1026"/>
        </w:tabs>
        <w:ind w:left="1311" w:hanging="1311"/>
        <w:rPr>
          <w:snapToGrid w:val="0"/>
        </w:rPr>
      </w:pPr>
      <w:r>
        <w:rPr>
          <w:snapToGrid w:val="0"/>
        </w:rPr>
        <w:tab/>
        <w:t>(e)</w:t>
      </w:r>
      <w:r>
        <w:rPr>
          <w:snapToGrid w:val="0"/>
        </w:rPr>
        <w:tab/>
        <w:t>allowable stacking weight for 1.8 g (kilogrammes and lbs); and</w:t>
      </w:r>
    </w:p>
    <w:p>
      <w:pPr>
        <w:pStyle w:val="yIndenta"/>
        <w:tabs>
          <w:tab w:val="clear" w:pos="1332"/>
          <w:tab w:val="clear" w:pos="1616"/>
          <w:tab w:val="right" w:pos="1026"/>
        </w:tabs>
        <w:ind w:left="1311" w:hanging="1311"/>
        <w:rPr>
          <w:snapToGrid w:val="0"/>
        </w:rPr>
      </w:pPr>
      <w:r>
        <w:rPr>
          <w:snapToGrid w:val="0"/>
        </w:rPr>
        <w:tab/>
        <w:t>(f)</w:t>
      </w:r>
      <w:r>
        <w:rPr>
          <w:snapToGrid w:val="0"/>
        </w:rPr>
        <w:tab/>
        <w:t>such other data as required for the Safety Approval Plate,</w:t>
      </w:r>
    </w:p>
    <w:p>
      <w:pPr>
        <w:pStyle w:val="yMiscellaneousBody"/>
        <w:ind w:left="570" w:hanging="570"/>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ind w:left="570" w:hanging="570"/>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NAm"/>
              <w:spacing w:before="0"/>
              <w:jc w:val="center"/>
            </w:pPr>
            <w:r>
              <w:lastRenderedPageBreak/>
              <w:t>CSC SAFETY APPROVAL</w:t>
            </w:r>
          </w:p>
          <w:p>
            <w:pPr>
              <w:pStyle w:val="yTableNAm"/>
              <w:spacing w:before="0"/>
              <w:rPr>
                <w:sz w:val="16"/>
              </w:rPr>
            </w:pPr>
            <w:r>
              <w:rPr>
                <w:sz w:val="16"/>
              </w:rPr>
              <w:t xml:space="preserve">1 . . . . . . . . [GB </w:t>
            </w:r>
            <w:r>
              <w:rPr>
                <w:sz w:val="16"/>
              </w:rPr>
              <w:noBreakHyphen/>
              <w:t xml:space="preserve"> L/749/2/7/75]</w:t>
            </w:r>
          </w:p>
          <w:p>
            <w:pPr>
              <w:pStyle w:val="yTableNAm"/>
              <w:spacing w:before="0"/>
              <w:rPr>
                <w:sz w:val="16"/>
              </w:rPr>
            </w:pPr>
            <w:r>
              <w:rPr>
                <w:sz w:val="16"/>
              </w:rPr>
              <w:t>2 . . . . . . . . DATE MANUFACTURED . . . . . . . . . . . . . . . . . . . . . . . . . . . .</w:t>
            </w:r>
          </w:p>
          <w:p>
            <w:pPr>
              <w:pStyle w:val="yTableNAm"/>
              <w:spacing w:before="0"/>
              <w:rPr>
                <w:sz w:val="16"/>
              </w:rPr>
            </w:pPr>
            <w:r>
              <w:rPr>
                <w:sz w:val="16"/>
              </w:rPr>
              <w:t>3 . . . . . . . . IDENTIFICATION No. . . . . . . . . . . . . . . . . . . . . . . . . . . . . . . .</w:t>
            </w:r>
          </w:p>
          <w:p>
            <w:pPr>
              <w:pStyle w:val="yTableNAm"/>
              <w:spacing w:before="0"/>
              <w:rPr>
                <w:sz w:val="16"/>
              </w:rPr>
            </w:pPr>
            <w:r>
              <w:rPr>
                <w:sz w:val="16"/>
              </w:rPr>
              <w:t>4 . . . . . . . . MAXIMUM GROSS WEIGHT. . . . .  . . . kg  . . . . . . . . . . . . lb</w:t>
            </w:r>
          </w:p>
          <w:p>
            <w:pPr>
              <w:pStyle w:val="yTableNAm"/>
              <w:spacing w:before="0"/>
              <w:rPr>
                <w:sz w:val="16"/>
              </w:rPr>
            </w:pPr>
            <w:r>
              <w:rPr>
                <w:sz w:val="16"/>
              </w:rPr>
              <w:t>5 . . . . . . . . ALLOWABLE STACKING WEIGHT . . . FOR 1.8 g. .kg . . lb</w:t>
            </w:r>
          </w:p>
          <w:p>
            <w:pPr>
              <w:pStyle w:val="yTableNAm"/>
              <w:spacing w:before="0"/>
              <w:rPr>
                <w:sz w:val="16"/>
              </w:rPr>
            </w:pPr>
            <w:r>
              <w:rPr>
                <w:sz w:val="16"/>
              </w:rPr>
              <w:t>6 . . . . . . . . RACKING TEST LOAD VALUE . . . . . . . . kg . . . . . . . . . . . lb</w:t>
            </w:r>
          </w:p>
          <w:p>
            <w:pPr>
              <w:pStyle w:val="yTableNAm"/>
              <w:spacing w:before="0"/>
              <w:rPr>
                <w:sz w:val="16"/>
              </w:rPr>
            </w:pPr>
            <w:r>
              <w:rPr>
                <w:sz w:val="16"/>
              </w:rPr>
              <w:t>7 . . . . . . . .</w:t>
            </w:r>
          </w:p>
          <w:p>
            <w:pPr>
              <w:pStyle w:val="yTableNAm"/>
              <w:spacing w:before="0"/>
              <w:rPr>
                <w:sz w:val="16"/>
              </w:rPr>
            </w:pPr>
            <w:r>
              <w:rPr>
                <w:sz w:val="16"/>
              </w:rPr>
              <w:t>8 . . . . . . . .</w:t>
            </w:r>
          </w:p>
          <w:p>
            <w:pPr>
              <w:pStyle w:val="yTableNAm"/>
              <w:spacing w:before="0"/>
              <w:rPr>
                <w:sz w:val="16"/>
              </w:rPr>
            </w:pPr>
            <w:r>
              <w:rPr>
                <w:sz w:val="16"/>
              </w:rPr>
              <w:t>9 . . . . . . . .</w:t>
            </w:r>
          </w:p>
        </w:tc>
        <w:tc>
          <w:tcPr>
            <w:tcW w:w="567" w:type="dxa"/>
            <w:tcBorders>
              <w:top w:val="single" w:sz="4" w:space="0" w:color="auto"/>
              <w:left w:val="nil"/>
              <w:bottom w:val="nil"/>
            </w:tcBorders>
          </w:tcPr>
          <w:p>
            <w:pPr>
              <w:pStyle w:val="yTableNAm"/>
              <w:spacing w:before="0"/>
              <w:rPr>
                <w:sz w:val="16"/>
              </w:rPr>
            </w:pPr>
            <w:r>
              <w:rPr>
                <w:sz w:val="16"/>
              </w:rPr>
              <w:object w:dxaOrig="361" w:dyaOrig="2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02.75pt" o:ole="" fillcolor="window">
                  <v:imagedata r:id="rId23" o:title=""/>
                </v:shape>
                <o:OLEObject Type="Embed" ProgID="Word.Picture.8" ShapeID="_x0000_i1025" DrawAspect="Content" ObjectID="_1810714530" r:id="rId24"/>
              </w:object>
            </w:r>
          </w:p>
        </w:tc>
      </w:tr>
      <w:tr>
        <w:trPr>
          <w:cantSplit/>
        </w:trPr>
        <w:tc>
          <w:tcPr>
            <w:tcW w:w="6237" w:type="dxa"/>
            <w:gridSpan w:val="2"/>
            <w:tcBorders>
              <w:top w:val="nil"/>
              <w:bottom w:val="single" w:sz="4" w:space="0" w:color="auto"/>
            </w:tcBorders>
          </w:tcPr>
          <w:p>
            <w:pPr>
              <w:pStyle w:val="yTableNAm"/>
              <w:spacing w:before="0"/>
              <w:rPr>
                <w:sz w:val="16"/>
              </w:rPr>
            </w:pPr>
            <w:r>
              <w:rPr>
                <w:noProof/>
                <w:sz w:val="16"/>
              </w:rPr>
              <w:drawing>
                <wp:inline distT="0" distB="0" distL="0" distR="0">
                  <wp:extent cx="1654175" cy="7937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54175" cy="79375"/>
                          </a:xfrm>
                          <a:prstGeom prst="rect">
                            <a:avLst/>
                          </a:prstGeom>
                          <a:noFill/>
                          <a:ln>
                            <a:noFill/>
                          </a:ln>
                        </pic:spPr>
                      </pic:pic>
                    </a:graphicData>
                  </a:graphic>
                </wp:inline>
              </w:drawing>
            </w:r>
            <w:r>
              <w:rPr>
                <w:sz w:val="16"/>
              </w:rPr>
              <w:t xml:space="preserve">  ≥ 200 mm  </w:t>
            </w:r>
            <w:r>
              <w:rPr>
                <w:noProof/>
                <w:sz w:val="16"/>
              </w:rPr>
              <w:drawing>
                <wp:inline distT="0" distB="0" distL="0" distR="0">
                  <wp:extent cx="1566545" cy="79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66545" cy="79375"/>
                          </a:xfrm>
                          <a:prstGeom prst="rect">
                            <a:avLst/>
                          </a:prstGeom>
                          <a:noFill/>
                          <a:ln>
                            <a:noFill/>
                          </a:ln>
                        </pic:spPr>
                      </pic:pic>
                    </a:graphicData>
                  </a:graphic>
                </wp:inline>
              </w:drawing>
            </w:r>
          </w:p>
        </w:tc>
      </w:tr>
    </w:tbl>
    <w:p>
      <w:pPr>
        <w:pStyle w:val="yMiscellaneousBody"/>
        <w:ind w:left="570" w:hanging="570"/>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ind w:left="570" w:hanging="570"/>
        <w:rPr>
          <w:snapToGrid w:val="0"/>
        </w:rPr>
      </w:pPr>
      <w:r>
        <w:rPr>
          <w:snapToGrid w:val="0"/>
        </w:rPr>
        <w:t>2.</w:t>
      </w:r>
      <w:r>
        <w:rPr>
          <w:snapToGrid w:val="0"/>
        </w:rPr>
        <w:tab/>
        <w:t>Date (month and year) of manufacture.</w:t>
      </w:r>
    </w:p>
    <w:p>
      <w:pPr>
        <w:pStyle w:val="yMiscellaneousBody"/>
        <w:ind w:left="570" w:hanging="570"/>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ind w:left="570" w:hanging="570"/>
        <w:rPr>
          <w:snapToGrid w:val="0"/>
        </w:rPr>
      </w:pPr>
      <w:r>
        <w:rPr>
          <w:snapToGrid w:val="0"/>
        </w:rPr>
        <w:t>4.</w:t>
      </w:r>
      <w:r>
        <w:rPr>
          <w:snapToGrid w:val="0"/>
        </w:rPr>
        <w:tab/>
        <w:t>Maximum Operating Gross Weight (kilogrammes and lbs.).</w:t>
      </w:r>
    </w:p>
    <w:p>
      <w:pPr>
        <w:pStyle w:val="yMiscellaneousBody"/>
        <w:ind w:left="570" w:hanging="570"/>
        <w:rPr>
          <w:snapToGrid w:val="0"/>
        </w:rPr>
      </w:pPr>
      <w:r>
        <w:rPr>
          <w:snapToGrid w:val="0"/>
        </w:rPr>
        <w:t>5.</w:t>
      </w:r>
      <w:r>
        <w:rPr>
          <w:snapToGrid w:val="0"/>
        </w:rPr>
        <w:tab/>
        <w:t>Allowable Stacking Weight for 1.8 g (kilogrammes and lbs.).</w:t>
      </w:r>
    </w:p>
    <w:p>
      <w:pPr>
        <w:pStyle w:val="yMiscellaneousBody"/>
        <w:ind w:left="570" w:hanging="570"/>
        <w:rPr>
          <w:snapToGrid w:val="0"/>
        </w:rPr>
      </w:pPr>
      <w:r>
        <w:rPr>
          <w:snapToGrid w:val="0"/>
        </w:rPr>
        <w:t>6.</w:t>
      </w:r>
      <w:r>
        <w:rPr>
          <w:snapToGrid w:val="0"/>
        </w:rPr>
        <w:tab/>
        <w:t>Transverse Racking Test Load Value (kilogrammes and lbs.).</w:t>
      </w:r>
    </w:p>
    <w:p>
      <w:pPr>
        <w:pStyle w:val="yMiscellaneousBody"/>
        <w:ind w:left="570" w:hanging="570"/>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ind w:left="570" w:hanging="570"/>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ind w:left="570" w:hanging="570"/>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r>
        <w:rPr>
          <w:snapToGrid w:val="0"/>
        </w:rPr>
        <w:lastRenderedPageBreak/>
        <w:t>ANNEX II</w:t>
      </w:r>
    </w:p>
    <w:p>
      <w:pPr>
        <w:pStyle w:val="yMiscellaneousHeading"/>
        <w:spacing w:before="200"/>
        <w:rPr>
          <w:snapToGrid w:val="0"/>
        </w:rPr>
      </w:pPr>
      <w:r>
        <w:rPr>
          <w:snapToGrid w:val="0"/>
        </w:rPr>
        <w:t>STRUCTURAL SAFETY REQUIREMENTS AND TESTS</w:t>
      </w:r>
    </w:p>
    <w:p>
      <w:pPr>
        <w:pStyle w:val="yMiscellaneousHeading"/>
        <w:jc w:val="left"/>
        <w:rPr>
          <w:b/>
          <w:bCs/>
        </w:rPr>
      </w:pPr>
      <w:r>
        <w:rPr>
          <w:b/>
          <w:bCs/>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tabs>
          <w:tab w:val="clear" w:pos="1332"/>
          <w:tab w:val="clear" w:pos="1616"/>
          <w:tab w:val="right" w:pos="1026"/>
        </w:tabs>
        <w:ind w:left="1311" w:hanging="1311"/>
        <w:rPr>
          <w:snapToGrid w:val="0"/>
        </w:rPr>
      </w:pPr>
      <w:r>
        <w:rPr>
          <w:snapToGrid w:val="0"/>
        </w:rPr>
        <w:tab/>
        <w:t>(a)</w:t>
      </w:r>
      <w:r>
        <w:rPr>
          <w:snapToGrid w:val="0"/>
        </w:rPr>
        <w:tab/>
        <w:t>the container will so be restrained that it is not subjected to forces in excess of those for which it has been designed;</w:t>
      </w:r>
    </w:p>
    <w:p>
      <w:pPr>
        <w:pStyle w:val="yIndenta"/>
        <w:tabs>
          <w:tab w:val="clear" w:pos="1332"/>
          <w:tab w:val="clear" w:pos="1616"/>
          <w:tab w:val="right" w:pos="1026"/>
        </w:tabs>
        <w:ind w:left="1311" w:hanging="1311"/>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rPr>
          <w:b/>
          <w:snapToGrid w:val="0"/>
        </w:rPr>
      </w:pPr>
      <w:r>
        <w:rPr>
          <w:b/>
          <w:bCs/>
        </w:rPr>
        <w:t>Construction</w:t>
      </w:r>
    </w:p>
    <w:p>
      <w:pPr>
        <w:pStyle w:val="yMiscellaneousBody"/>
        <w:ind w:left="570" w:hanging="570"/>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ind w:left="570" w:hanging="570"/>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ind w:left="570" w:hanging="570"/>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jc w:val="left"/>
        <w:rPr>
          <w:b/>
          <w:snapToGrid w:val="0"/>
        </w:rPr>
      </w:pPr>
      <w:r>
        <w:rPr>
          <w:b/>
          <w:snapToGrid w:val="0"/>
        </w:rPr>
        <w:t xml:space="preserve">Test loads and </w:t>
      </w:r>
      <w:r>
        <w:rPr>
          <w:b/>
          <w:bCs/>
        </w:rPr>
        <w:t>test</w:t>
      </w:r>
      <w:r>
        <w:rPr>
          <w:b/>
          <w:snapToGrid w:val="0"/>
        </w:rPr>
        <w:t xml:space="preserve">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64"/>
        <w:gridCol w:w="13"/>
        <w:gridCol w:w="4253"/>
      </w:tblGrid>
      <w:tr>
        <w:trPr>
          <w:tblHeader/>
        </w:trPr>
        <w:tc>
          <w:tcPr>
            <w:tcW w:w="2964" w:type="dxa"/>
            <w:tcBorders>
              <w:top w:val="single" w:sz="4" w:space="0" w:color="auto"/>
              <w:bottom w:val="single" w:sz="4" w:space="0" w:color="auto"/>
              <w:right w:val="single" w:sz="4" w:space="0" w:color="auto"/>
            </w:tcBorders>
          </w:tcPr>
          <w:p>
            <w:pPr>
              <w:pStyle w:val="yTableNAm"/>
              <w:ind w:right="-84"/>
              <w:rPr>
                <w:b/>
                <w:sz w:val="20"/>
              </w:rPr>
            </w:pPr>
            <w:r>
              <w:rPr>
                <w:b/>
                <w:sz w:val="20"/>
              </w:rPr>
              <w:t>Test loadings and applied forces</w:t>
            </w:r>
          </w:p>
        </w:tc>
        <w:tc>
          <w:tcPr>
            <w:tcW w:w="4266" w:type="dxa"/>
            <w:gridSpan w:val="2"/>
            <w:tcBorders>
              <w:top w:val="single" w:sz="4" w:space="0" w:color="auto"/>
              <w:left w:val="nil"/>
              <w:bottom w:val="single" w:sz="4" w:space="0" w:color="auto"/>
            </w:tcBorders>
          </w:tcPr>
          <w:p>
            <w:pPr>
              <w:pStyle w:val="yTableNAm"/>
              <w:rPr>
                <w:b/>
                <w:sz w:val="20"/>
              </w:rPr>
            </w:pPr>
            <w:r>
              <w:rPr>
                <w:b/>
                <w:sz w:val="20"/>
              </w:rPr>
              <w:t>Test procedures</w:t>
            </w:r>
          </w:p>
        </w:tc>
      </w:tr>
      <w:tr>
        <w:trPr>
          <w:cantSplit/>
        </w:trPr>
        <w:tc>
          <w:tcPr>
            <w:tcW w:w="7230" w:type="dxa"/>
            <w:gridSpan w:val="3"/>
          </w:tcPr>
          <w:p>
            <w:pPr>
              <w:pStyle w:val="yTableNAm"/>
              <w:jc w:val="center"/>
              <w:rPr>
                <w:sz w:val="20"/>
              </w:rPr>
            </w:pPr>
            <w:r>
              <w:rPr>
                <w:sz w:val="20"/>
              </w:rPr>
              <w:t>1. LIFTING</w:t>
            </w:r>
          </w:p>
          <w:p>
            <w:pPr>
              <w:pStyle w:val="yTableNAm"/>
              <w:rPr>
                <w:sz w:val="20"/>
              </w:rPr>
            </w:pPr>
            <w:r>
              <w:rPr>
                <w:snapToGrid w:val="0"/>
                <w:sz w:val="2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3"/>
          </w:tcPr>
          <w:p>
            <w:pPr>
              <w:pStyle w:val="yTableNAm"/>
              <w:jc w:val="center"/>
              <w:rPr>
                <w:b/>
                <w:snapToGrid w:val="0"/>
                <w:sz w:val="20"/>
              </w:rPr>
            </w:pPr>
            <w:r>
              <w:rPr>
                <w:b/>
                <w:snapToGrid w:val="0"/>
                <w:sz w:val="20"/>
              </w:rPr>
              <w:lastRenderedPageBreak/>
              <w:t>(A) Lifting from corner fittings</w:t>
            </w:r>
          </w:p>
        </w:tc>
      </w:tr>
      <w:tr>
        <w:trPr>
          <w:cantSplit/>
        </w:trPr>
        <w:tc>
          <w:tcPr>
            <w:tcW w:w="2964" w:type="dxa"/>
            <w:tcBorders>
              <w:right w:val="single" w:sz="4" w:space="0" w:color="auto"/>
            </w:tcBorders>
          </w:tcPr>
          <w:p>
            <w:pPr>
              <w:pStyle w:val="yTableNAm"/>
              <w:rPr>
                <w:sz w:val="20"/>
              </w:rPr>
            </w:pPr>
            <w:r>
              <w:rPr>
                <w:sz w:val="20"/>
              </w:rPr>
              <w:t>Internal loading:</w:t>
            </w:r>
          </w:p>
        </w:tc>
        <w:tc>
          <w:tcPr>
            <w:tcW w:w="4266" w:type="dxa"/>
            <w:gridSpan w:val="2"/>
            <w:tcBorders>
              <w:left w:val="nil"/>
            </w:tcBorders>
          </w:tcPr>
          <w:p>
            <w:pPr>
              <w:pStyle w:val="yTableNAm"/>
              <w:rPr>
                <w:sz w:val="20"/>
              </w:rPr>
            </w:pPr>
            <w:r>
              <w:rPr>
                <w:sz w:val="20"/>
              </w:rPr>
              <w:t>(i)</w:t>
            </w:r>
            <w:r>
              <w:rPr>
                <w:sz w:val="20"/>
              </w:rPr>
              <w:tab/>
              <w:t>Lifting from top corner fittings:</w:t>
            </w:r>
          </w:p>
        </w:tc>
      </w:tr>
      <w:tr>
        <w:trPr>
          <w:cantSplit/>
        </w:trPr>
        <w:tc>
          <w:tcPr>
            <w:tcW w:w="2964" w:type="dxa"/>
            <w:tcBorders>
              <w:right w:val="single" w:sz="4" w:space="0" w:color="auto"/>
            </w:tcBorders>
          </w:tcPr>
          <w:p>
            <w:pPr>
              <w:pStyle w:val="yTableNAm"/>
              <w:rPr>
                <w:sz w:val="20"/>
              </w:rPr>
            </w:pPr>
            <w:r>
              <w:rPr>
                <w:sz w:val="20"/>
              </w:rPr>
              <w:t>A uniformly distributed load such that the combined weight of container and test load is equal to 2R.</w:t>
            </w:r>
          </w:p>
        </w:tc>
        <w:tc>
          <w:tcPr>
            <w:tcW w:w="4266" w:type="dxa"/>
            <w:gridSpan w:val="2"/>
            <w:tcBorders>
              <w:left w:val="nil"/>
            </w:tcBorders>
          </w:tcPr>
          <w:p>
            <w:pPr>
              <w:pStyle w:val="yTableNAm"/>
              <w:ind w:left="567" w:hanging="567"/>
              <w:rPr>
                <w:sz w:val="20"/>
              </w:rPr>
            </w:pPr>
            <w:r>
              <w:rPr>
                <w:sz w:val="20"/>
              </w:rPr>
              <w:tab/>
              <w:t>Containers greater than 3,000 mm (10 ft.) (nominal) in length shall have lifting forces applied vertically at all four top corner fittings.</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Containers of 3,000 mm (10 ft.) (nominal) in length or less shall have lifting forces applied at all four top corner fittings, in such a way that the angle between each lifting device and the vertical shall be 30°.</w:t>
            </w:r>
          </w:p>
        </w:tc>
      </w:tr>
      <w:tr>
        <w:trPr>
          <w:cantSplit/>
        </w:trPr>
        <w:tc>
          <w:tcPr>
            <w:tcW w:w="2964" w:type="dxa"/>
            <w:tcBorders>
              <w:right w:val="single" w:sz="4" w:space="0" w:color="auto"/>
            </w:tcBorders>
          </w:tcPr>
          <w:p>
            <w:pPr>
              <w:pStyle w:val="yTableNAm"/>
              <w:keepNext/>
              <w:rPr>
                <w:sz w:val="20"/>
              </w:rPr>
            </w:pPr>
            <w:r>
              <w:rPr>
                <w:sz w:val="20"/>
              </w:rPr>
              <w:t>Externally applied forces:</w:t>
            </w:r>
          </w:p>
        </w:tc>
        <w:tc>
          <w:tcPr>
            <w:tcW w:w="4266" w:type="dxa"/>
            <w:gridSpan w:val="2"/>
            <w:tcBorders>
              <w:left w:val="nil"/>
            </w:tcBorders>
          </w:tcPr>
          <w:p>
            <w:pPr>
              <w:pStyle w:val="yTableNAm"/>
              <w:keepNext/>
              <w:rPr>
                <w:sz w:val="20"/>
              </w:rPr>
            </w:pPr>
            <w:r>
              <w:rPr>
                <w:sz w:val="20"/>
              </w:rPr>
              <w:t>(ii)</w:t>
            </w:r>
            <w:r>
              <w:rPr>
                <w:sz w:val="20"/>
              </w:rPr>
              <w:tab/>
              <w:t>Lifting from bottom corner fittings:</w:t>
            </w:r>
          </w:p>
        </w:tc>
      </w:tr>
      <w:tr>
        <w:trPr>
          <w:cantSplit/>
        </w:trPr>
        <w:tc>
          <w:tcPr>
            <w:tcW w:w="2964" w:type="dxa"/>
            <w:tcBorders>
              <w:right w:val="single" w:sz="4" w:space="0" w:color="auto"/>
            </w:tcBorders>
          </w:tcPr>
          <w:p>
            <w:pPr>
              <w:pStyle w:val="yTableNAm"/>
              <w:rPr>
                <w:sz w:val="20"/>
              </w:rPr>
            </w:pPr>
            <w:r>
              <w:rPr>
                <w:sz w:val="20"/>
              </w:rPr>
              <w:t>Such as to lift the combined weight of 2R in the manner prescribed (under the heading TEST PROCEDURES).</w:t>
            </w:r>
          </w:p>
        </w:tc>
        <w:tc>
          <w:tcPr>
            <w:tcW w:w="4266" w:type="dxa"/>
            <w:gridSpan w:val="2"/>
            <w:tcBorders>
              <w:left w:val="nil"/>
            </w:tcBorders>
          </w:tcPr>
          <w:p>
            <w:pPr>
              <w:pStyle w:val="yTableNAm"/>
              <w:ind w:left="567" w:hanging="567"/>
              <w:rPr>
                <w:sz w:val="20"/>
              </w:rPr>
            </w:pPr>
            <w:r>
              <w:rPr>
                <w:sz w:val="20"/>
              </w:rPr>
              <w:tab/>
              <w:t>Containers shall have lifting forces applied in such a manner that the lifting devices bear on the bottom corner fittings only. The lifting forces shall be applied at angles to the horizontal of:</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30° for containers of length 12,000 mm (40 ft.) (nominal) or greater;</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37° for containers of length 9,000 mm (30 ft.) (nominal) and up to but not including 12,000 mm (40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45° for containers of length 6,000 mm (20 ft.) (nominal) and up to but not including 9,000 mm (30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60° for containers of less than 6,000 mm (20 ft.) (nominal).</w:t>
            </w:r>
          </w:p>
        </w:tc>
      </w:tr>
      <w:tr>
        <w:trPr>
          <w:cantSplit/>
        </w:trPr>
        <w:tc>
          <w:tcPr>
            <w:tcW w:w="7230" w:type="dxa"/>
            <w:gridSpan w:val="3"/>
          </w:tcPr>
          <w:p>
            <w:pPr>
              <w:pStyle w:val="yTableNAm"/>
              <w:jc w:val="center"/>
              <w:rPr>
                <w:b/>
                <w:sz w:val="20"/>
              </w:rPr>
            </w:pPr>
            <w:r>
              <w:rPr>
                <w:b/>
                <w:snapToGrid w:val="0"/>
                <w:sz w:val="20"/>
              </w:rPr>
              <w:t>(B) Lifting by any other additional methods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r>
              <w:rPr>
                <w:sz w:val="20"/>
              </w:rPr>
              <w:t>(i)</w:t>
            </w:r>
            <w:r>
              <w:rPr>
                <w:sz w:val="20"/>
              </w:rPr>
              <w:tab/>
              <w:t>Lifting from fork lift pockets:</w:t>
            </w:r>
          </w:p>
        </w:tc>
      </w:tr>
      <w:tr>
        <w:trPr>
          <w:cantSplit/>
        </w:trPr>
        <w:tc>
          <w:tcPr>
            <w:tcW w:w="2977" w:type="dxa"/>
            <w:gridSpan w:val="2"/>
            <w:tcBorders>
              <w:right w:val="single" w:sz="4" w:space="0" w:color="auto"/>
            </w:tcBorders>
          </w:tcPr>
          <w:p>
            <w:pPr>
              <w:pStyle w:val="yTableNAm"/>
              <w:rPr>
                <w:sz w:val="20"/>
              </w:rPr>
            </w:pPr>
            <w:r>
              <w:rPr>
                <w:sz w:val="20"/>
              </w:rPr>
              <w:lastRenderedPageBreak/>
              <w:t>A uniformly distributed load such that the combined weight of container and test load is equal to 1.25 R.</w:t>
            </w:r>
          </w:p>
          <w:p>
            <w:pPr>
              <w:pStyle w:val="yTableNAm"/>
              <w:rPr>
                <w:sz w:val="20"/>
              </w:rPr>
            </w:pPr>
            <w:r>
              <w:rPr>
                <w:sz w:val="20"/>
              </w:rPr>
              <w:t>Externally applied forces:</w:t>
            </w:r>
          </w:p>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ind w:left="567" w:hanging="567"/>
              <w:rPr>
                <w:sz w:val="20"/>
              </w:rPr>
            </w:pPr>
            <w:r>
              <w:rPr>
                <w:sz w:val="20"/>
              </w:rP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ind w:left="567" w:hanging="567"/>
              <w:rPr>
                <w:sz w:val="20"/>
              </w:rPr>
            </w:pPr>
            <w:r>
              <w:rPr>
                <w:sz w:val="20"/>
              </w:rPr>
              <w:t>(ii)</w:t>
            </w:r>
            <w:r>
              <w:rPr>
                <w:sz w:val="20"/>
              </w:rPr>
              <w:tab/>
              <w:t>Lifting from grappler arm positions: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containers and test load is equal to 1.25 R.</w:t>
            </w:r>
          </w:p>
        </w:tc>
        <w:tc>
          <w:tcPr>
            <w:tcW w:w="4253" w:type="dxa"/>
            <w:tcBorders>
              <w:left w:val="nil"/>
            </w:tcBorders>
          </w:tcPr>
          <w:p>
            <w:pPr>
              <w:pStyle w:val="yTableNAm"/>
              <w:ind w:left="567" w:hanging="567"/>
              <w:rPr>
                <w:sz w:val="20"/>
              </w:rPr>
            </w:pPr>
            <w:r>
              <w:rPr>
                <w:sz w:val="20"/>
              </w:rP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(iii)</w:t>
            </w:r>
            <w:r>
              <w:rPr>
                <w:sz w:val="20"/>
              </w:rPr>
              <w:tab/>
              <w:t>Other Methods</w:t>
            </w:r>
          </w:p>
          <w:p>
            <w:pPr>
              <w:pStyle w:val="yTableNAm"/>
              <w:spacing w:before="80"/>
              <w:ind w:left="567" w:hanging="567"/>
              <w:rPr>
                <w:sz w:val="20"/>
              </w:rPr>
            </w:pPr>
            <w:r>
              <w:rPr>
                <w:sz w:val="20"/>
              </w:rPr>
              <w:tab/>
              <w:t>Where containers are designed to be lifted in the loaded condition by any method not mentioned in (A) or (B)(i) and (ii) they shall also be tested with the INTERNAL LOADING AND EXTERNALLY APPLIED FORCES representative of the acceleration conditions appropriate to that method.</w:t>
            </w:r>
          </w:p>
        </w:tc>
      </w:tr>
      <w:tr>
        <w:trPr>
          <w:cantSplit/>
        </w:trPr>
        <w:tc>
          <w:tcPr>
            <w:tcW w:w="7230" w:type="dxa"/>
            <w:gridSpan w:val="3"/>
          </w:tcPr>
          <w:p>
            <w:pPr>
              <w:pStyle w:val="yTableNAm"/>
              <w:spacing w:before="240"/>
              <w:jc w:val="center"/>
              <w:rPr>
                <w:sz w:val="20"/>
              </w:rPr>
            </w:pPr>
            <w:r>
              <w:rPr>
                <w:sz w:val="20"/>
              </w:rPr>
              <w:lastRenderedPageBreak/>
              <w:t>2. STACKING</w:t>
            </w:r>
          </w:p>
          <w:p>
            <w:pPr>
              <w:pStyle w:val="yTableNAm"/>
              <w:spacing w:before="80"/>
              <w:ind w:left="567" w:hanging="567"/>
              <w:rPr>
                <w:snapToGrid w:val="0"/>
                <w:sz w:val="20"/>
              </w:rPr>
            </w:pPr>
            <w:r>
              <w:rPr>
                <w:snapToGrid w:val="0"/>
                <w:sz w:val="20"/>
              </w:rPr>
              <w:t>1.</w:t>
            </w:r>
            <w:r>
              <w:rPr>
                <w:snapToGrid w:val="0"/>
                <w:sz w:val="2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TableNAm"/>
              <w:spacing w:before="80"/>
              <w:ind w:left="567" w:hanging="567"/>
              <w:rPr>
                <w:sz w:val="20"/>
              </w:rPr>
            </w:pPr>
            <w:r>
              <w:rPr>
                <w:snapToGrid w:val="0"/>
                <w:sz w:val="20"/>
              </w:rPr>
              <w:t>2.</w:t>
            </w:r>
            <w:r>
              <w:rPr>
                <w:snapToGrid w:val="0"/>
                <w:sz w:val="2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1.8 R.</w:t>
            </w:r>
          </w:p>
        </w:tc>
        <w:tc>
          <w:tcPr>
            <w:tcW w:w="4253" w:type="dxa"/>
            <w:tcBorders>
              <w:left w:val="nil"/>
            </w:tcBorders>
          </w:tcPr>
          <w:p>
            <w:pPr>
              <w:pStyle w:val="yTableNAm"/>
              <w:rPr>
                <w:sz w:val="20"/>
              </w:rPr>
            </w:pPr>
            <w:r>
              <w:rPr>
                <w:sz w:val="20"/>
              </w:rP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gridSpan w:val="2"/>
            <w:tcBorders>
              <w:right w:val="single" w:sz="4" w:space="0" w:color="auto"/>
            </w:tcBorders>
          </w:tcPr>
          <w:p>
            <w:pPr>
              <w:pStyle w:val="yTableNAm"/>
              <w:keepNext/>
              <w:rPr>
                <w:sz w:val="20"/>
              </w:rPr>
            </w:pPr>
            <w:r>
              <w:rPr>
                <w:sz w:val="20"/>
              </w:rPr>
              <w:t>Externally applied force:</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each of the four top corner fittings to a vertical downward force equal to ¼ x 1.8 x the allowable superimposed static stacking weight.</w:t>
            </w:r>
          </w:p>
        </w:tc>
        <w:tc>
          <w:tcPr>
            <w:tcW w:w="4253" w:type="dxa"/>
            <w:tcBorders>
              <w:left w:val="nil"/>
            </w:tcBorders>
          </w:tcPr>
          <w:p>
            <w:pPr>
              <w:pStyle w:val="yTableNAm"/>
              <w:rPr>
                <w:sz w:val="20"/>
              </w:rPr>
            </w:pPr>
            <w:r>
              <w:rPr>
                <w:sz w:val="20"/>
              </w:rP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3"/>
          </w:tcPr>
          <w:p>
            <w:pPr>
              <w:pStyle w:val="yTableNAm"/>
              <w:jc w:val="center"/>
              <w:rPr>
                <w:sz w:val="20"/>
              </w:rPr>
            </w:pPr>
            <w:r>
              <w:rPr>
                <w:snapToGrid w:val="0"/>
                <w:sz w:val="20"/>
              </w:rPr>
              <w:t>3. CONCENTRATED LOADS</w:t>
            </w:r>
          </w:p>
        </w:tc>
      </w:tr>
      <w:tr>
        <w:trPr>
          <w:cantSplit/>
        </w:trPr>
        <w:tc>
          <w:tcPr>
            <w:tcW w:w="7230" w:type="dxa"/>
            <w:gridSpan w:val="3"/>
          </w:tcPr>
          <w:p>
            <w:pPr>
              <w:pStyle w:val="yTableNAm"/>
              <w:jc w:val="center"/>
              <w:rPr>
                <w:b/>
                <w:snapToGrid w:val="0"/>
                <w:sz w:val="20"/>
              </w:rPr>
            </w:pPr>
            <w:r>
              <w:rPr>
                <w:b/>
                <w:snapToGrid w:val="0"/>
                <w:sz w:val="20"/>
              </w:rPr>
              <w:t>(a) On roof</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concentrated load of 300 kg (660 lb.) uniformly distributed over an area of 600 mm x 300 mm (24 in. x 12 in.).</w:t>
            </w:r>
          </w:p>
        </w:tc>
        <w:tc>
          <w:tcPr>
            <w:tcW w:w="4253" w:type="dxa"/>
            <w:tcBorders>
              <w:left w:val="nil"/>
            </w:tcBorders>
          </w:tcPr>
          <w:p>
            <w:pPr>
              <w:pStyle w:val="yTableNAm"/>
              <w:rPr>
                <w:sz w:val="20"/>
              </w:rPr>
            </w:pPr>
            <w:r>
              <w:rPr>
                <w:sz w:val="20"/>
              </w:rPr>
              <w:t>The EXTERNALLY APPLIED FORCES shall be applied vertically downwards to the outer surface of the weakest area of the roof of the container.</w:t>
            </w:r>
          </w:p>
        </w:tc>
      </w:tr>
      <w:tr>
        <w:trPr>
          <w:cantSplit/>
        </w:trPr>
        <w:tc>
          <w:tcPr>
            <w:tcW w:w="7230" w:type="dxa"/>
            <w:gridSpan w:val="3"/>
          </w:tcPr>
          <w:p>
            <w:pPr>
              <w:pStyle w:val="yTableNAm"/>
              <w:jc w:val="center"/>
              <w:rPr>
                <w:b/>
                <w:sz w:val="20"/>
              </w:rPr>
            </w:pPr>
            <w:r>
              <w:rPr>
                <w:b/>
                <w:snapToGrid w:val="0"/>
                <w:sz w:val="20"/>
              </w:rPr>
              <w:lastRenderedPageBreak/>
              <w:t>(b) On floor</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Two concentrated loads each of 2,730 kg (6,000 lb.) and each applied to the container floor through a contact area of 142 cm</w:t>
            </w:r>
            <w:r>
              <w:rPr>
                <w:sz w:val="20"/>
                <w:vertAlign w:val="superscript"/>
              </w:rPr>
              <w:t>2</w:t>
            </w:r>
            <w:r>
              <w:rPr>
                <w:sz w:val="20"/>
              </w:rPr>
              <w:t xml:space="preserve"> (22 sq in.).</w:t>
            </w:r>
          </w:p>
        </w:tc>
        <w:tc>
          <w:tcPr>
            <w:tcW w:w="4253" w:type="dxa"/>
            <w:tcBorders>
              <w:left w:val="nil"/>
            </w:tcBorders>
          </w:tcPr>
          <w:p>
            <w:pPr>
              <w:pStyle w:val="yTableNAm"/>
              <w:rPr>
                <w:sz w:val="20"/>
              </w:rPr>
            </w:pPr>
            <w:r>
              <w:rPr>
                <w:sz w:val="20"/>
              </w:rPr>
              <w:t>The test should be made with the container resting on four level supports under its four bottom corners in such a manner that the base structure of the container is free to deflect.</w:t>
            </w:r>
          </w:p>
        </w:tc>
      </w:tr>
      <w:t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A testing device loaded to a weight of 5,460 kg (12,000 lb.) that is 2,730 kg (6,000 lb.) on each of two surfaces having, when loaded, a total contact area of 284 cm</w:t>
            </w:r>
            <w:r>
              <w:rPr>
                <w:sz w:val="20"/>
                <w:vertAlign w:val="superscript"/>
              </w:rPr>
              <w:t xml:space="preserve">2 </w:t>
            </w:r>
            <w:r>
              <w:rPr>
                <w:sz w:val="20"/>
              </w:rPr>
              <w:t>(44 sq in.) that is 142 cm</w:t>
            </w:r>
            <w:r>
              <w:rPr>
                <w:sz w:val="20"/>
                <w:vertAlign w:val="superscript"/>
              </w:rPr>
              <w:t xml:space="preserve">2 </w:t>
            </w:r>
            <w:r>
              <w:rPr>
                <w:sz w:val="20"/>
              </w:rPr>
              <w:t>(22 sq in.) on each surface, the surface width being 180 mm (7 in.) spaced 760 mm (30 in.) apart, centre to centre, should be manoeuvred over the entire floor area of the container.</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spacing w:before="240"/>
              <w:jc w:val="center"/>
              <w:rPr>
                <w:sz w:val="20"/>
              </w:rPr>
            </w:pPr>
            <w:r>
              <w:rPr>
                <w:snapToGrid w:val="0"/>
                <w:sz w:val="20"/>
              </w:rPr>
              <w:t>4. TRANSVERSE RACKING</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r>
              <w:rPr>
                <w:sz w:val="20"/>
              </w:rPr>
              <w:t>The container in tare condition shall be placed on four level supports one under each bottom corner and shall be restrained against lateral and vertical movement by means of anchor devices so arranged that the lateral restraint is provided only at the bottom corners diagonally opposite to those at which the forces are applied.</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Such as to rack the end structures of the container sideways.  The forces shall be equal to those for which the container was designed.</w:t>
            </w:r>
          </w:p>
        </w:tc>
        <w:tc>
          <w:tcPr>
            <w:tcW w:w="4253" w:type="dxa"/>
            <w:tcBorders>
              <w:left w:val="nil"/>
            </w:tcBorders>
          </w:tcPr>
          <w:p>
            <w:pPr>
              <w:pStyle w:val="yTableNAm"/>
              <w:rPr>
                <w:sz w:val="20"/>
              </w:rPr>
            </w:pPr>
            <w:r>
              <w:rPr>
                <w:sz w:val="20"/>
              </w:rPr>
              <w:t xml:space="preserve">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w:t>
            </w:r>
            <w:r>
              <w:rPr>
                <w:sz w:val="20"/>
              </w:rPr>
              <w:lastRenderedPageBreak/>
              <w:t>about its own vertical centreline, one side only need be tested, but both sides of containers with asymmetric ends shall be tested.</w:t>
            </w:r>
          </w:p>
        </w:tc>
      </w:tr>
      <w:tr>
        <w:trPr>
          <w:cantSplit/>
        </w:trPr>
        <w:tc>
          <w:tcPr>
            <w:tcW w:w="7230" w:type="dxa"/>
            <w:gridSpan w:val="3"/>
          </w:tcPr>
          <w:p>
            <w:pPr>
              <w:pStyle w:val="yTableNAm"/>
              <w:spacing w:before="240"/>
              <w:jc w:val="center"/>
              <w:rPr>
                <w:snapToGrid w:val="0"/>
                <w:sz w:val="20"/>
              </w:rPr>
            </w:pPr>
            <w:r>
              <w:rPr>
                <w:snapToGrid w:val="0"/>
                <w:sz w:val="20"/>
              </w:rPr>
              <w:lastRenderedPageBreak/>
              <w:t>5. LONGITUDINAL RESTRAINT (STATIC TEST)</w:t>
            </w:r>
          </w:p>
          <w:p>
            <w:pPr>
              <w:pStyle w:val="yTableNAm"/>
              <w:rPr>
                <w:sz w:val="20"/>
              </w:rPr>
            </w:pPr>
            <w:r>
              <w:rPr>
                <w:snapToGrid w:val="0"/>
                <w:sz w:val="20"/>
              </w:rPr>
              <w:t>When designing and constructing containers, it must be borne in mind that containers, when carried by inland modes of transport may sustain accelerations of 2 g applied horizontally in a longitudinal direction.</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uniformly distributed load, such that the combined weight of a container and test load is equal to the maximum operating gross weight or rating, R.</w:t>
            </w:r>
          </w:p>
        </w:tc>
        <w:tc>
          <w:tcPr>
            <w:tcW w:w="4253" w:type="dxa"/>
            <w:tcBorders>
              <w:left w:val="nil"/>
            </w:tcBorders>
          </w:tcPr>
          <w:p>
            <w:pPr>
              <w:pStyle w:val="yTableNAm"/>
              <w:rPr>
                <w:sz w:val="20"/>
              </w:rPr>
            </w:pPr>
            <w:r>
              <w:rPr>
                <w:sz w:val="20"/>
              </w:rPr>
              <w:t>The container having the prescribed INTERNAL LOADING shall be restrained longitudinally by securing the two bottom corner fittings or equivalent corner structures at one end to suitable anchor points.</w:t>
            </w:r>
          </w:p>
        </w:tc>
      </w:tr>
      <w:t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keepNext/>
              <w:rPr>
                <w:sz w:val="20"/>
              </w:rPr>
            </w:pPr>
            <w:r>
              <w:rPr>
                <w:sz w:val="20"/>
              </w:rP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NAm"/>
              <w:keepNext/>
              <w:rPr>
                <w:sz w:val="20"/>
              </w:rPr>
            </w:pPr>
            <w:r>
              <w:rPr>
                <w:sz w:val="20"/>
              </w:rPr>
              <w:t>The EXTERNALLY APPLIED FORCES shall be applied first towards and then away from the anchor points. Each side of the container shall be tested.</w:t>
            </w:r>
          </w:p>
        </w:tc>
      </w:tr>
      <w:tr>
        <w:trPr>
          <w:cantSplit/>
        </w:trPr>
        <w:tc>
          <w:tcPr>
            <w:tcW w:w="7230" w:type="dxa"/>
            <w:gridSpan w:val="3"/>
          </w:tcPr>
          <w:p>
            <w:pPr>
              <w:pStyle w:val="yTableNAm"/>
              <w:spacing w:before="240"/>
              <w:jc w:val="center"/>
              <w:rPr>
                <w:snapToGrid w:val="0"/>
                <w:sz w:val="20"/>
              </w:rPr>
            </w:pPr>
            <w:r>
              <w:rPr>
                <w:snapToGrid w:val="0"/>
                <w:sz w:val="20"/>
              </w:rPr>
              <w:t>6. END</w:t>
            </w:r>
            <w:r>
              <w:rPr>
                <w:snapToGrid w:val="0"/>
                <w:sz w:val="20"/>
              </w:rPr>
              <w:noBreakHyphen/>
              <w:t>WALLS</w:t>
            </w:r>
          </w:p>
          <w:p>
            <w:pPr>
              <w:pStyle w:val="yTableNAm"/>
              <w:rPr>
                <w:sz w:val="20"/>
              </w:rPr>
            </w:pPr>
            <w:r>
              <w:rPr>
                <w:snapToGrid w:val="0"/>
                <w:sz w:val="20"/>
              </w:rPr>
              <w:t>The end</w:t>
            </w:r>
            <w:r>
              <w:rPr>
                <w:snapToGrid w:val="0"/>
                <w:sz w:val="20"/>
              </w:rPr>
              <w:noBreakHyphen/>
              <w:t>walls should be capable of withstanding a load of not less than 0.4 times the maximum permissible payload. If, however, the end</w:t>
            </w:r>
            <w:r>
              <w:rPr>
                <w:snapToGrid w:val="0"/>
                <w:sz w:val="2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the inside of an end</w:t>
            </w:r>
            <w:r>
              <w:rPr>
                <w:sz w:val="20"/>
              </w:rPr>
              <w:noBreakHyphen/>
              <w:t>wall to a uniformly distributed load of 0.4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ends of a container shall be tested except where the ends are identical only one end need be tested.  The end</w:t>
            </w:r>
            <w:r>
              <w:rPr>
                <w:sz w:val="20"/>
              </w:rPr>
              <w:noBreakHyphen/>
              <w:t>walls of containers which do not have open sides or side doors may be tested separately or simultaneously.</w:t>
            </w: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The end</w:t>
            </w:r>
            <w:r>
              <w:rPr>
                <w:sz w:val="20"/>
              </w:rPr>
              <w:noBreakHyphen/>
              <w:t>walls of containers which do have open sides or side doors should be tested separately. When the ends are tested separately the reactions to the forces applied to the end</w:t>
            </w:r>
            <w:r>
              <w:rPr>
                <w:sz w:val="20"/>
              </w:rPr>
              <w:noBreakHyphen/>
              <w:t>wall shall be confined to the base structure of the container.</w:t>
            </w:r>
          </w:p>
        </w:tc>
      </w:tr>
      <w:tr>
        <w:trPr>
          <w:cantSplit/>
        </w:trP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jc w:val="center"/>
              <w:rPr>
                <w:snapToGrid w:val="0"/>
                <w:sz w:val="20"/>
              </w:rPr>
            </w:pPr>
            <w:r>
              <w:rPr>
                <w:snapToGrid w:val="0"/>
                <w:sz w:val="20"/>
              </w:rPr>
              <w:t>7. SIDE</w:t>
            </w:r>
            <w:r>
              <w:rPr>
                <w:snapToGrid w:val="0"/>
                <w:sz w:val="20"/>
              </w:rPr>
              <w:noBreakHyphen/>
              <w:t>WALLS</w:t>
            </w:r>
          </w:p>
          <w:p>
            <w:pPr>
              <w:pStyle w:val="yTableNAm"/>
              <w:keepNext/>
              <w:rPr>
                <w:sz w:val="20"/>
              </w:rPr>
            </w:pPr>
            <w:r>
              <w:rPr>
                <w:snapToGrid w:val="0"/>
                <w:sz w:val="20"/>
              </w:rPr>
              <w:t>The side</w:t>
            </w:r>
            <w:r>
              <w:rPr>
                <w:snapToGrid w:val="0"/>
                <w:sz w:val="20"/>
              </w:rPr>
              <w:noBreakHyphen/>
              <w:t>walls should be capable of withstanding a load of not less than 0.6 times the maximum permissible payload. If, however, the side</w:t>
            </w:r>
            <w:r>
              <w:rPr>
                <w:snapToGrid w:val="0"/>
                <w:sz w:val="2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rPr>
                <w:sz w:val="20"/>
              </w:rPr>
            </w:pPr>
            <w:r>
              <w:rPr>
                <w:sz w:val="20"/>
              </w:rPr>
              <w:t>Such as to subject the inside of a side</w:t>
            </w:r>
            <w:r>
              <w:rPr>
                <w:sz w:val="20"/>
              </w:rPr>
              <w:noBreakHyphen/>
              <w:t>wall to a uniformly distributed load of 0.6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sides of a container shall be tested except where the sides are identical only one side need be tested. Side</w:t>
            </w:r>
            <w:r>
              <w:rPr>
                <w:sz w:val="20"/>
              </w:rPr>
              <w:noBreakHyphen/>
              <w:t>walls shall be 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bl>
    <w:p>
      <w:pPr>
        <w:pStyle w:val="yScheduleHeading"/>
      </w:pPr>
      <w:bookmarkStart w:id="526" w:name="_Toc153377373"/>
      <w:bookmarkStart w:id="527" w:name="_Toc153544920"/>
      <w:bookmarkStart w:id="528" w:name="_Toc153796523"/>
      <w:bookmarkStart w:id="529" w:name="_Toc153887671"/>
      <w:r>
        <w:rPr>
          <w:rStyle w:val="CharSchNo"/>
        </w:rPr>
        <w:lastRenderedPageBreak/>
        <w:t>Schedule 2</w:t>
      </w:r>
      <w:r>
        <w:t> — </w:t>
      </w:r>
      <w:r>
        <w:rPr>
          <w:rStyle w:val="CharSchText"/>
        </w:rPr>
        <w:t>Limitation Convention</w:t>
      </w:r>
      <w:bookmarkEnd w:id="526"/>
      <w:bookmarkEnd w:id="527"/>
      <w:bookmarkEnd w:id="528"/>
      <w:bookmarkEnd w:id="529"/>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r>
        <w:rPr>
          <w:snapToGrid w:val="0"/>
        </w:rPr>
        <w:t>ARTICLE 1</w:t>
      </w:r>
    </w:p>
    <w:p>
      <w:pPr>
        <w:pStyle w:val="yMiscellaneousBody"/>
        <w:ind w:left="570" w:hanging="570"/>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 xml:space="preserve">any obligation or liability imposed by any law relating to the removal of wreck and arising from or in connection with the raising, removal or destruction of any ship which is sunk, </w:t>
      </w:r>
      <w:r>
        <w:rPr>
          <w:snapToGrid w:val="0"/>
        </w:rPr>
        <w:lastRenderedPageBreak/>
        <w:t>stranded or abandoned (including anything which may be on board such ship) and any obligation or liability arising out of damage caused to harbour works, basins and navigable waterways.</w:t>
      </w:r>
    </w:p>
    <w:p>
      <w:pPr>
        <w:pStyle w:val="yMiscellaneousBody"/>
        <w:ind w:left="570" w:hanging="570"/>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ind w:left="570" w:hanging="570"/>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ind w:left="570" w:hanging="570"/>
        <w:rPr>
          <w:snapToGrid w:val="0"/>
        </w:rPr>
      </w:pPr>
      <w:r>
        <w:rPr>
          <w:snapToGrid w:val="0"/>
        </w:rPr>
        <w:t>(4)</w:t>
      </w:r>
      <w:r>
        <w:rPr>
          <w:snapToGrid w:val="0"/>
        </w:rPr>
        <w:tab/>
        <w:t>Nothing in this Article shall apply:</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ind w:left="570" w:hanging="570"/>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ind w:left="570" w:hanging="570"/>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ind w:left="570" w:hanging="570"/>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r>
        <w:rPr>
          <w:snapToGrid w:val="0"/>
        </w:rPr>
        <w:lastRenderedPageBreak/>
        <w:t>ARTICLE 2</w:t>
      </w:r>
    </w:p>
    <w:p>
      <w:pPr>
        <w:pStyle w:val="yMiscellaneousBody"/>
        <w:ind w:left="570" w:hanging="570"/>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ind w:left="570" w:hanging="570"/>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ind w:left="570" w:hanging="570"/>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ind w:left="570" w:hanging="570"/>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r>
        <w:rPr>
          <w:snapToGrid w:val="0"/>
        </w:rPr>
        <w:t>ARTICLE 3</w:t>
      </w:r>
    </w:p>
    <w:p>
      <w:pPr>
        <w:pStyle w:val="yMiscellaneousBody"/>
        <w:ind w:left="570" w:hanging="570"/>
        <w:rPr>
          <w:snapToGrid w:val="0"/>
        </w:rPr>
      </w:pPr>
      <w:r>
        <w:rPr>
          <w:snapToGrid w:val="0"/>
        </w:rPr>
        <w:t>(1)</w:t>
      </w:r>
      <w:r>
        <w:rPr>
          <w:snapToGrid w:val="0"/>
        </w:rPr>
        <w:tab/>
        <w:t>The amounts to which the owner of a ship may limit his liability under Article 1 shall be: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 xml:space="preserve">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w:t>
      </w:r>
      <w:r>
        <w:rPr>
          <w:snapToGrid w:val="0"/>
        </w:rPr>
        <w:lastRenderedPageBreak/>
        <w:t>the property claims for payment against the second portion of the fund.</w:t>
      </w:r>
    </w:p>
    <w:p>
      <w:pPr>
        <w:pStyle w:val="yMiscellaneousBody"/>
        <w:ind w:left="570" w:hanging="570"/>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ind w:left="570" w:hanging="570"/>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ind w:left="570" w:hanging="570"/>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ind w:left="570" w:hanging="570"/>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ind w:left="570" w:hanging="570"/>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ind w:left="570" w:hanging="570"/>
        <w:rPr>
          <w:snapToGrid w:val="0"/>
        </w:rPr>
      </w:pPr>
      <w:r>
        <w:rPr>
          <w:snapToGrid w:val="0"/>
        </w:rPr>
        <w:t>(7)</w:t>
      </w:r>
      <w:r>
        <w:rPr>
          <w:snapToGrid w:val="0"/>
        </w:rPr>
        <w:tab/>
        <w:t>For the purpose of this convention tonnage shall be calculated as follows:</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r>
        <w:rPr>
          <w:snapToGrid w:val="0"/>
        </w:rPr>
        <w:lastRenderedPageBreak/>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r>
        <w:rPr>
          <w:snapToGrid w:val="0"/>
        </w:rPr>
        <w:t>ARTICLE 5</w:t>
      </w:r>
    </w:p>
    <w:p>
      <w:pPr>
        <w:pStyle w:val="yMiscellaneousBody"/>
        <w:ind w:left="570" w:hanging="570"/>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ind w:left="570" w:hanging="570"/>
        <w:rPr>
          <w:snapToGrid w:val="0"/>
        </w:rPr>
      </w:pPr>
      <w:r>
        <w:rPr>
          <w:snapToGrid w:val="0"/>
        </w:rPr>
        <w:t>(2)</w:t>
      </w:r>
      <w:r>
        <w:rPr>
          <w:snapToGrid w:val="0"/>
        </w:rPr>
        <w:tab/>
        <w:t>Where, in circumstances mentioned in paragraph (1) of this Article, bail or other security has already been given:</w:t>
      </w:r>
    </w:p>
    <w:p>
      <w:pPr>
        <w:pStyle w:val="yIndenta"/>
        <w:tabs>
          <w:tab w:val="clear" w:pos="1332"/>
          <w:tab w:val="clear" w:pos="1616"/>
          <w:tab w:val="right" w:pos="1026"/>
        </w:tabs>
        <w:ind w:left="1311" w:hanging="1311"/>
        <w:rPr>
          <w:snapToGrid w:val="0"/>
        </w:rPr>
      </w:pPr>
      <w:r>
        <w:rPr>
          <w:snapToGrid w:val="0"/>
        </w:rPr>
        <w:tab/>
        <w:t>(a)</w:t>
      </w:r>
      <w:r>
        <w:rPr>
          <w:snapToGrid w:val="0"/>
        </w:rPr>
        <w:tab/>
        <w:t>at the port where the accident giving rise to the claim occurred;</w:t>
      </w:r>
    </w:p>
    <w:p>
      <w:pPr>
        <w:pStyle w:val="yIndenta"/>
        <w:tabs>
          <w:tab w:val="clear" w:pos="1332"/>
          <w:tab w:val="clear" w:pos="1616"/>
          <w:tab w:val="right" w:pos="1026"/>
        </w:tabs>
        <w:ind w:left="1311" w:hanging="1311"/>
        <w:rPr>
          <w:snapToGrid w:val="0"/>
        </w:rPr>
      </w:pPr>
      <w:r>
        <w:rPr>
          <w:snapToGrid w:val="0"/>
        </w:rPr>
        <w:tab/>
        <w:t>(b)</w:t>
      </w:r>
      <w:r>
        <w:rPr>
          <w:snapToGrid w:val="0"/>
        </w:rPr>
        <w:tab/>
        <w:t>at the first port of call after the accident if the accident did not occur in a port;</w:t>
      </w:r>
    </w:p>
    <w:p>
      <w:pPr>
        <w:pStyle w:val="yIndenta"/>
        <w:tabs>
          <w:tab w:val="clear" w:pos="1332"/>
          <w:tab w:val="clear" w:pos="1616"/>
          <w:tab w:val="right" w:pos="1026"/>
        </w:tabs>
        <w:ind w:left="1311" w:hanging="1311"/>
        <w:rPr>
          <w:snapToGrid w:val="0"/>
        </w:rPr>
      </w:pPr>
      <w:r>
        <w:rPr>
          <w:snapToGrid w:val="0"/>
        </w:rPr>
        <w:tab/>
        <w:t>(c)</w:t>
      </w:r>
      <w:r>
        <w:rPr>
          <w:snapToGrid w:val="0"/>
        </w:rPr>
        <w:tab/>
        <w:t>at the port of disembarkation or discharge if the claim is a personal claim or relates to damage to cargo;</w:t>
      </w:r>
    </w:p>
    <w:p>
      <w:pPr>
        <w:pStyle w:val="yMiscellaneousBody"/>
        <w:ind w:left="570" w:hanging="570"/>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ind w:left="570" w:hanging="570"/>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ind w:left="570" w:hanging="570"/>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ind w:left="570" w:hanging="570"/>
        <w:rPr>
          <w:snapToGrid w:val="0"/>
        </w:rPr>
      </w:pPr>
      <w:r>
        <w:rPr>
          <w:snapToGrid w:val="0"/>
        </w:rPr>
        <w:lastRenderedPageBreak/>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outlineLvl w:val="0"/>
        <w:rPr>
          <w:snapToGrid w:val="0"/>
        </w:rPr>
      </w:pPr>
      <w:r>
        <w:rPr>
          <w:snapToGrid w:val="0"/>
        </w:rPr>
        <w:t>ARTICLE 6</w:t>
      </w:r>
    </w:p>
    <w:p>
      <w:pPr>
        <w:pStyle w:val="yMiscellaneousBody"/>
        <w:ind w:left="570" w:hanging="570"/>
        <w:rPr>
          <w:snapToGrid w:val="0"/>
        </w:rPr>
      </w:pPr>
      <w:r>
        <w:rPr>
          <w:snapToGrid w:val="0"/>
        </w:rPr>
        <w:t>(1)</w:t>
      </w:r>
      <w:r>
        <w:rPr>
          <w:snapToGrid w:val="0"/>
        </w:rPr>
        <w:tab/>
        <w:t>In this Convention the liability of the shipowner includes the liability of the ship herself.</w:t>
      </w:r>
    </w:p>
    <w:p>
      <w:pPr>
        <w:pStyle w:val="yMiscellaneousBody"/>
        <w:ind w:left="570" w:hanging="570"/>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ind w:left="570" w:hanging="570"/>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 xml:space="preserve">Contracting State, or any person who, at the time when he seeks to limit his liability or to secure the </w:t>
      </w:r>
      <w:r>
        <w:rPr>
          <w:snapToGrid w:val="0"/>
        </w:rPr>
        <w:lastRenderedPageBreak/>
        <w:t>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r>
        <w:rPr>
          <w:snapToGrid w:val="0"/>
        </w:rPr>
        <w:t>ARTICLE 8</w:t>
      </w:r>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r>
        <w:rPr>
          <w:snapToGrid w:val="0"/>
        </w:rPr>
        <w:t>ARTICLE 11</w:t>
      </w:r>
    </w:p>
    <w:p>
      <w:pPr>
        <w:pStyle w:val="yMiscellaneousBody"/>
        <w:ind w:left="570" w:hanging="570"/>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ind w:left="570" w:hanging="570"/>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lastRenderedPageBreak/>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r>
        <w:rPr>
          <w:snapToGrid w:val="0"/>
        </w:rPr>
        <w:t>ARTICLE 14</w:t>
      </w:r>
    </w:p>
    <w:p>
      <w:pPr>
        <w:pStyle w:val="yMiscellaneousBody"/>
        <w:ind w:left="570" w:hanging="570"/>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ind w:left="570" w:hanging="570"/>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ind w:left="570" w:hanging="570"/>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r>
        <w:rPr>
          <w:snapToGrid w:val="0"/>
        </w:rPr>
        <w:lastRenderedPageBreak/>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r>
        <w:rPr>
          <w:snapToGrid w:val="0"/>
        </w:rPr>
        <w:t>PROTOCOL OF SIGNATURE</w:t>
      </w:r>
    </w:p>
    <w:p>
      <w:pPr>
        <w:pStyle w:val="yMiscellaneousBody"/>
        <w:ind w:left="570" w:hanging="570"/>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ind w:left="570" w:hanging="570"/>
        <w:rPr>
          <w:snapToGrid w:val="0"/>
        </w:rPr>
      </w:pPr>
      <w:r>
        <w:rPr>
          <w:snapToGrid w:val="0"/>
        </w:rPr>
        <w:t>(2)</w:t>
      </w:r>
      <w:r>
        <w:rPr>
          <w:snapToGrid w:val="0"/>
        </w:rPr>
        <w:tab/>
        <w:t>The following are the only reservations admissible: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Reservation of the right to exclude the application of Article 1 paragraph (1)(c).</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tabs>
          <w:tab w:val="clear" w:pos="1332"/>
          <w:tab w:val="clear" w:pos="1616"/>
          <w:tab w:val="right" w:pos="1026"/>
        </w:tabs>
        <w:ind w:left="1311" w:hanging="1311"/>
        <w:rPr>
          <w:snapToGrid w:val="0"/>
        </w:rPr>
      </w:pPr>
      <w:r>
        <w:rPr>
          <w:snapToGrid w:val="0"/>
        </w:rPr>
        <w:lastRenderedPageBreak/>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530" w:name="_Toc153377374"/>
      <w:bookmarkStart w:id="531" w:name="_Toc153544921"/>
      <w:bookmarkStart w:id="532" w:name="_Toc153796524"/>
      <w:bookmarkStart w:id="533" w:name="_Toc153887672"/>
      <w:r>
        <w:rPr>
          <w:rStyle w:val="CharSchNo"/>
        </w:rPr>
        <w:lastRenderedPageBreak/>
        <w:t>Schedule 3</w:t>
      </w:r>
      <w:r>
        <w:t> — </w:t>
      </w:r>
      <w:r>
        <w:rPr>
          <w:rStyle w:val="CharSchText"/>
        </w:rPr>
        <w:t>Prevention of Collisions Convention</w:t>
      </w:r>
      <w:bookmarkEnd w:id="530"/>
      <w:bookmarkEnd w:id="531"/>
      <w:bookmarkEnd w:id="532"/>
      <w:bookmarkEnd w:id="533"/>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CONVENTION ON THE INTERNATIONAL REGULATIONS FOR PREVENTING COLLISIONS AT SEA, 1972</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ind w:left="570" w:hanging="570"/>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r>
        <w:rPr>
          <w:snapToGrid w:val="0"/>
        </w:rPr>
        <w:lastRenderedPageBreak/>
        <w:t>ARTICLE III</w:t>
      </w:r>
    </w:p>
    <w:p>
      <w:pPr>
        <w:pStyle w:val="yMiscellaneousHeading"/>
        <w:rPr>
          <w:i/>
          <w:snapToGrid w:val="0"/>
        </w:rPr>
      </w:pPr>
      <w:r>
        <w:rPr>
          <w:i/>
          <w:snapToGrid w:val="0"/>
        </w:rPr>
        <w:t>Territorial Application</w:t>
      </w:r>
    </w:p>
    <w:p>
      <w:pPr>
        <w:pStyle w:val="yMiscellaneousBody"/>
        <w:ind w:left="570" w:hanging="570"/>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ind w:left="570" w:hanging="570"/>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ind w:left="570" w:hanging="570"/>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ind w:left="570" w:hanging="570"/>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Entry into force</w:t>
      </w:r>
    </w:p>
    <w:p>
      <w:pPr>
        <w:pStyle w:val="yIndenta"/>
        <w:tabs>
          <w:tab w:val="clear" w:pos="1332"/>
          <w:tab w:val="clear" w:pos="1616"/>
          <w:tab w:val="right" w:pos="1026"/>
        </w:tabs>
        <w:ind w:left="1311" w:hanging="1311"/>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tabs>
          <w:tab w:val="clear" w:pos="1332"/>
          <w:tab w:val="clear" w:pos="1616"/>
          <w:tab w:val="right" w:pos="1026"/>
        </w:tabs>
        <w:ind w:left="1311" w:hanging="1311"/>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ind w:left="570" w:hanging="570"/>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ind w:left="570" w:hanging="570"/>
        <w:rPr>
          <w:snapToGrid w:val="0"/>
        </w:rPr>
      </w:pPr>
      <w:r>
        <w:rPr>
          <w:snapToGrid w:val="0"/>
        </w:rPr>
        <w:lastRenderedPageBreak/>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ind w:left="570" w:hanging="570"/>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ind w:left="570" w:hanging="570"/>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ind w:left="570" w:hanging="570"/>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Revision Conference</w:t>
      </w:r>
    </w:p>
    <w:p>
      <w:pPr>
        <w:pStyle w:val="yMiscellaneousBody"/>
        <w:ind w:left="570" w:hanging="570"/>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ind w:left="570" w:hanging="570"/>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Amendments to the Regulations</w:t>
      </w:r>
    </w:p>
    <w:p>
      <w:pPr>
        <w:pStyle w:val="yMiscellaneousBody"/>
        <w:ind w:left="570" w:hanging="570"/>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ind w:left="570" w:hanging="570"/>
        <w:rPr>
          <w:snapToGrid w:val="0"/>
        </w:rPr>
      </w:pPr>
      <w:r>
        <w:rPr>
          <w:snapToGrid w:val="0"/>
        </w:rPr>
        <w:lastRenderedPageBreak/>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ind w:left="570" w:hanging="570"/>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ind w:left="570" w:hanging="570"/>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ind w:left="570" w:hanging="570"/>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1.</w:t>
      </w:r>
      <w:r>
        <w:rPr>
          <w:snapToGrid w:val="0"/>
        </w:rPr>
        <w:tab/>
        <w:t>The present Convention and the Regulations shall be deposited with the Organization, and the Secretary</w:t>
      </w:r>
      <w:r>
        <w:rPr>
          <w:snapToGrid w:val="0"/>
        </w:rPr>
        <w:noBreakHyphen/>
        <w:t xml:space="preserve">General shall transmit certified true </w:t>
      </w:r>
      <w:r>
        <w:rPr>
          <w:snapToGrid w:val="0"/>
        </w:rPr>
        <w:lastRenderedPageBreak/>
        <w:t>copies thereof to all Governments of States that have signed this Convention or acceded to it.</w:t>
      </w:r>
    </w:p>
    <w:p>
      <w:pPr>
        <w:pStyle w:val="yMiscellaneousBody"/>
        <w:ind w:left="570" w:hanging="570"/>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outlineLvl w:val="0"/>
        <w:rPr>
          <w:snapToGrid w:val="0"/>
        </w:rPr>
      </w:pPr>
      <w:r>
        <w:rPr>
          <w:snapToGrid w:val="0"/>
        </w:rPr>
        <w:t>PART A — GENERAL</w:t>
      </w:r>
    </w:p>
    <w:p>
      <w:pPr>
        <w:pStyle w:val="yMiscellaneousHeading"/>
        <w:spacing w:before="300"/>
        <w:outlineLvl w:val="0"/>
        <w:rPr>
          <w:snapToGrid w:val="0"/>
        </w:rPr>
      </w:pPr>
      <w:r>
        <w:rPr>
          <w:snapToGrid w:val="0"/>
        </w:rPr>
        <w:t>RULE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ind w:left="570" w:hanging="570"/>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ind w:left="570" w:hanging="570"/>
        <w:rPr>
          <w:snapToGrid w:val="0"/>
        </w:rPr>
      </w:pPr>
      <w:r>
        <w:rPr>
          <w:snapToGrid w:val="0"/>
        </w:rPr>
        <w:t>(c)</w:t>
      </w:r>
      <w:r>
        <w:rPr>
          <w:snapToGrid w:val="0"/>
        </w:rPr>
        <w:tab/>
        <w:t xml:space="preserve">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w:t>
      </w:r>
      <w:r>
        <w:rPr>
          <w:snapToGrid w:val="0"/>
        </w:rPr>
        <w:lastRenderedPageBreak/>
        <w:t>that they cannot be mistaken for any light or signal authorized elsewhere under these Rules.</w:t>
      </w:r>
    </w:p>
    <w:p>
      <w:pPr>
        <w:pStyle w:val="yMiscellaneousBody"/>
        <w:ind w:left="570" w:hanging="570"/>
        <w:rPr>
          <w:snapToGrid w:val="0"/>
        </w:rPr>
      </w:pPr>
      <w:r>
        <w:rPr>
          <w:snapToGrid w:val="0"/>
        </w:rPr>
        <w:t>(d)</w:t>
      </w:r>
      <w:r>
        <w:rPr>
          <w:snapToGrid w:val="0"/>
        </w:rPr>
        <w:tab/>
        <w:t>Traffic separation schemes may be adopted by the Organization for the purpose of these Rules.</w:t>
      </w:r>
    </w:p>
    <w:p>
      <w:pPr>
        <w:pStyle w:val="yMiscellaneousBody"/>
        <w:ind w:left="570" w:hanging="570"/>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ind w:left="570" w:hanging="570"/>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ind w:left="570" w:hanging="570"/>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tabs>
          <w:tab w:val="clear" w:pos="1332"/>
          <w:tab w:val="clear" w:pos="1616"/>
          <w:tab w:val="right" w:pos="1026"/>
        </w:tabs>
        <w:ind w:left="1311" w:hanging="1311"/>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tabs>
          <w:tab w:val="clear" w:pos="1332"/>
          <w:tab w:val="clear" w:pos="1616"/>
          <w:tab w:val="right" w:pos="1026"/>
        </w:tabs>
        <w:ind w:left="1311" w:hanging="1311"/>
        <w:rPr>
          <w:snapToGrid w:val="0"/>
        </w:rPr>
      </w:pPr>
      <w:r>
        <w:rPr>
          <w:snapToGrid w:val="0"/>
        </w:rPr>
        <w:tab/>
        <w:t>(b)</w:t>
      </w:r>
      <w:r>
        <w:rPr>
          <w:snapToGrid w:val="0"/>
        </w:rPr>
        <w:tab/>
        <w:t>The term “power</w:t>
      </w:r>
      <w:r>
        <w:rPr>
          <w:snapToGrid w:val="0"/>
        </w:rPr>
        <w:noBreakHyphen/>
        <w:t>driven vessel” means any vessel propelled by machinery.</w:t>
      </w:r>
    </w:p>
    <w:p>
      <w:pPr>
        <w:pStyle w:val="yIndenta"/>
        <w:tabs>
          <w:tab w:val="clear" w:pos="1332"/>
          <w:tab w:val="clear" w:pos="1616"/>
          <w:tab w:val="right" w:pos="1026"/>
        </w:tabs>
        <w:ind w:left="1311" w:hanging="1311"/>
        <w:rPr>
          <w:snapToGrid w:val="0"/>
        </w:rPr>
      </w:pPr>
      <w:r>
        <w:rPr>
          <w:snapToGrid w:val="0"/>
        </w:rPr>
        <w:lastRenderedPageBreak/>
        <w:tab/>
        <w:t>(c)</w:t>
      </w:r>
      <w:r>
        <w:rPr>
          <w:snapToGrid w:val="0"/>
        </w:rPr>
        <w:tab/>
        <w:t>The term “sailing vessel” means any vessel under sail provided that propelling machinery, if fitted, is not being used.</w:t>
      </w:r>
    </w:p>
    <w:p>
      <w:pPr>
        <w:pStyle w:val="yIndenta"/>
        <w:tabs>
          <w:tab w:val="clear" w:pos="1332"/>
          <w:tab w:val="clear" w:pos="1616"/>
          <w:tab w:val="right" w:pos="1026"/>
        </w:tabs>
        <w:ind w:left="1311" w:hanging="1311"/>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tabs>
          <w:tab w:val="clear" w:pos="1332"/>
          <w:tab w:val="clear" w:pos="1616"/>
          <w:tab w:val="right" w:pos="1026"/>
        </w:tabs>
        <w:ind w:left="1311" w:hanging="1311"/>
        <w:rPr>
          <w:snapToGrid w:val="0"/>
        </w:rPr>
      </w:pPr>
      <w:r>
        <w:rPr>
          <w:snapToGrid w:val="0"/>
        </w:rPr>
        <w:tab/>
        <w:t>(e)</w:t>
      </w:r>
      <w:r>
        <w:rPr>
          <w:snapToGrid w:val="0"/>
        </w:rPr>
        <w:tab/>
        <w:t>The word “seaplane” includes any aircraft designed to manoeuvre on the water.</w:t>
      </w:r>
    </w:p>
    <w:p>
      <w:pPr>
        <w:pStyle w:val="yIndenta"/>
        <w:tabs>
          <w:tab w:val="clear" w:pos="1332"/>
          <w:tab w:val="clear" w:pos="1616"/>
          <w:tab w:val="right" w:pos="1026"/>
        </w:tabs>
        <w:ind w:left="1311" w:hanging="1311"/>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r>
      <w:r>
        <w:rPr>
          <w:snapToGrid w:val="0"/>
        </w:rPr>
        <w:tab/>
        <w:t>The following vessels shall be regarded as vessels restricted in their ability to manoeuvre:</w:t>
      </w:r>
    </w:p>
    <w:p>
      <w:pPr>
        <w:pStyle w:val="yIndenti0"/>
        <w:tabs>
          <w:tab w:val="clear" w:pos="2041"/>
          <w:tab w:val="clear" w:pos="2325"/>
          <w:tab w:val="right" w:pos="1710"/>
        </w:tabs>
        <w:ind w:left="1995" w:hanging="1995"/>
        <w:rPr>
          <w:snapToGrid w:val="0"/>
        </w:rPr>
      </w:pPr>
      <w:r>
        <w:rPr>
          <w:snapToGrid w:val="0"/>
        </w:rPr>
        <w:tab/>
        <w:t>(i)</w:t>
      </w:r>
      <w:r>
        <w:rPr>
          <w:snapToGrid w:val="0"/>
        </w:rPr>
        <w:tab/>
        <w:t>a vessel engaged in laying, servicing or picking up a navigation mark, submarine cable or pipeline;</w:t>
      </w:r>
    </w:p>
    <w:p>
      <w:pPr>
        <w:pStyle w:val="yIndenti0"/>
        <w:tabs>
          <w:tab w:val="clear" w:pos="2041"/>
          <w:tab w:val="clear" w:pos="2325"/>
          <w:tab w:val="right" w:pos="1710"/>
        </w:tabs>
        <w:ind w:left="1995" w:hanging="1995"/>
        <w:rPr>
          <w:snapToGrid w:val="0"/>
        </w:rPr>
      </w:pPr>
      <w:r>
        <w:rPr>
          <w:snapToGrid w:val="0"/>
        </w:rPr>
        <w:tab/>
        <w:t>(ii)</w:t>
      </w:r>
      <w:r>
        <w:rPr>
          <w:snapToGrid w:val="0"/>
        </w:rPr>
        <w:tab/>
        <w:t>a vessel engaged in dredging, surveying or underwater operations;</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replenishment or transferring persons, provisions or cargo while underway;</w:t>
      </w:r>
    </w:p>
    <w:p>
      <w:pPr>
        <w:pStyle w:val="yIndenti0"/>
        <w:tabs>
          <w:tab w:val="clear" w:pos="2041"/>
          <w:tab w:val="clear" w:pos="2325"/>
          <w:tab w:val="right" w:pos="1710"/>
        </w:tabs>
        <w:ind w:left="1995" w:hanging="1995"/>
        <w:rPr>
          <w:snapToGrid w:val="0"/>
        </w:rPr>
      </w:pPr>
      <w:r>
        <w:rPr>
          <w:snapToGrid w:val="0"/>
        </w:rPr>
        <w:tab/>
        <w:t>(iv)</w:t>
      </w:r>
      <w:r>
        <w:rPr>
          <w:snapToGrid w:val="0"/>
        </w:rPr>
        <w:tab/>
        <w:t>a vessel engaged in the launching or recovery of aircraft;</w:t>
      </w:r>
    </w:p>
    <w:p>
      <w:pPr>
        <w:pStyle w:val="yIndenti0"/>
        <w:tabs>
          <w:tab w:val="clear" w:pos="2041"/>
          <w:tab w:val="clear" w:pos="2325"/>
          <w:tab w:val="right" w:pos="1710"/>
        </w:tabs>
        <w:ind w:left="1995" w:hanging="1995"/>
        <w:rPr>
          <w:snapToGrid w:val="0"/>
        </w:rPr>
      </w:pPr>
      <w:r>
        <w:rPr>
          <w:snapToGrid w:val="0"/>
        </w:rPr>
        <w:tab/>
        <w:t>(v)</w:t>
      </w:r>
      <w:r>
        <w:rPr>
          <w:snapToGrid w:val="0"/>
        </w:rPr>
        <w:tab/>
        <w:t>a vessel engaged in minesweeping operations;</w:t>
      </w:r>
    </w:p>
    <w:p>
      <w:pPr>
        <w:pStyle w:val="yIndenti0"/>
        <w:tabs>
          <w:tab w:val="clear" w:pos="2041"/>
          <w:tab w:val="clear" w:pos="2325"/>
          <w:tab w:val="right" w:pos="1710"/>
        </w:tabs>
        <w:ind w:left="1995" w:hanging="1995"/>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tabs>
          <w:tab w:val="clear" w:pos="1332"/>
          <w:tab w:val="clear" w:pos="1616"/>
          <w:tab w:val="right" w:pos="1026"/>
        </w:tabs>
        <w:ind w:left="1311" w:hanging="1311"/>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word “underway” means that a vessel is not at anchor, or made fast to the shore, or aground.</w:t>
      </w:r>
    </w:p>
    <w:p>
      <w:pPr>
        <w:pStyle w:val="yIndenta"/>
        <w:tabs>
          <w:tab w:val="clear" w:pos="1332"/>
          <w:tab w:val="clear" w:pos="1616"/>
          <w:tab w:val="right" w:pos="1026"/>
        </w:tabs>
        <w:ind w:left="1311" w:hanging="1311"/>
        <w:rPr>
          <w:snapToGrid w:val="0"/>
        </w:rPr>
      </w:pPr>
      <w:r>
        <w:rPr>
          <w:snapToGrid w:val="0"/>
        </w:rPr>
        <w:lastRenderedPageBreak/>
        <w:tab/>
        <w:t>(j)</w:t>
      </w:r>
      <w:r>
        <w:rPr>
          <w:snapToGrid w:val="0"/>
        </w:rPr>
        <w:tab/>
        <w:t>The words “length” and “breadth” of a vessel mean her length overall and greatest breadth.</w:t>
      </w:r>
    </w:p>
    <w:p>
      <w:pPr>
        <w:pStyle w:val="yIndenta"/>
        <w:tabs>
          <w:tab w:val="clear" w:pos="1332"/>
          <w:tab w:val="clear" w:pos="1616"/>
          <w:tab w:val="right" w:pos="1026"/>
        </w:tabs>
        <w:ind w:left="1311" w:hanging="1311"/>
        <w:rPr>
          <w:snapToGrid w:val="0"/>
        </w:rPr>
      </w:pPr>
      <w:r>
        <w:rPr>
          <w:snapToGrid w:val="0"/>
        </w:rPr>
        <w:tab/>
        <w:t>(k)</w:t>
      </w:r>
      <w:r>
        <w:rPr>
          <w:snapToGrid w:val="0"/>
        </w:rPr>
        <w:tab/>
        <w:t>Vessels shall be deemed to be in sight of one another only when one can be observed visually from the other.</w:t>
      </w:r>
    </w:p>
    <w:p>
      <w:pPr>
        <w:pStyle w:val="yIndenta"/>
        <w:tabs>
          <w:tab w:val="clear" w:pos="1332"/>
          <w:tab w:val="clear" w:pos="1616"/>
          <w:tab w:val="right" w:pos="1026"/>
        </w:tabs>
        <w:ind w:left="1311" w:hanging="1311"/>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outlineLvl w:val="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tabs>
          <w:tab w:val="clear" w:pos="1332"/>
          <w:tab w:val="clear" w:pos="1616"/>
          <w:tab w:val="right" w:pos="1026"/>
        </w:tabs>
        <w:ind w:left="1311" w:hanging="1311"/>
        <w:rPr>
          <w:snapToGrid w:val="0"/>
        </w:rPr>
      </w:pPr>
      <w:r>
        <w:rPr>
          <w:snapToGrid w:val="0"/>
        </w:rPr>
        <w:tab/>
        <w:t>(a)</w:t>
      </w:r>
      <w:r>
        <w:rPr>
          <w:snapToGrid w:val="0"/>
        </w:rPr>
        <w:tab/>
        <w:t>By all vessels:</w:t>
      </w:r>
    </w:p>
    <w:p>
      <w:pPr>
        <w:pStyle w:val="yIndenti0"/>
        <w:tabs>
          <w:tab w:val="clear" w:pos="2041"/>
          <w:tab w:val="clear" w:pos="2325"/>
          <w:tab w:val="right" w:pos="1710"/>
        </w:tabs>
        <w:ind w:left="1995" w:hanging="1995"/>
        <w:rPr>
          <w:snapToGrid w:val="0"/>
        </w:rPr>
      </w:pPr>
      <w:r>
        <w:rPr>
          <w:snapToGrid w:val="0"/>
        </w:rPr>
        <w:tab/>
        <w:t>(i)</w:t>
      </w:r>
      <w:r>
        <w:rPr>
          <w:snapToGrid w:val="0"/>
        </w:rPr>
        <w:tab/>
        <w:t>the state of visibility;</w:t>
      </w:r>
    </w:p>
    <w:p>
      <w:pPr>
        <w:pStyle w:val="yIndenti0"/>
        <w:tabs>
          <w:tab w:val="clear" w:pos="2041"/>
          <w:tab w:val="clear" w:pos="2325"/>
          <w:tab w:val="right" w:pos="1710"/>
        </w:tabs>
        <w:ind w:left="1995" w:hanging="1995"/>
        <w:rPr>
          <w:snapToGrid w:val="0"/>
        </w:rPr>
      </w:pPr>
      <w:r>
        <w:rPr>
          <w:snapToGrid w:val="0"/>
        </w:rPr>
        <w:lastRenderedPageBreak/>
        <w:tab/>
        <w:t>(ii)</w:t>
      </w:r>
      <w:r>
        <w:rPr>
          <w:snapToGrid w:val="0"/>
        </w:rPr>
        <w:tab/>
        <w:t>the traffic density including concentrations of fishing vessels or any other vessels;</w:t>
      </w:r>
    </w:p>
    <w:p>
      <w:pPr>
        <w:pStyle w:val="yIndenti0"/>
        <w:tabs>
          <w:tab w:val="clear" w:pos="2041"/>
          <w:tab w:val="clear" w:pos="2325"/>
          <w:tab w:val="right" w:pos="1710"/>
        </w:tabs>
        <w:ind w:left="1995" w:hanging="1995"/>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tabs>
          <w:tab w:val="clear" w:pos="2041"/>
          <w:tab w:val="clear" w:pos="2325"/>
          <w:tab w:val="right" w:pos="1710"/>
        </w:tabs>
        <w:ind w:left="1995" w:hanging="1995"/>
        <w:rPr>
          <w:snapToGrid w:val="0"/>
        </w:rPr>
      </w:pPr>
      <w:r>
        <w:rPr>
          <w:snapToGrid w:val="0"/>
        </w:rPr>
        <w:tab/>
        <w:t>(iv)</w:t>
      </w:r>
      <w:r>
        <w:rPr>
          <w:snapToGrid w:val="0"/>
        </w:rPr>
        <w:tab/>
        <w:t>at night the presence of background light such as from shore lights or from back scatter of her own lights;</w:t>
      </w:r>
    </w:p>
    <w:p>
      <w:pPr>
        <w:pStyle w:val="yIndenti0"/>
        <w:tabs>
          <w:tab w:val="clear" w:pos="2041"/>
          <w:tab w:val="clear" w:pos="2325"/>
          <w:tab w:val="right" w:pos="1710"/>
        </w:tabs>
        <w:ind w:left="1995" w:hanging="1995"/>
        <w:rPr>
          <w:snapToGrid w:val="0"/>
        </w:rPr>
      </w:pPr>
      <w:r>
        <w:rPr>
          <w:snapToGrid w:val="0"/>
        </w:rPr>
        <w:tab/>
        <w:t>(v)</w:t>
      </w:r>
      <w:r>
        <w:rPr>
          <w:snapToGrid w:val="0"/>
        </w:rPr>
        <w:tab/>
        <w:t>the state of wind, sea and current, and the proximity of navigational hazards;</w:t>
      </w:r>
    </w:p>
    <w:p>
      <w:pPr>
        <w:pStyle w:val="yIndenti0"/>
        <w:tabs>
          <w:tab w:val="clear" w:pos="2041"/>
          <w:tab w:val="clear" w:pos="2325"/>
          <w:tab w:val="right" w:pos="1710"/>
        </w:tabs>
        <w:ind w:left="1995" w:hanging="1995"/>
        <w:rPr>
          <w:snapToGrid w:val="0"/>
        </w:rPr>
      </w:pPr>
      <w:r>
        <w:rPr>
          <w:snapToGrid w:val="0"/>
        </w:rPr>
        <w:tab/>
        <w:t>(vi)</w:t>
      </w:r>
      <w:r>
        <w:rPr>
          <w:snapToGrid w:val="0"/>
        </w:rPr>
        <w:tab/>
        <w:t>the draught in relation to the available depth of water.</w:t>
      </w:r>
    </w:p>
    <w:p>
      <w:pPr>
        <w:pStyle w:val="yIndenta"/>
        <w:tabs>
          <w:tab w:val="clear" w:pos="1332"/>
          <w:tab w:val="clear" w:pos="1616"/>
          <w:tab w:val="right" w:pos="1026"/>
        </w:tabs>
        <w:ind w:left="1311" w:hanging="1311"/>
        <w:rPr>
          <w:snapToGrid w:val="0"/>
        </w:rPr>
      </w:pPr>
      <w:r>
        <w:rPr>
          <w:snapToGrid w:val="0"/>
        </w:rPr>
        <w:tab/>
        <w:t>(b)</w:t>
      </w:r>
      <w:r>
        <w:rPr>
          <w:snapToGrid w:val="0"/>
        </w:rPr>
        <w:tab/>
        <w:t>Additionally, by vessels with operational radar:</w:t>
      </w:r>
    </w:p>
    <w:p>
      <w:pPr>
        <w:pStyle w:val="yIndenti0"/>
        <w:tabs>
          <w:tab w:val="clear" w:pos="2041"/>
          <w:tab w:val="clear" w:pos="2325"/>
          <w:tab w:val="right" w:pos="1710"/>
        </w:tabs>
        <w:ind w:left="1995" w:hanging="1995"/>
        <w:rPr>
          <w:snapToGrid w:val="0"/>
        </w:rPr>
      </w:pPr>
      <w:r>
        <w:rPr>
          <w:snapToGrid w:val="0"/>
        </w:rPr>
        <w:tab/>
        <w:t>(i)</w:t>
      </w:r>
      <w:r>
        <w:rPr>
          <w:snapToGrid w:val="0"/>
        </w:rPr>
        <w:tab/>
        <w:t>the characteristics, efficiency and limitations of the radar equipment;</w:t>
      </w:r>
    </w:p>
    <w:p>
      <w:pPr>
        <w:pStyle w:val="yIndenti0"/>
        <w:tabs>
          <w:tab w:val="clear" w:pos="2041"/>
          <w:tab w:val="clear" w:pos="2325"/>
          <w:tab w:val="right" w:pos="1710"/>
        </w:tabs>
        <w:ind w:left="1995" w:hanging="1995"/>
        <w:rPr>
          <w:snapToGrid w:val="0"/>
        </w:rPr>
      </w:pPr>
      <w:r>
        <w:rPr>
          <w:snapToGrid w:val="0"/>
        </w:rPr>
        <w:tab/>
        <w:t>(ii)</w:t>
      </w:r>
      <w:r>
        <w:rPr>
          <w:snapToGrid w:val="0"/>
        </w:rPr>
        <w:tab/>
        <w:t>any constraints imposed by the radar range scale in use;</w:t>
      </w:r>
    </w:p>
    <w:p>
      <w:pPr>
        <w:pStyle w:val="yIndenti0"/>
        <w:tabs>
          <w:tab w:val="clear" w:pos="2041"/>
          <w:tab w:val="clear" w:pos="2325"/>
          <w:tab w:val="right" w:pos="1710"/>
        </w:tabs>
        <w:ind w:left="1995" w:hanging="1995"/>
        <w:rPr>
          <w:snapToGrid w:val="0"/>
        </w:rPr>
      </w:pPr>
      <w:r>
        <w:rPr>
          <w:snapToGrid w:val="0"/>
        </w:rPr>
        <w:tab/>
        <w:t>(iii)</w:t>
      </w:r>
      <w:r>
        <w:rPr>
          <w:snapToGrid w:val="0"/>
        </w:rPr>
        <w:tab/>
        <w:t>the effect on radar detection of the sea state, weather and other sources of interference;</w:t>
      </w:r>
    </w:p>
    <w:p>
      <w:pPr>
        <w:pStyle w:val="yIndenti0"/>
        <w:tabs>
          <w:tab w:val="clear" w:pos="2041"/>
          <w:tab w:val="clear" w:pos="2325"/>
          <w:tab w:val="right" w:pos="1710"/>
        </w:tabs>
        <w:ind w:left="1995" w:hanging="1995"/>
        <w:rPr>
          <w:snapToGrid w:val="0"/>
        </w:rPr>
      </w:pPr>
      <w:r>
        <w:rPr>
          <w:snapToGrid w:val="0"/>
        </w:rPr>
        <w:tab/>
        <w:t>(iv)</w:t>
      </w:r>
      <w:r>
        <w:rPr>
          <w:snapToGrid w:val="0"/>
        </w:rPr>
        <w:tab/>
        <w:t>the possibility that small vessels, ice and other floating objects may not be detected by radar at an adequate range;</w:t>
      </w:r>
    </w:p>
    <w:p>
      <w:pPr>
        <w:pStyle w:val="yIndenti0"/>
        <w:tabs>
          <w:tab w:val="clear" w:pos="2041"/>
          <w:tab w:val="clear" w:pos="2325"/>
          <w:tab w:val="right" w:pos="1710"/>
        </w:tabs>
        <w:ind w:left="1995" w:hanging="1995"/>
        <w:rPr>
          <w:snapToGrid w:val="0"/>
        </w:rPr>
      </w:pPr>
      <w:r>
        <w:rPr>
          <w:snapToGrid w:val="0"/>
        </w:rPr>
        <w:tab/>
        <w:t>(v)</w:t>
      </w:r>
      <w:r>
        <w:rPr>
          <w:snapToGrid w:val="0"/>
        </w:rPr>
        <w:tab/>
        <w:t>the number, location and movement of vessels detected by radar;</w:t>
      </w:r>
    </w:p>
    <w:p>
      <w:pPr>
        <w:pStyle w:val="yIndenti0"/>
        <w:tabs>
          <w:tab w:val="clear" w:pos="2041"/>
          <w:tab w:val="clear" w:pos="2325"/>
          <w:tab w:val="right" w:pos="1710"/>
        </w:tabs>
        <w:ind w:left="1995" w:hanging="1995"/>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r>
        <w:rPr>
          <w:snapToGrid w:val="0"/>
        </w:rPr>
        <w:t>RULE 7</w:t>
      </w:r>
    </w:p>
    <w:p>
      <w:pPr>
        <w:pStyle w:val="yMiscellaneousHeading"/>
        <w:rPr>
          <w:i/>
          <w:snapToGrid w:val="0"/>
        </w:rPr>
      </w:pPr>
      <w:r>
        <w:rPr>
          <w:i/>
          <w:snapToGrid w:val="0"/>
        </w:rPr>
        <w:t>Risk of Collision</w:t>
      </w:r>
    </w:p>
    <w:p>
      <w:pPr>
        <w:pStyle w:val="yMiscellaneousBody"/>
        <w:ind w:left="570" w:hanging="570"/>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ind w:left="570" w:hanging="570"/>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ind w:left="570" w:hanging="570"/>
        <w:rPr>
          <w:snapToGrid w:val="0"/>
        </w:rPr>
      </w:pPr>
      <w:r>
        <w:rPr>
          <w:snapToGrid w:val="0"/>
        </w:rPr>
        <w:lastRenderedPageBreak/>
        <w:t>(c)</w:t>
      </w:r>
      <w:r>
        <w:rPr>
          <w:snapToGrid w:val="0"/>
        </w:rPr>
        <w:tab/>
        <w:t>Assumptions shall not be made on the basis of scanty information, especially scanty radar information.</w:t>
      </w:r>
    </w:p>
    <w:p>
      <w:pPr>
        <w:pStyle w:val="yMiscellaneousBody"/>
        <w:ind w:left="570" w:hanging="570"/>
        <w:rPr>
          <w:snapToGrid w:val="0"/>
        </w:rPr>
      </w:pPr>
      <w:r>
        <w:rPr>
          <w:snapToGrid w:val="0"/>
        </w:rPr>
        <w:t>(d)</w:t>
      </w:r>
      <w:r>
        <w:rPr>
          <w:snapToGrid w:val="0"/>
        </w:rPr>
        <w:tab/>
        <w:t>In determining if risk of collision exists the following considerations shall be among those taken into account:</w:t>
      </w:r>
    </w:p>
    <w:p>
      <w:pPr>
        <w:pStyle w:val="yIndenta"/>
        <w:tabs>
          <w:tab w:val="clear" w:pos="1332"/>
          <w:tab w:val="clear" w:pos="1616"/>
          <w:tab w:val="right" w:pos="1026"/>
        </w:tabs>
        <w:ind w:left="1311" w:hanging="1311"/>
        <w:rPr>
          <w:snapToGrid w:val="0"/>
        </w:rPr>
      </w:pPr>
      <w:r>
        <w:rPr>
          <w:snapToGrid w:val="0"/>
        </w:rPr>
        <w:tab/>
        <w:t>(i)</w:t>
      </w:r>
      <w:r>
        <w:rPr>
          <w:snapToGrid w:val="0"/>
        </w:rPr>
        <w:tab/>
        <w:t>such risk shall be deemed to exist if the compass bearing of an approaching vessel does not appreciably change;</w:t>
      </w:r>
    </w:p>
    <w:p>
      <w:pPr>
        <w:pStyle w:val="yIndenta"/>
        <w:tabs>
          <w:tab w:val="clear" w:pos="1332"/>
          <w:tab w:val="clear" w:pos="1616"/>
          <w:tab w:val="right" w:pos="1026"/>
        </w:tabs>
        <w:ind w:left="1311" w:hanging="1311"/>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r>
        <w:rPr>
          <w:snapToGrid w:val="0"/>
        </w:rPr>
        <w:t>RULE 8</w:t>
      </w:r>
    </w:p>
    <w:p>
      <w:pPr>
        <w:pStyle w:val="yMiscellaneousHeading"/>
        <w:rPr>
          <w:i/>
          <w:snapToGrid w:val="0"/>
        </w:rPr>
      </w:pPr>
      <w:r>
        <w:rPr>
          <w:i/>
          <w:snapToGrid w:val="0"/>
        </w:rPr>
        <w:t>Action to avoid collision</w:t>
      </w:r>
    </w:p>
    <w:p>
      <w:pPr>
        <w:pStyle w:val="yMiscellaneousBody"/>
        <w:ind w:left="570" w:hanging="570"/>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ind w:left="570" w:hanging="570"/>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ind w:left="570" w:hanging="570"/>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ind w:left="570" w:hanging="570"/>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ind w:left="570" w:hanging="570"/>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r>
        <w:rPr>
          <w:snapToGrid w:val="0"/>
        </w:rPr>
        <w:lastRenderedPageBreak/>
        <w:t>RULE 9</w:t>
      </w:r>
    </w:p>
    <w:p>
      <w:pPr>
        <w:pStyle w:val="yMiscellaneousHeading"/>
        <w:rPr>
          <w:i/>
          <w:snapToGrid w:val="0"/>
        </w:rPr>
      </w:pPr>
      <w:r>
        <w:rPr>
          <w:i/>
          <w:snapToGrid w:val="0"/>
        </w:rPr>
        <w:t>Narrow channels</w:t>
      </w:r>
    </w:p>
    <w:p>
      <w:pPr>
        <w:pStyle w:val="yMiscellaneousBody"/>
        <w:ind w:left="570" w:hanging="570"/>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ind w:left="570" w:hanging="570"/>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ind w:left="570" w:hanging="570"/>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ind w:left="570" w:hanging="570"/>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tabs>
          <w:tab w:val="clear" w:pos="1332"/>
          <w:tab w:val="clear" w:pos="1616"/>
          <w:tab w:val="right" w:pos="1026"/>
        </w:tabs>
        <w:ind w:left="1311" w:hanging="1311"/>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tabs>
          <w:tab w:val="clear" w:pos="1332"/>
          <w:tab w:val="clear" w:pos="1616"/>
          <w:tab w:val="right" w:pos="1026"/>
        </w:tabs>
        <w:ind w:left="1311" w:hanging="1311"/>
        <w:rPr>
          <w:snapToGrid w:val="0"/>
        </w:rPr>
      </w:pPr>
      <w:r>
        <w:rPr>
          <w:snapToGrid w:val="0"/>
        </w:rPr>
        <w:tab/>
        <w:t>(ii)</w:t>
      </w:r>
      <w:r>
        <w:rPr>
          <w:snapToGrid w:val="0"/>
        </w:rPr>
        <w:tab/>
        <w:t>This Rule does not relieve the overtaking vessel of her obligation under Rule 13.</w:t>
      </w:r>
    </w:p>
    <w:p>
      <w:pPr>
        <w:pStyle w:val="yMiscellaneousBody"/>
        <w:ind w:left="570" w:hanging="570"/>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ind w:left="570" w:hanging="570"/>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r>
        <w:rPr>
          <w:snapToGrid w:val="0"/>
        </w:rPr>
        <w:lastRenderedPageBreak/>
        <w:t>RULE 10</w:t>
      </w:r>
    </w:p>
    <w:p>
      <w:pPr>
        <w:pStyle w:val="yMiscellaneousHeading"/>
        <w:rPr>
          <w:i/>
          <w:snapToGrid w:val="0"/>
        </w:rPr>
      </w:pPr>
      <w:r>
        <w:rPr>
          <w:i/>
          <w:snapToGrid w:val="0"/>
        </w:rPr>
        <w:t>Traffic separation schemes</w:t>
      </w:r>
    </w:p>
    <w:p>
      <w:pPr>
        <w:pStyle w:val="yMiscellaneousBody"/>
        <w:ind w:left="570" w:hanging="570"/>
        <w:rPr>
          <w:snapToGrid w:val="0"/>
        </w:rPr>
      </w:pPr>
      <w:r>
        <w:rPr>
          <w:snapToGrid w:val="0"/>
        </w:rPr>
        <w:t>(a)</w:t>
      </w:r>
      <w:r>
        <w:rPr>
          <w:snapToGrid w:val="0"/>
        </w:rPr>
        <w:tab/>
        <w:t>This Rule applies to traffic separation schemes adopted by the Organization.</w:t>
      </w:r>
    </w:p>
    <w:p>
      <w:pPr>
        <w:pStyle w:val="yMiscellaneousBody"/>
        <w:ind w:left="570" w:hanging="570"/>
        <w:rPr>
          <w:snapToGrid w:val="0"/>
        </w:rPr>
      </w:pPr>
      <w:r>
        <w:rPr>
          <w:snapToGrid w:val="0"/>
        </w:rPr>
        <w:t>(b)</w:t>
      </w:r>
      <w:r>
        <w:rPr>
          <w:snapToGrid w:val="0"/>
        </w:rPr>
        <w:tab/>
        <w:t>A vessel using a traffic separation scheme shall:</w:t>
      </w:r>
    </w:p>
    <w:p>
      <w:pPr>
        <w:pStyle w:val="yIndenta"/>
        <w:tabs>
          <w:tab w:val="clear" w:pos="1332"/>
          <w:tab w:val="clear" w:pos="1616"/>
          <w:tab w:val="right" w:pos="1026"/>
        </w:tabs>
        <w:ind w:left="1311" w:hanging="1311"/>
        <w:rPr>
          <w:snapToGrid w:val="0"/>
        </w:rPr>
      </w:pPr>
      <w:r>
        <w:rPr>
          <w:snapToGrid w:val="0"/>
        </w:rPr>
        <w:tab/>
        <w:t>(i)</w:t>
      </w:r>
      <w:r>
        <w:rPr>
          <w:snapToGrid w:val="0"/>
        </w:rPr>
        <w:tab/>
        <w:t>proceed in the appropriate traffic lane in the general direction of traffic flow for that lane;</w:t>
      </w:r>
    </w:p>
    <w:p>
      <w:pPr>
        <w:pStyle w:val="yIndenta"/>
        <w:tabs>
          <w:tab w:val="clear" w:pos="1332"/>
          <w:tab w:val="clear" w:pos="1616"/>
          <w:tab w:val="right" w:pos="1026"/>
        </w:tabs>
        <w:ind w:left="1311" w:hanging="1311"/>
        <w:rPr>
          <w:snapToGrid w:val="0"/>
        </w:rPr>
      </w:pPr>
      <w:r>
        <w:rPr>
          <w:snapToGrid w:val="0"/>
        </w:rPr>
        <w:tab/>
        <w:t>(ii)</w:t>
      </w:r>
      <w:r>
        <w:rPr>
          <w:snapToGrid w:val="0"/>
        </w:rPr>
        <w:tab/>
        <w:t>so far as practicable keep clear of a traffic separation line or separation zone;</w:t>
      </w:r>
    </w:p>
    <w:p>
      <w:pPr>
        <w:pStyle w:val="yIndenta"/>
        <w:tabs>
          <w:tab w:val="clear" w:pos="1332"/>
          <w:tab w:val="clear" w:pos="1616"/>
          <w:tab w:val="right" w:pos="1026"/>
        </w:tabs>
        <w:ind w:left="1311" w:hanging="1311"/>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ind w:left="570" w:hanging="570"/>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ind w:left="570" w:hanging="570"/>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ind w:left="570" w:hanging="570"/>
        <w:rPr>
          <w:snapToGrid w:val="0"/>
        </w:rPr>
      </w:pPr>
      <w:r>
        <w:rPr>
          <w:snapToGrid w:val="0"/>
        </w:rPr>
        <w:t>(e)</w:t>
      </w:r>
      <w:r>
        <w:rPr>
          <w:snapToGrid w:val="0"/>
        </w:rPr>
        <w:tab/>
        <w:t>A vessel, other than a crossing vessel, shall not normally enter a separation zone or cross a separation line except:</w:t>
      </w:r>
    </w:p>
    <w:p>
      <w:pPr>
        <w:pStyle w:val="yIndenta"/>
        <w:tabs>
          <w:tab w:val="clear" w:pos="1332"/>
          <w:tab w:val="clear" w:pos="1616"/>
          <w:tab w:val="right" w:pos="1026"/>
        </w:tabs>
        <w:ind w:left="1311" w:hanging="1311"/>
        <w:rPr>
          <w:snapToGrid w:val="0"/>
        </w:rPr>
      </w:pPr>
      <w:r>
        <w:rPr>
          <w:snapToGrid w:val="0"/>
        </w:rPr>
        <w:tab/>
        <w:t>(i)</w:t>
      </w:r>
      <w:r>
        <w:rPr>
          <w:snapToGrid w:val="0"/>
        </w:rPr>
        <w:tab/>
        <w:t>in cases of emergency to avoid immediate danger;</w:t>
      </w:r>
    </w:p>
    <w:p>
      <w:pPr>
        <w:pStyle w:val="yIndenta"/>
        <w:tabs>
          <w:tab w:val="clear" w:pos="1332"/>
          <w:tab w:val="clear" w:pos="1616"/>
          <w:tab w:val="right" w:pos="1026"/>
        </w:tabs>
        <w:ind w:left="1311" w:hanging="1311"/>
        <w:rPr>
          <w:snapToGrid w:val="0"/>
        </w:rPr>
      </w:pPr>
      <w:r>
        <w:rPr>
          <w:snapToGrid w:val="0"/>
        </w:rPr>
        <w:tab/>
        <w:t>(ii)</w:t>
      </w:r>
      <w:r>
        <w:rPr>
          <w:snapToGrid w:val="0"/>
        </w:rPr>
        <w:tab/>
        <w:t>to engage in fishing within a separation zone.</w:t>
      </w:r>
    </w:p>
    <w:p>
      <w:pPr>
        <w:pStyle w:val="yMiscellaneousBody"/>
        <w:ind w:left="570" w:hanging="570"/>
        <w:rPr>
          <w:snapToGrid w:val="0"/>
        </w:rPr>
      </w:pPr>
      <w:r>
        <w:rPr>
          <w:snapToGrid w:val="0"/>
        </w:rPr>
        <w:t>(f)</w:t>
      </w:r>
      <w:r>
        <w:rPr>
          <w:snapToGrid w:val="0"/>
        </w:rPr>
        <w:tab/>
        <w:t>A vessel navigating in areas near the terminations of traffic separation schemes shall do so with particular caution.</w:t>
      </w:r>
    </w:p>
    <w:p>
      <w:pPr>
        <w:pStyle w:val="yMiscellaneousBody"/>
        <w:ind w:left="570" w:hanging="570"/>
        <w:rPr>
          <w:snapToGrid w:val="0"/>
        </w:rPr>
      </w:pPr>
      <w:r>
        <w:rPr>
          <w:snapToGrid w:val="0"/>
        </w:rPr>
        <w:t>(g)</w:t>
      </w:r>
      <w:r>
        <w:rPr>
          <w:snapToGrid w:val="0"/>
        </w:rPr>
        <w:tab/>
        <w:t>A vessel shall so far as practicable avoid anchoring in a traffic separation scheme or in areas near its terminations.</w:t>
      </w:r>
    </w:p>
    <w:p>
      <w:pPr>
        <w:pStyle w:val="yMiscellaneousBody"/>
        <w:ind w:left="570" w:hanging="570"/>
        <w:rPr>
          <w:snapToGrid w:val="0"/>
        </w:rPr>
      </w:pPr>
      <w:r>
        <w:rPr>
          <w:snapToGrid w:val="0"/>
        </w:rPr>
        <w:t>(h)</w:t>
      </w:r>
      <w:r>
        <w:rPr>
          <w:snapToGrid w:val="0"/>
        </w:rPr>
        <w:tab/>
        <w:t>A vessel not using a traffic separation scheme shall avoid it by as wide a margin as is practicable.</w:t>
      </w:r>
    </w:p>
    <w:p>
      <w:pPr>
        <w:pStyle w:val="yMiscellaneousBody"/>
        <w:ind w:left="570" w:hanging="570"/>
        <w:rPr>
          <w:snapToGrid w:val="0"/>
        </w:rPr>
      </w:pPr>
      <w:r>
        <w:rPr>
          <w:snapToGrid w:val="0"/>
        </w:rPr>
        <w:t>(i)</w:t>
      </w:r>
      <w:r>
        <w:rPr>
          <w:snapToGrid w:val="0"/>
        </w:rPr>
        <w:tab/>
        <w:t>A vessel engaged in fishing shall not impede the passage of any vessel following a traffic lane.</w:t>
      </w:r>
    </w:p>
    <w:p>
      <w:pPr>
        <w:pStyle w:val="yMiscellaneousBody"/>
        <w:ind w:left="570" w:hanging="570"/>
        <w:rPr>
          <w:snapToGrid w:val="0"/>
        </w:rPr>
      </w:pPr>
      <w:r>
        <w:rPr>
          <w:snapToGrid w:val="0"/>
        </w:rPr>
        <w:lastRenderedPageBreak/>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80"/>
        <w:outlineLvl w:val="0"/>
        <w:rPr>
          <w:snapToGrid w:val="0"/>
        </w:rPr>
      </w:pPr>
      <w:r>
        <w:rPr>
          <w:snapToGrid w:val="0"/>
        </w:rPr>
        <w:t>SECTION II — CONDUCT OF VESSELS IN SIGHT OF ONE ANOTHER</w:t>
      </w:r>
    </w:p>
    <w:p>
      <w:pPr>
        <w:pStyle w:val="yMiscellaneousHeading"/>
        <w:spacing w:before="300"/>
        <w:outlineLvl w:val="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r>
        <w:rPr>
          <w:snapToGrid w:val="0"/>
        </w:rPr>
        <w:t>RULE 12</w:t>
      </w:r>
    </w:p>
    <w:p>
      <w:pPr>
        <w:pStyle w:val="yMiscellaneousHeading"/>
        <w:rPr>
          <w:i/>
          <w:snapToGrid w:val="0"/>
        </w:rPr>
      </w:pPr>
      <w:r>
        <w:rPr>
          <w:i/>
          <w:snapToGrid w:val="0"/>
        </w:rPr>
        <w:t>Sailing vessels</w:t>
      </w:r>
    </w:p>
    <w:p>
      <w:pPr>
        <w:pStyle w:val="yMiscellaneousBody"/>
        <w:ind w:left="570" w:hanging="570"/>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tabs>
          <w:tab w:val="clear" w:pos="1332"/>
          <w:tab w:val="clear" w:pos="1616"/>
          <w:tab w:val="right" w:pos="1026"/>
        </w:tabs>
        <w:ind w:left="1311" w:hanging="1311"/>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tabs>
          <w:tab w:val="clear" w:pos="1332"/>
          <w:tab w:val="clear" w:pos="1616"/>
          <w:tab w:val="right" w:pos="1026"/>
        </w:tabs>
        <w:ind w:left="1311" w:hanging="1311"/>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tabs>
          <w:tab w:val="clear" w:pos="1332"/>
          <w:tab w:val="clear" w:pos="1616"/>
          <w:tab w:val="right" w:pos="1026"/>
        </w:tabs>
        <w:ind w:left="1311" w:hanging="1311"/>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ind w:left="570" w:hanging="570"/>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r>
        <w:rPr>
          <w:snapToGrid w:val="0"/>
        </w:rPr>
        <w:t>RULE 13</w:t>
      </w:r>
    </w:p>
    <w:p>
      <w:pPr>
        <w:pStyle w:val="yMiscellaneousHeading"/>
        <w:rPr>
          <w:i/>
          <w:snapToGrid w:val="0"/>
        </w:rPr>
      </w:pPr>
      <w:r>
        <w:rPr>
          <w:i/>
          <w:snapToGrid w:val="0"/>
        </w:rPr>
        <w:t>Overtaking</w:t>
      </w:r>
    </w:p>
    <w:p>
      <w:pPr>
        <w:pStyle w:val="yMiscellaneousBody"/>
        <w:ind w:left="570" w:hanging="570"/>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ind w:left="570" w:hanging="570"/>
        <w:rPr>
          <w:snapToGrid w:val="0"/>
        </w:rPr>
      </w:pPr>
      <w:r>
        <w:rPr>
          <w:snapToGrid w:val="0"/>
        </w:rPr>
        <w:lastRenderedPageBreak/>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ind w:left="570" w:hanging="570"/>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ind w:left="570" w:hanging="570"/>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outlineLvl w:val="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ind w:left="570" w:hanging="570"/>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ind w:left="570" w:hanging="570"/>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ind w:left="570" w:hanging="570"/>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40"/>
        <w:outlineLvl w:val="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40"/>
        <w:outlineLvl w:val="0"/>
        <w:rPr>
          <w:snapToGrid w:val="0"/>
        </w:rPr>
      </w:pPr>
      <w:r>
        <w:rPr>
          <w:snapToGrid w:val="0"/>
        </w:rPr>
        <w:lastRenderedPageBreak/>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40"/>
        <w:outlineLvl w:val="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tabs>
          <w:tab w:val="clear" w:pos="1332"/>
          <w:tab w:val="clear" w:pos="1616"/>
          <w:tab w:val="right" w:pos="1026"/>
        </w:tabs>
        <w:ind w:left="1311" w:hanging="1311"/>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tabs>
          <w:tab w:val="clear" w:pos="1332"/>
          <w:tab w:val="clear" w:pos="1616"/>
          <w:tab w:val="right" w:pos="1026"/>
        </w:tabs>
        <w:ind w:left="1311" w:hanging="1311"/>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ind w:left="570" w:hanging="570"/>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keepNext/>
        <w:keepLines/>
        <w:ind w:left="570" w:hanging="570"/>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ind w:left="570" w:hanging="570"/>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40"/>
        <w:outlineLvl w:val="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i0"/>
        <w:tabs>
          <w:tab w:val="clear" w:pos="2041"/>
          <w:tab w:val="clear" w:pos="2325"/>
          <w:tab w:val="right" w:pos="1710"/>
        </w:tabs>
        <w:ind w:left="1995" w:hanging="1995"/>
        <w:rPr>
          <w:snapToGrid w:val="0"/>
        </w:rPr>
      </w:pPr>
      <w:r>
        <w:rPr>
          <w:snapToGrid w:val="0"/>
        </w:rPr>
        <w:tab/>
        <w:t>(iv)</w:t>
      </w:r>
      <w:r>
        <w:rPr>
          <w:snapToGrid w:val="0"/>
        </w:rPr>
        <w:tab/>
        <w:t>a sailing vessel.</w:t>
      </w:r>
    </w:p>
    <w:p>
      <w:pPr>
        <w:pStyle w:val="yIndenta"/>
        <w:tabs>
          <w:tab w:val="clear" w:pos="1332"/>
          <w:tab w:val="clear" w:pos="1616"/>
          <w:tab w:val="right" w:pos="1026"/>
        </w:tabs>
        <w:ind w:left="1311" w:hanging="1311"/>
        <w:rPr>
          <w:snapToGrid w:val="0"/>
        </w:rPr>
      </w:pPr>
      <w:r>
        <w:rPr>
          <w:snapToGrid w:val="0"/>
        </w:rPr>
        <w:lastRenderedPageBreak/>
        <w:tab/>
        <w:t>(b)</w:t>
      </w:r>
      <w:r>
        <w:rPr>
          <w:snapToGrid w:val="0"/>
        </w:rPr>
        <w:tab/>
        <w:t>A sailing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a"/>
        <w:tabs>
          <w:tab w:val="clear" w:pos="1332"/>
          <w:tab w:val="clear" w:pos="1616"/>
          <w:tab w:val="right" w:pos="1026"/>
        </w:tabs>
        <w:ind w:left="1311" w:hanging="1311"/>
        <w:rPr>
          <w:snapToGrid w:val="0"/>
        </w:rPr>
      </w:pPr>
      <w:r>
        <w:rPr>
          <w:snapToGrid w:val="0"/>
        </w:rPr>
        <w:tab/>
        <w:t>(c)</w:t>
      </w:r>
      <w:r>
        <w:rPr>
          <w:snapToGrid w:val="0"/>
        </w:rPr>
        <w:tab/>
        <w:t>A vessel engaged in fishing when underway shall, so far as possible, keep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tabs>
          <w:tab w:val="clear" w:pos="2041"/>
          <w:tab w:val="clear" w:pos="2325"/>
          <w:tab w:val="right" w:pos="1710"/>
        </w:tabs>
        <w:ind w:left="1995" w:hanging="1995"/>
        <w:rPr>
          <w:snapToGrid w:val="0"/>
        </w:rPr>
      </w:pPr>
      <w:r>
        <w:rPr>
          <w:snapToGrid w:val="0"/>
        </w:rPr>
        <w:tab/>
        <w:t>(ii)</w:t>
      </w:r>
      <w:r>
        <w:rPr>
          <w:snapToGrid w:val="0"/>
        </w:rPr>
        <w:tab/>
        <w:t>A vessel constrained by her draught shall navigate with particular caution having full regard to her special condition.</w:t>
      </w:r>
    </w:p>
    <w:p>
      <w:pPr>
        <w:pStyle w:val="yIndenta"/>
        <w:keepNext/>
        <w:keepLines/>
        <w:tabs>
          <w:tab w:val="clear" w:pos="1332"/>
          <w:tab w:val="clear" w:pos="1616"/>
          <w:tab w:val="right" w:pos="1026"/>
        </w:tabs>
        <w:ind w:left="1311" w:hanging="1311"/>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r>
        <w:rPr>
          <w:snapToGrid w:val="0"/>
        </w:rPr>
        <w:t>SECTION III — CONDUCT OF VESSELS IN RESTRICTED VISIBILITY</w:t>
      </w:r>
    </w:p>
    <w:p>
      <w:pPr>
        <w:pStyle w:val="yMiscellaneousHeading"/>
        <w:spacing w:before="340"/>
        <w:outlineLvl w:val="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ind w:left="570" w:hanging="570"/>
        <w:rPr>
          <w:snapToGrid w:val="0"/>
        </w:rPr>
      </w:pPr>
      <w:r>
        <w:rPr>
          <w:snapToGrid w:val="0"/>
        </w:rPr>
        <w:t>(a)</w:t>
      </w:r>
      <w:r>
        <w:rPr>
          <w:snapToGrid w:val="0"/>
        </w:rPr>
        <w:tab/>
        <w:t>This Rule applies to vessels not in sight of one another when navigating in or near an area of restricted visibility.</w:t>
      </w:r>
    </w:p>
    <w:p>
      <w:pPr>
        <w:pStyle w:val="yMiscellaneousBody"/>
        <w:ind w:left="570" w:hanging="570"/>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ind w:left="570" w:hanging="570"/>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ind w:left="570" w:hanging="570"/>
        <w:rPr>
          <w:snapToGrid w:val="0"/>
        </w:rPr>
      </w:pPr>
      <w:r>
        <w:rPr>
          <w:snapToGrid w:val="0"/>
        </w:rPr>
        <w:lastRenderedPageBreak/>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tabs>
          <w:tab w:val="clear" w:pos="1332"/>
          <w:tab w:val="clear" w:pos="1616"/>
          <w:tab w:val="right" w:pos="1026"/>
        </w:tabs>
        <w:ind w:left="1311" w:hanging="1311"/>
        <w:rPr>
          <w:snapToGrid w:val="0"/>
        </w:rPr>
      </w:pPr>
      <w:r>
        <w:rPr>
          <w:snapToGrid w:val="0"/>
        </w:rPr>
        <w:tab/>
        <w:t>(i)</w:t>
      </w:r>
      <w:r>
        <w:rPr>
          <w:snapToGrid w:val="0"/>
        </w:rPr>
        <w:tab/>
        <w:t>an alteration of course to port for a vessel forward of the beam, other than for a vessel being overtaken;</w:t>
      </w:r>
    </w:p>
    <w:p>
      <w:pPr>
        <w:pStyle w:val="yIndenta"/>
        <w:tabs>
          <w:tab w:val="clear" w:pos="1332"/>
          <w:tab w:val="clear" w:pos="1616"/>
          <w:tab w:val="right" w:pos="1026"/>
        </w:tabs>
        <w:ind w:left="1311" w:hanging="1311"/>
        <w:rPr>
          <w:snapToGrid w:val="0"/>
        </w:rPr>
      </w:pPr>
      <w:r>
        <w:rPr>
          <w:snapToGrid w:val="0"/>
        </w:rPr>
        <w:tab/>
        <w:t>(ii)</w:t>
      </w:r>
      <w:r>
        <w:rPr>
          <w:snapToGrid w:val="0"/>
        </w:rPr>
        <w:tab/>
        <w:t>an alteration of course towards a vessel abeam or abaft the beam.</w:t>
      </w:r>
    </w:p>
    <w:p>
      <w:pPr>
        <w:pStyle w:val="yMiscellaneousBody"/>
        <w:ind w:left="570" w:hanging="570"/>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r>
        <w:rPr>
          <w:snapToGrid w:val="0"/>
        </w:rPr>
        <w:t>PART C — LIGHTS AND SHAPES</w:t>
      </w:r>
    </w:p>
    <w:p>
      <w:pPr>
        <w:pStyle w:val="yMiscellaneousHeading"/>
        <w:spacing w:before="340"/>
        <w:outlineLvl w:val="0"/>
        <w:rPr>
          <w:snapToGrid w:val="0"/>
        </w:rPr>
      </w:pPr>
      <w:r>
        <w:rPr>
          <w:snapToGrid w:val="0"/>
        </w:rPr>
        <w:t>RULE 20</w:t>
      </w:r>
    </w:p>
    <w:p>
      <w:pPr>
        <w:pStyle w:val="yMiscellaneousHeading"/>
        <w:rPr>
          <w:i/>
          <w:snapToGrid w:val="0"/>
        </w:rPr>
      </w:pPr>
      <w:r>
        <w:rPr>
          <w:i/>
          <w:snapToGrid w:val="0"/>
        </w:rPr>
        <w:t>Application</w:t>
      </w:r>
    </w:p>
    <w:p>
      <w:pPr>
        <w:pStyle w:val="yMiscellaneousBody"/>
        <w:keepNext/>
        <w:ind w:left="570" w:hanging="570"/>
        <w:rPr>
          <w:snapToGrid w:val="0"/>
        </w:rPr>
      </w:pPr>
      <w:r>
        <w:rPr>
          <w:snapToGrid w:val="0"/>
        </w:rPr>
        <w:t>(a)</w:t>
      </w:r>
      <w:r>
        <w:rPr>
          <w:snapToGrid w:val="0"/>
        </w:rPr>
        <w:tab/>
        <w:t>Rules in this Part shall be complied with in all weathers.</w:t>
      </w:r>
    </w:p>
    <w:p>
      <w:pPr>
        <w:pStyle w:val="yMiscellaneousBody"/>
        <w:ind w:left="570" w:hanging="570"/>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ind w:left="570" w:hanging="570"/>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ind w:left="570" w:hanging="570"/>
        <w:rPr>
          <w:snapToGrid w:val="0"/>
        </w:rPr>
      </w:pPr>
      <w:r>
        <w:rPr>
          <w:snapToGrid w:val="0"/>
        </w:rPr>
        <w:t>(d)</w:t>
      </w:r>
      <w:r>
        <w:rPr>
          <w:snapToGrid w:val="0"/>
        </w:rPr>
        <w:tab/>
        <w:t>The Rules concerning shapes shall be complied with by day.</w:t>
      </w:r>
    </w:p>
    <w:p>
      <w:pPr>
        <w:pStyle w:val="yMiscellaneousBody"/>
        <w:ind w:left="570" w:hanging="570"/>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r>
        <w:rPr>
          <w:snapToGrid w:val="0"/>
        </w:rPr>
        <w:lastRenderedPageBreak/>
        <w:t>RULE 21</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ind w:left="570" w:hanging="570"/>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ind w:left="570" w:hanging="570"/>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ind w:left="570" w:hanging="570"/>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ind w:left="570" w:hanging="570"/>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ind w:left="570" w:hanging="570"/>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tabs>
          <w:tab w:val="clear" w:pos="1332"/>
          <w:tab w:val="clear" w:pos="1616"/>
          <w:tab w:val="right" w:pos="1026"/>
        </w:tabs>
        <w:ind w:left="1311" w:hanging="1311"/>
        <w:rPr>
          <w:snapToGrid w:val="0"/>
        </w:rPr>
      </w:pPr>
      <w:r>
        <w:rPr>
          <w:snapToGrid w:val="0"/>
        </w:rPr>
        <w:tab/>
        <w:t>(a)</w:t>
      </w:r>
      <w:r>
        <w:rPr>
          <w:snapToGrid w:val="0"/>
        </w:rPr>
        <w:tab/>
        <w:t>In vessels of 50 metres or more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6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3 miles;</w:t>
      </w:r>
    </w:p>
    <w:p>
      <w:pPr>
        <w:pStyle w:val="yIndenti0"/>
        <w:tabs>
          <w:tab w:val="clear" w:pos="2041"/>
          <w:tab w:val="clear" w:pos="2325"/>
          <w:tab w:val="right" w:pos="1710"/>
        </w:tabs>
        <w:ind w:left="1995" w:hanging="1995"/>
        <w:rPr>
          <w:snapToGrid w:val="0"/>
        </w:rPr>
      </w:pPr>
      <w:r>
        <w:rPr>
          <w:snapToGrid w:val="0"/>
        </w:rPr>
        <w:lastRenderedPageBreak/>
        <w:tab/>
        <w:t>—</w:t>
      </w:r>
      <w:r>
        <w:rPr>
          <w:snapToGrid w:val="0"/>
        </w:rPr>
        <w:tab/>
        <w:t>a white, red, green or yellow all</w:t>
      </w:r>
      <w:r>
        <w:rPr>
          <w:snapToGrid w:val="0"/>
        </w:rPr>
        <w:noBreakHyphen/>
        <w:t>round light, 3 miles.</w:t>
      </w:r>
    </w:p>
    <w:p>
      <w:pPr>
        <w:pStyle w:val="yIndenta"/>
        <w:tabs>
          <w:tab w:val="clear" w:pos="1332"/>
          <w:tab w:val="clear" w:pos="1616"/>
          <w:tab w:val="right" w:pos="1026"/>
        </w:tabs>
        <w:ind w:left="1311" w:hanging="1311"/>
        <w:rPr>
          <w:snapToGrid w:val="0"/>
        </w:rPr>
      </w:pPr>
      <w:r>
        <w:rPr>
          <w:snapToGrid w:val="0"/>
        </w:rPr>
        <w:tab/>
        <w:t>(b)</w:t>
      </w:r>
      <w:r>
        <w:rPr>
          <w:snapToGrid w:val="0"/>
        </w:rPr>
        <w:tab/>
        <w:t>In vessels of 12 metres or more in length but less than 50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5 miles; except that where the length of the vessel is less than 20 metres, 3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Indenta"/>
        <w:tabs>
          <w:tab w:val="clear" w:pos="1332"/>
          <w:tab w:val="clear" w:pos="1616"/>
          <w:tab w:val="right" w:pos="1026"/>
        </w:tabs>
        <w:ind w:left="1311" w:hanging="1311"/>
        <w:rPr>
          <w:snapToGrid w:val="0"/>
        </w:rPr>
      </w:pPr>
      <w:r>
        <w:rPr>
          <w:snapToGrid w:val="0"/>
        </w:rPr>
        <w:tab/>
        <w:t>(c)</w:t>
      </w:r>
      <w:r>
        <w:rPr>
          <w:snapToGrid w:val="0"/>
        </w:rPr>
        <w:tab/>
        <w:t>In vessels of less than 12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1 mile;</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ind w:left="570" w:hanging="570"/>
        <w:rPr>
          <w:snapToGrid w:val="0"/>
        </w:rPr>
      </w:pPr>
      <w:r>
        <w:rPr>
          <w:snapToGrid w:val="0"/>
        </w:rPr>
        <w:t>(a)</w:t>
      </w:r>
      <w:r>
        <w:rPr>
          <w:snapToGrid w:val="0"/>
        </w:rPr>
        <w:tab/>
        <w:t>A power</w:t>
      </w:r>
      <w:r>
        <w:rPr>
          <w:snapToGrid w:val="0"/>
        </w:rPr>
        <w:noBreakHyphen/>
        <w:t>driven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 masthead light forward;</w:t>
      </w:r>
    </w:p>
    <w:p>
      <w:pPr>
        <w:pStyle w:val="yIndenta"/>
        <w:tabs>
          <w:tab w:val="clear" w:pos="1332"/>
          <w:tab w:val="clear" w:pos="1616"/>
          <w:tab w:val="right" w:pos="1026"/>
        </w:tabs>
        <w:ind w:left="1311" w:hanging="1311"/>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sidelights;</w:t>
      </w:r>
    </w:p>
    <w:p>
      <w:pPr>
        <w:pStyle w:val="yIndenta"/>
        <w:tabs>
          <w:tab w:val="clear" w:pos="1332"/>
          <w:tab w:val="clear" w:pos="1616"/>
          <w:tab w:val="right" w:pos="1026"/>
        </w:tabs>
        <w:ind w:left="1311" w:hanging="1311"/>
        <w:rPr>
          <w:snapToGrid w:val="0"/>
        </w:rPr>
      </w:pPr>
      <w:r>
        <w:rPr>
          <w:snapToGrid w:val="0"/>
        </w:rPr>
        <w:tab/>
        <w:t>(iv)</w:t>
      </w:r>
      <w:r>
        <w:rPr>
          <w:snapToGrid w:val="0"/>
        </w:rPr>
        <w:tab/>
        <w:t>sternlight.</w:t>
      </w:r>
    </w:p>
    <w:p>
      <w:pPr>
        <w:pStyle w:val="yMiscellaneousBody"/>
        <w:ind w:left="570" w:hanging="570"/>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ind w:left="570" w:hanging="570"/>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r>
        <w:rPr>
          <w:snapToGrid w:val="0"/>
        </w:rPr>
        <w:lastRenderedPageBreak/>
        <w:t>RULE 24</w:t>
      </w:r>
    </w:p>
    <w:p>
      <w:pPr>
        <w:pStyle w:val="yMiscellaneousHeading"/>
        <w:rPr>
          <w:i/>
          <w:snapToGrid w:val="0"/>
        </w:rPr>
      </w:pPr>
      <w:r>
        <w:rPr>
          <w:i/>
          <w:snapToGrid w:val="0"/>
        </w:rPr>
        <w:t>Towing and pushing</w:t>
      </w:r>
    </w:p>
    <w:p>
      <w:pPr>
        <w:pStyle w:val="yMiscellaneousBody"/>
        <w:ind w:left="570" w:hanging="570"/>
        <w:rPr>
          <w:snapToGrid w:val="0"/>
        </w:rPr>
      </w:pPr>
      <w:r>
        <w:rPr>
          <w:snapToGrid w:val="0"/>
        </w:rPr>
        <w:t>(a)</w:t>
      </w:r>
      <w:r>
        <w:rPr>
          <w:snapToGrid w:val="0"/>
        </w:rPr>
        <w:tab/>
        <w:t>A power</w:t>
      </w:r>
      <w:r>
        <w:rPr>
          <w:snapToGrid w:val="0"/>
        </w:rPr>
        <w:noBreakHyphen/>
        <w:t>driven vessel when towing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towing light in a vertical line above the sternlight;</w:t>
      </w:r>
    </w:p>
    <w:p>
      <w:pPr>
        <w:pStyle w:val="yIndenta"/>
        <w:tabs>
          <w:tab w:val="clear" w:pos="1332"/>
          <w:tab w:val="clear" w:pos="1616"/>
          <w:tab w:val="right" w:pos="1026"/>
        </w:tabs>
        <w:ind w:left="1311" w:hanging="1311"/>
        <w:rPr>
          <w:snapToGrid w:val="0"/>
        </w:rPr>
      </w:pPr>
      <w:r>
        <w:rPr>
          <w:snapToGrid w:val="0"/>
        </w:rPr>
        <w:tab/>
        <w:t>(v)</w:t>
      </w:r>
      <w:r>
        <w:rPr>
          <w:snapToGrid w:val="0"/>
        </w:rPr>
        <w:tab/>
        <w:t>when the length of the tow exceeds 200 metres, a diamond shape where it can best be seen.</w:t>
      </w:r>
    </w:p>
    <w:p>
      <w:pPr>
        <w:pStyle w:val="yMiscellaneousBody"/>
        <w:ind w:left="570" w:hanging="570"/>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ind w:left="570" w:hanging="570"/>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MiscellaneousBody"/>
        <w:ind w:left="570" w:hanging="570"/>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ind w:left="570" w:hanging="570"/>
        <w:rPr>
          <w:snapToGrid w:val="0"/>
        </w:rPr>
      </w:pPr>
      <w:r>
        <w:rPr>
          <w:snapToGrid w:val="0"/>
        </w:rPr>
        <w:t>(e)</w:t>
      </w:r>
      <w:r>
        <w:rPr>
          <w:snapToGrid w:val="0"/>
        </w:rPr>
        <w:tab/>
        <w:t>A vessel or object being towed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the length of the tow exceeds 200 metres, a diamond shape where it can best be seen.</w:t>
      </w:r>
    </w:p>
    <w:p>
      <w:pPr>
        <w:pStyle w:val="yMiscellaneousBody"/>
        <w:ind w:left="570" w:hanging="570"/>
        <w:rPr>
          <w:snapToGrid w:val="0"/>
        </w:rPr>
      </w:pPr>
      <w:r>
        <w:rPr>
          <w:snapToGrid w:val="0"/>
        </w:rPr>
        <w:t>(f)</w:t>
      </w:r>
      <w:r>
        <w:rPr>
          <w:snapToGrid w:val="0"/>
        </w:rPr>
        <w:tab/>
        <w:t>Provided that any number of vessels being towed alongside or pushed in a group shall be lighted as one vessel,</w:t>
      </w:r>
    </w:p>
    <w:p>
      <w:pPr>
        <w:pStyle w:val="yIndenta"/>
        <w:tabs>
          <w:tab w:val="clear" w:pos="1332"/>
          <w:tab w:val="clear" w:pos="1616"/>
          <w:tab w:val="right" w:pos="1026"/>
        </w:tabs>
        <w:ind w:left="1311" w:hanging="1311"/>
        <w:rPr>
          <w:snapToGrid w:val="0"/>
        </w:rPr>
      </w:pPr>
      <w:r>
        <w:rPr>
          <w:snapToGrid w:val="0"/>
        </w:rPr>
        <w:tab/>
        <w:t>(i)</w:t>
      </w:r>
      <w:r>
        <w:rPr>
          <w:snapToGrid w:val="0"/>
        </w:rPr>
        <w:tab/>
        <w:t>a vessel being pushed ahead, not being part of a composite unit, shall exhibit at the forward end, sidelights;</w:t>
      </w:r>
    </w:p>
    <w:p>
      <w:pPr>
        <w:pStyle w:val="yIndenta"/>
        <w:tabs>
          <w:tab w:val="clear" w:pos="1332"/>
          <w:tab w:val="clear" w:pos="1616"/>
          <w:tab w:val="right" w:pos="1026"/>
        </w:tabs>
        <w:ind w:left="1311" w:hanging="1311"/>
        <w:rPr>
          <w:snapToGrid w:val="0"/>
        </w:rPr>
      </w:pPr>
      <w:r>
        <w:rPr>
          <w:snapToGrid w:val="0"/>
        </w:rPr>
        <w:lastRenderedPageBreak/>
        <w:tab/>
        <w:t>(ii)</w:t>
      </w:r>
      <w:r>
        <w:rPr>
          <w:snapToGrid w:val="0"/>
        </w:rPr>
        <w:tab/>
        <w:t>a vessel being towed alongside shall exhibit a sternlight and at the forward end, sidelights.</w:t>
      </w:r>
    </w:p>
    <w:p>
      <w:pPr>
        <w:pStyle w:val="yMiscellaneousBody"/>
        <w:ind w:left="570" w:hanging="570"/>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ind w:left="570" w:hanging="570"/>
        <w:rPr>
          <w:snapToGrid w:val="0"/>
        </w:rPr>
      </w:pPr>
      <w:r>
        <w:rPr>
          <w:snapToGrid w:val="0"/>
        </w:rPr>
        <w:t>(a)</w:t>
      </w:r>
      <w:r>
        <w:rPr>
          <w:snapToGrid w:val="0"/>
        </w:rPr>
        <w:tab/>
        <w:t>A sailing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MiscellaneousBody"/>
        <w:ind w:left="570" w:hanging="570"/>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ind w:left="570" w:hanging="570"/>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tabs>
          <w:tab w:val="clear" w:pos="1332"/>
          <w:tab w:val="clear" w:pos="1616"/>
          <w:tab w:val="right" w:pos="1026"/>
        </w:tabs>
        <w:ind w:left="1311" w:hanging="1311"/>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ind w:left="570" w:hanging="570"/>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r>
        <w:rPr>
          <w:snapToGrid w:val="0"/>
        </w:rPr>
        <w:lastRenderedPageBreak/>
        <w:t>RULE 26</w:t>
      </w:r>
    </w:p>
    <w:p>
      <w:pPr>
        <w:pStyle w:val="yMiscellaneousHeading"/>
        <w:rPr>
          <w:i/>
          <w:snapToGrid w:val="0"/>
        </w:rPr>
      </w:pPr>
      <w:r>
        <w:rPr>
          <w:i/>
          <w:snapToGrid w:val="0"/>
        </w:rPr>
        <w:t>Fishing vessels</w:t>
      </w:r>
    </w:p>
    <w:p>
      <w:pPr>
        <w:pStyle w:val="yMiscellaneousBody"/>
        <w:ind w:left="570" w:hanging="570"/>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ind w:left="570" w:hanging="570"/>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(c)</w:t>
      </w:r>
      <w:r>
        <w:rPr>
          <w:snapToGrid w:val="0"/>
        </w:rPr>
        <w:tab/>
        <w:t>A vessel engaged in fishing, other than trawling,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ind w:left="570" w:hanging="570"/>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r>
        <w:rPr>
          <w:snapToGrid w:val="0"/>
        </w:rPr>
        <w:lastRenderedPageBreak/>
        <w:t>RULE 27</w:t>
      </w:r>
    </w:p>
    <w:p>
      <w:pPr>
        <w:pStyle w:val="yMiscellaneousHeading"/>
        <w:rPr>
          <w:snapToGrid w:val="0"/>
        </w:rPr>
      </w:pPr>
      <w:r>
        <w:rPr>
          <w:i/>
          <w:snapToGrid w:val="0"/>
        </w:rPr>
        <w:t>Vessels not under command or restricted in their ability to manoeuvre</w:t>
      </w:r>
    </w:p>
    <w:p>
      <w:pPr>
        <w:pStyle w:val="yMiscellaneousBody"/>
        <w:ind w:left="570" w:hanging="570"/>
        <w:rPr>
          <w:snapToGrid w:val="0"/>
        </w:rPr>
      </w:pPr>
      <w:r>
        <w:rPr>
          <w:snapToGrid w:val="0"/>
        </w:rPr>
        <w:t>(a)</w:t>
      </w:r>
      <w:r>
        <w:rPr>
          <w:snapToGrid w:val="0"/>
        </w:rPr>
        <w:tab/>
        <w:t>A vessel not under command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tabs>
          <w:tab w:val="clear" w:pos="1332"/>
          <w:tab w:val="clear" w:pos="1616"/>
          <w:tab w:val="right" w:pos="1026"/>
        </w:tabs>
        <w:ind w:left="1311" w:hanging="1311"/>
        <w:rPr>
          <w:snapToGrid w:val="0"/>
        </w:rPr>
      </w:pPr>
      <w:r>
        <w:rPr>
          <w:snapToGrid w:val="0"/>
        </w:rPr>
        <w:tab/>
        <w:t>(ii)</w:t>
      </w:r>
      <w:r>
        <w:rPr>
          <w:snapToGrid w:val="0"/>
        </w:rPr>
        <w:tab/>
        <w:t>two balls or similar shapes in a vertical line where they can best be seen;</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ind w:left="570" w:hanging="570"/>
        <w:rPr>
          <w:snapToGrid w:val="0"/>
        </w:rPr>
      </w:pPr>
      <w:r>
        <w:rPr>
          <w:snapToGrid w:val="0"/>
        </w:rPr>
        <w:t>(b)</w:t>
      </w:r>
      <w:r>
        <w:rPr>
          <w:snapToGrid w:val="0"/>
        </w:rPr>
        <w:tab/>
        <w:t>A vessel restricted in her ability to manoeuvre, except a vessel engaged in minesweeping operations,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tabs>
          <w:tab w:val="clear" w:pos="1332"/>
          <w:tab w:val="clear" w:pos="1616"/>
          <w:tab w:val="right" w:pos="1026"/>
        </w:tabs>
        <w:ind w:left="1311" w:hanging="1311"/>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tabs>
          <w:tab w:val="clear" w:pos="1332"/>
          <w:tab w:val="clear" w:pos="1616"/>
          <w:tab w:val="right" w:pos="1026"/>
        </w:tabs>
        <w:ind w:left="1311" w:hanging="1311"/>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ind w:left="570" w:hanging="570"/>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ind w:left="570" w:hanging="570"/>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tabs>
          <w:tab w:val="clear" w:pos="1332"/>
          <w:tab w:val="clear" w:pos="1616"/>
          <w:tab w:val="right" w:pos="1026"/>
        </w:tabs>
        <w:ind w:left="1311" w:hanging="1311"/>
        <w:rPr>
          <w:snapToGrid w:val="0"/>
        </w:rPr>
      </w:pPr>
      <w:r>
        <w:rPr>
          <w:snapToGrid w:val="0"/>
        </w:rPr>
        <w:lastRenderedPageBreak/>
        <w:tab/>
        <w:t>(ii)</w:t>
      </w:r>
      <w:r>
        <w:rPr>
          <w:snapToGrid w:val="0"/>
        </w:rPr>
        <w:tab/>
        <w:t>two all</w:t>
      </w:r>
      <w:r>
        <w:rPr>
          <w:snapToGrid w:val="0"/>
        </w:rPr>
        <w:noBreakHyphen/>
        <w:t>round green lights or two diamonds in a vertical line to indicate the side on which another vessel may pass;</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ind w:left="570" w:hanging="570"/>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ind w:left="570" w:hanging="570"/>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ind w:left="570" w:hanging="570"/>
        <w:rPr>
          <w:snapToGrid w:val="0"/>
        </w:rPr>
      </w:pPr>
      <w:r>
        <w:rPr>
          <w:snapToGrid w:val="0"/>
        </w:rPr>
        <w:t>(g)</w:t>
      </w:r>
      <w:r>
        <w:rPr>
          <w:snapToGrid w:val="0"/>
        </w:rPr>
        <w:tab/>
        <w:t>Vessels of less than 7 metres in length shall not be required to exhibit the lights prescribed in this Rule.</w:t>
      </w:r>
    </w:p>
    <w:p>
      <w:pPr>
        <w:pStyle w:val="yMiscellaneousBody"/>
        <w:ind w:left="570" w:hanging="570"/>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r>
        <w:rPr>
          <w:snapToGrid w:val="0"/>
        </w:rPr>
        <w:lastRenderedPageBreak/>
        <w:t>RULE 29</w:t>
      </w:r>
    </w:p>
    <w:p>
      <w:pPr>
        <w:pStyle w:val="yMiscellaneousHeading"/>
        <w:rPr>
          <w:i/>
          <w:snapToGrid w:val="0"/>
        </w:rPr>
      </w:pPr>
      <w:r>
        <w:rPr>
          <w:i/>
          <w:snapToGrid w:val="0"/>
        </w:rPr>
        <w:t>Pilot vessels</w:t>
      </w:r>
    </w:p>
    <w:p>
      <w:pPr>
        <w:pStyle w:val="yMiscellaneousBody"/>
        <w:ind w:left="570" w:hanging="570"/>
        <w:rPr>
          <w:snapToGrid w:val="0"/>
        </w:rPr>
      </w:pPr>
      <w:r>
        <w:rPr>
          <w:snapToGrid w:val="0"/>
        </w:rPr>
        <w:t>(a)</w:t>
      </w:r>
      <w:r>
        <w:rPr>
          <w:snapToGrid w:val="0"/>
        </w:rPr>
        <w:tab/>
        <w:t>A vessel engaged on pilotage duty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tabs>
          <w:tab w:val="clear" w:pos="1332"/>
          <w:tab w:val="clear" w:pos="1616"/>
          <w:tab w:val="right" w:pos="1026"/>
        </w:tabs>
        <w:ind w:left="1311" w:hanging="1311"/>
        <w:rPr>
          <w:snapToGrid w:val="0"/>
        </w:rPr>
      </w:pPr>
      <w:r>
        <w:rPr>
          <w:snapToGrid w:val="0"/>
        </w:rPr>
        <w:tab/>
        <w:t>(ii)</w:t>
      </w:r>
      <w:r>
        <w:rPr>
          <w:snapToGrid w:val="0"/>
        </w:rPr>
        <w:tab/>
        <w:t>when underway, in addition, sidelights and 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ind w:left="570" w:hanging="570"/>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ind w:left="570" w:hanging="570"/>
        <w:rPr>
          <w:snapToGrid w:val="0"/>
        </w:rPr>
      </w:pPr>
      <w:r>
        <w:rPr>
          <w:snapToGrid w:val="0"/>
        </w:rPr>
        <w:t>(a)</w:t>
      </w:r>
      <w:r>
        <w:rPr>
          <w:snapToGrid w:val="0"/>
        </w:rPr>
        <w:tab/>
        <w:t>A vessel at anchor shall exhibit where it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in the fore part, an all</w:t>
      </w:r>
      <w:r>
        <w:rPr>
          <w:snapToGrid w:val="0"/>
        </w:rPr>
        <w:noBreakHyphen/>
        <w:t>round white light or one ball;</w:t>
      </w:r>
    </w:p>
    <w:p>
      <w:pPr>
        <w:pStyle w:val="yIndenta"/>
        <w:tabs>
          <w:tab w:val="clear" w:pos="1332"/>
          <w:tab w:val="clear" w:pos="1616"/>
          <w:tab w:val="right" w:pos="1026"/>
        </w:tabs>
        <w:ind w:left="1311" w:hanging="1311"/>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ind w:left="570" w:hanging="570"/>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ind w:left="570" w:hanging="570"/>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ind w:left="570" w:hanging="570"/>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three balls in a vertical line.</w:t>
      </w:r>
    </w:p>
    <w:p>
      <w:pPr>
        <w:pStyle w:val="yMiscellaneousBody"/>
        <w:ind w:left="570" w:hanging="570"/>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r>
        <w:rPr>
          <w:snapToGrid w:val="0"/>
        </w:rPr>
        <w:lastRenderedPageBreak/>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r>
        <w:rPr>
          <w:snapToGrid w:val="0"/>
        </w:rPr>
        <w:t>PART D — SOUND AND LIGHT SIGNALS</w:t>
      </w:r>
    </w:p>
    <w:p>
      <w:pPr>
        <w:pStyle w:val="yMiscellaneousHeading"/>
        <w:spacing w:before="240"/>
        <w:outlineLvl w:val="0"/>
        <w:rPr>
          <w:snapToGrid w:val="0"/>
        </w:rPr>
      </w:pPr>
      <w:r>
        <w:rPr>
          <w:snapToGrid w:val="0"/>
        </w:rPr>
        <w:t>RULE 32</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ind w:left="570" w:hanging="570"/>
        <w:rPr>
          <w:snapToGrid w:val="0"/>
        </w:rPr>
      </w:pPr>
      <w:r>
        <w:rPr>
          <w:snapToGrid w:val="0"/>
        </w:rPr>
        <w:t>(b)</w:t>
      </w:r>
      <w:r>
        <w:rPr>
          <w:snapToGrid w:val="0"/>
        </w:rPr>
        <w:tab/>
        <w:t>The term “short blast” means a blast of about one second’s duration.</w:t>
      </w:r>
    </w:p>
    <w:p>
      <w:pPr>
        <w:pStyle w:val="yMiscellaneousBody"/>
        <w:ind w:left="570" w:hanging="570"/>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r>
        <w:rPr>
          <w:snapToGrid w:val="0"/>
        </w:rPr>
        <w:t>RULE 33</w:t>
      </w:r>
    </w:p>
    <w:p>
      <w:pPr>
        <w:pStyle w:val="yMiscellaneousHeading"/>
        <w:rPr>
          <w:i/>
          <w:snapToGrid w:val="0"/>
        </w:rPr>
      </w:pPr>
      <w:r>
        <w:rPr>
          <w:i/>
          <w:snapToGrid w:val="0"/>
        </w:rPr>
        <w:t>Equipment for sound signals</w:t>
      </w:r>
    </w:p>
    <w:p>
      <w:pPr>
        <w:pStyle w:val="yMiscellaneousBody"/>
        <w:ind w:left="570" w:hanging="570"/>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ind w:left="570" w:hanging="570"/>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r>
        <w:rPr>
          <w:snapToGrid w:val="0"/>
        </w:rPr>
        <w:lastRenderedPageBreak/>
        <w:t>RULE 34</w:t>
      </w:r>
    </w:p>
    <w:p>
      <w:pPr>
        <w:pStyle w:val="yMiscellaneousHeading"/>
        <w:rPr>
          <w:i/>
          <w:snapToGrid w:val="0"/>
        </w:rPr>
      </w:pPr>
      <w:r>
        <w:rPr>
          <w:i/>
          <w:snapToGrid w:val="0"/>
        </w:rPr>
        <w:t>Manoeuvring and warning signals</w:t>
      </w:r>
    </w:p>
    <w:p>
      <w:pPr>
        <w:pStyle w:val="yMiscellaneousBody"/>
        <w:ind w:left="570" w:hanging="570"/>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tabs>
          <w:tab w:val="clear" w:pos="1332"/>
          <w:tab w:val="clear" w:pos="1616"/>
          <w:tab w:val="right" w:pos="1026"/>
        </w:tabs>
        <w:ind w:left="1311" w:hanging="1311"/>
        <w:rPr>
          <w:snapToGrid w:val="0"/>
        </w:rPr>
      </w:pPr>
      <w:r>
        <w:rPr>
          <w:snapToGrid w:val="0"/>
        </w:rPr>
        <w:tab/>
        <w:t>—</w:t>
      </w:r>
      <w:r>
        <w:rPr>
          <w:snapToGrid w:val="0"/>
        </w:rPr>
        <w:tab/>
        <w:t>one short blast to mean “I am altering my course to starboard”;</w:t>
      </w:r>
    </w:p>
    <w:p>
      <w:pPr>
        <w:pStyle w:val="yIndenta"/>
        <w:tabs>
          <w:tab w:val="clear" w:pos="1332"/>
          <w:tab w:val="clear" w:pos="1616"/>
          <w:tab w:val="right" w:pos="1026"/>
        </w:tabs>
        <w:ind w:left="1311" w:hanging="1311"/>
        <w:rPr>
          <w:snapToGrid w:val="0"/>
        </w:rPr>
      </w:pPr>
      <w:r>
        <w:rPr>
          <w:snapToGrid w:val="0"/>
        </w:rPr>
        <w:tab/>
        <w:t>—</w:t>
      </w:r>
      <w:r>
        <w:rPr>
          <w:snapToGrid w:val="0"/>
        </w:rPr>
        <w:tab/>
        <w:t>two short blasts to mean “I am altering my course to port”;</w:t>
      </w:r>
    </w:p>
    <w:p>
      <w:pPr>
        <w:pStyle w:val="yIndenta"/>
        <w:tabs>
          <w:tab w:val="clear" w:pos="1332"/>
          <w:tab w:val="clear" w:pos="1616"/>
          <w:tab w:val="right" w:pos="1026"/>
        </w:tabs>
        <w:ind w:left="1311" w:hanging="1311"/>
        <w:rPr>
          <w:snapToGrid w:val="0"/>
        </w:rPr>
      </w:pPr>
      <w:r>
        <w:rPr>
          <w:snapToGrid w:val="0"/>
        </w:rPr>
        <w:tab/>
        <w:t>—</w:t>
      </w:r>
      <w:r>
        <w:rPr>
          <w:snapToGrid w:val="0"/>
        </w:rPr>
        <w:tab/>
        <w:t>three short blasts to mean “I am operating astern propulsion”.</w:t>
      </w:r>
    </w:p>
    <w:p>
      <w:pPr>
        <w:pStyle w:val="yMiscellaneousBody"/>
        <w:ind w:left="570" w:hanging="570"/>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tabs>
          <w:tab w:val="clear" w:pos="1332"/>
          <w:tab w:val="clear" w:pos="1616"/>
          <w:tab w:val="right" w:pos="1026"/>
        </w:tabs>
        <w:ind w:left="1311" w:hanging="1311"/>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539"/>
          <w:tab w:val="left" w:pos="2268"/>
        </w:tabs>
        <w:ind w:left="1881" w:hanging="1326"/>
        <w:rPr>
          <w:snapToGrid w:val="0"/>
        </w:rPr>
      </w:pPr>
      <w:r>
        <w:rPr>
          <w:snapToGrid w:val="0"/>
        </w:rPr>
        <w:tab/>
        <w:t>—  one flash to mean “I am altering my course to starboard”;</w:t>
      </w:r>
    </w:p>
    <w:p>
      <w:pPr>
        <w:pStyle w:val="yIndenti0"/>
        <w:tabs>
          <w:tab w:val="clear" w:pos="2041"/>
          <w:tab w:val="clear" w:pos="2325"/>
          <w:tab w:val="left" w:pos="1539"/>
        </w:tabs>
        <w:ind w:left="1881" w:hanging="1326"/>
        <w:rPr>
          <w:snapToGrid w:val="0"/>
        </w:rPr>
      </w:pPr>
      <w:r>
        <w:rPr>
          <w:snapToGrid w:val="0"/>
        </w:rPr>
        <w:tab/>
        <w:t>—  two flashes to mean “I am altering my course to port”;</w:t>
      </w:r>
    </w:p>
    <w:p>
      <w:pPr>
        <w:pStyle w:val="yIndenti0"/>
        <w:tabs>
          <w:tab w:val="clear" w:pos="2041"/>
          <w:tab w:val="clear" w:pos="2325"/>
          <w:tab w:val="left" w:pos="1539"/>
        </w:tabs>
        <w:ind w:left="1881" w:hanging="1326"/>
        <w:rPr>
          <w:snapToGrid w:val="0"/>
        </w:rPr>
      </w:pPr>
      <w:r>
        <w:rPr>
          <w:snapToGrid w:val="0"/>
        </w:rPr>
        <w:tab/>
        <w:t>—  three flashes to mean “I am operating astern propulsion”;</w:t>
      </w:r>
    </w:p>
    <w:p>
      <w:pPr>
        <w:pStyle w:val="yIndenta"/>
        <w:tabs>
          <w:tab w:val="clear" w:pos="1332"/>
          <w:tab w:val="clear" w:pos="1616"/>
          <w:tab w:val="right" w:pos="1026"/>
        </w:tabs>
        <w:ind w:left="1311" w:hanging="1311"/>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tabs>
          <w:tab w:val="clear" w:pos="1332"/>
          <w:tab w:val="clear" w:pos="1616"/>
          <w:tab w:val="right" w:pos="1026"/>
        </w:tabs>
        <w:ind w:left="1311" w:hanging="1311"/>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keepNext/>
        <w:ind w:left="570" w:hanging="570"/>
        <w:rPr>
          <w:snapToGrid w:val="0"/>
        </w:rPr>
      </w:pPr>
      <w:r>
        <w:rPr>
          <w:snapToGrid w:val="0"/>
        </w:rPr>
        <w:t>(c)</w:t>
      </w:r>
      <w:r>
        <w:rPr>
          <w:snapToGrid w:val="0"/>
        </w:rPr>
        <w:tab/>
        <w:t>When in sight of one another in a narrow channel or fairway:</w:t>
      </w:r>
    </w:p>
    <w:p>
      <w:pPr>
        <w:pStyle w:val="yIndenta"/>
        <w:tabs>
          <w:tab w:val="clear" w:pos="1332"/>
          <w:tab w:val="clear" w:pos="1616"/>
          <w:tab w:val="right" w:pos="1026"/>
        </w:tabs>
        <w:ind w:left="1311" w:hanging="1311"/>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539"/>
          <w:tab w:val="left" w:pos="2268"/>
        </w:tabs>
        <w:ind w:left="2337" w:hanging="1782"/>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539"/>
          <w:tab w:val="left" w:pos="2268"/>
        </w:tabs>
        <w:ind w:left="2337" w:hanging="1782"/>
        <w:rPr>
          <w:snapToGrid w:val="0"/>
        </w:rPr>
      </w:pPr>
      <w:r>
        <w:rPr>
          <w:snapToGrid w:val="0"/>
        </w:rPr>
        <w:tab/>
        <w:t>—  two prolonged blasts followed by two short blasts to mean “I intend to overtake you on your port side”;</w:t>
      </w:r>
    </w:p>
    <w:p>
      <w:pPr>
        <w:pStyle w:val="yIndenta"/>
        <w:tabs>
          <w:tab w:val="clear" w:pos="1332"/>
          <w:tab w:val="clear" w:pos="1616"/>
          <w:tab w:val="right" w:pos="1026"/>
        </w:tabs>
        <w:ind w:left="1311" w:hanging="1311"/>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539"/>
          <w:tab w:val="left" w:pos="2268"/>
        </w:tabs>
        <w:ind w:left="2337" w:hanging="1782"/>
        <w:rPr>
          <w:snapToGrid w:val="0"/>
        </w:rPr>
      </w:pPr>
      <w:r>
        <w:rPr>
          <w:snapToGrid w:val="0"/>
        </w:rPr>
        <w:lastRenderedPageBreak/>
        <w:tab/>
        <w:t>—  one prolonged, one short, one prolonged and one short blast, in that order.</w:t>
      </w:r>
    </w:p>
    <w:p>
      <w:pPr>
        <w:pStyle w:val="yMiscellaneousBody"/>
        <w:keepNext/>
        <w:keepLines/>
        <w:ind w:left="570" w:hanging="570"/>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ind w:left="570" w:hanging="570"/>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ind w:left="570" w:hanging="570"/>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r>
        <w:rPr>
          <w:snapToGrid w:val="0"/>
        </w:rPr>
        <w:t>RULE 35</w:t>
      </w:r>
    </w:p>
    <w:p>
      <w:pPr>
        <w:pStyle w:val="yMiscellaneousHeading"/>
        <w:rPr>
          <w:i/>
          <w:snapToGrid w:val="0"/>
        </w:rPr>
      </w:pPr>
      <w:r>
        <w:rPr>
          <w:i/>
          <w:snapToGrid w:val="0"/>
        </w:rPr>
        <w:t>Sound signals in restricted visibility</w:t>
      </w:r>
    </w:p>
    <w:p>
      <w:pPr>
        <w:pStyle w:val="yMiscellaneousBody"/>
        <w:rPr>
          <w:snapToGrid w:val="0"/>
        </w:rPr>
      </w:pPr>
      <w:r>
        <w:rPr>
          <w:snapToGrid w:val="0"/>
        </w:rPr>
        <w:t>In or near an area of restricted visibility, whether by day or night, the signals prescribed in this Rule shall be used as follows:</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tabs>
          <w:tab w:val="clear" w:pos="1332"/>
          <w:tab w:val="clear" w:pos="1616"/>
          <w:tab w:val="right" w:pos="1026"/>
        </w:tabs>
        <w:ind w:left="1311" w:hanging="1311"/>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tabs>
          <w:tab w:val="clear" w:pos="1332"/>
          <w:tab w:val="clear" w:pos="1616"/>
          <w:tab w:val="right" w:pos="1026"/>
        </w:tabs>
        <w:ind w:left="1311" w:hanging="1311"/>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tabs>
          <w:tab w:val="clear" w:pos="1332"/>
          <w:tab w:val="clear" w:pos="1616"/>
          <w:tab w:val="right" w:pos="1026"/>
        </w:tabs>
        <w:ind w:left="1311" w:hanging="1311"/>
        <w:rPr>
          <w:snapToGrid w:val="0"/>
        </w:rPr>
      </w:pPr>
      <w:r>
        <w:rPr>
          <w:snapToGrid w:val="0"/>
        </w:rPr>
        <w:lastRenderedPageBreak/>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tabs>
          <w:tab w:val="clear" w:pos="1332"/>
          <w:tab w:val="clear" w:pos="1616"/>
          <w:tab w:val="right" w:pos="1026"/>
        </w:tabs>
        <w:ind w:left="1311" w:hanging="1311"/>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tabs>
          <w:tab w:val="clear" w:pos="1332"/>
          <w:tab w:val="clear" w:pos="1616"/>
          <w:tab w:val="right" w:pos="1026"/>
        </w:tabs>
        <w:ind w:left="1311" w:hanging="1311"/>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tabs>
          <w:tab w:val="clear" w:pos="1332"/>
          <w:tab w:val="clear" w:pos="1616"/>
          <w:tab w:val="right" w:pos="1026"/>
        </w:tabs>
        <w:ind w:left="1311" w:hanging="1311"/>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tabs>
          <w:tab w:val="clear" w:pos="1332"/>
          <w:tab w:val="clear" w:pos="1616"/>
          <w:tab w:val="right" w:pos="1026"/>
        </w:tabs>
        <w:ind w:left="1311" w:hanging="1311"/>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tabs>
          <w:tab w:val="clear" w:pos="1332"/>
          <w:tab w:val="clear" w:pos="1616"/>
          <w:tab w:val="right" w:pos="1026"/>
        </w:tabs>
        <w:ind w:left="1311" w:hanging="1311"/>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 xml:space="preserve">If necessary to attract the attention of another vessel any vessel may make light or sound signals that cannot be mistaken for any signal authorized elsewhere in </w:t>
      </w:r>
      <w:r>
        <w:rPr>
          <w:snapToGrid w:val="0"/>
        </w:rPr>
        <w:lastRenderedPageBreak/>
        <w:t>these Rules, or may direct the beam of her searchlight in the direction of the danger, in such a way as not to embarrass any vessel.</w:t>
      </w:r>
    </w:p>
    <w:p>
      <w:pPr>
        <w:pStyle w:val="yMiscellaneousHeading"/>
        <w:spacing w:before="240"/>
        <w:outlineLvl w:val="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r>
        <w:rPr>
          <w:snapToGrid w:val="0"/>
        </w:rPr>
        <w:t>PART E — EXEMPTIONS</w:t>
      </w:r>
    </w:p>
    <w:p>
      <w:pPr>
        <w:pStyle w:val="yMiscellaneousHeading"/>
        <w:spacing w:before="240"/>
        <w:outlineLvl w:val="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tabs>
          <w:tab w:val="clear" w:pos="1332"/>
          <w:tab w:val="clear" w:pos="1616"/>
          <w:tab w:val="right" w:pos="1026"/>
        </w:tabs>
        <w:ind w:left="1311" w:hanging="1311"/>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tabs>
          <w:tab w:val="clear" w:pos="2041"/>
          <w:tab w:val="clear" w:pos="2325"/>
          <w:tab w:val="right" w:pos="1710"/>
        </w:tabs>
        <w:ind w:left="1995" w:hanging="1995"/>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lastRenderedPageBreak/>
        <w:tab/>
        <w:t>(e)</w:t>
      </w:r>
      <w:r>
        <w:rPr>
          <w:snapToGrid w:val="0"/>
        </w:rPr>
        <w:tab/>
        <w:t>The repositioning of masthead lights resulting from the prescriptions of Section 2(b)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ind w:left="570" w:hanging="570"/>
        <w:rPr>
          <w:snapToGrid w:val="0"/>
        </w:rPr>
      </w:pPr>
      <w:r>
        <w:rPr>
          <w:snapToGrid w:val="0"/>
        </w:rPr>
        <w:t>1.</w:t>
      </w:r>
      <w:r>
        <w:rPr>
          <w:snapToGrid w:val="0"/>
        </w:rPr>
        <w:tab/>
      </w:r>
      <w:r>
        <w:rPr>
          <w:i/>
          <w:snapToGrid w:val="0"/>
        </w:rPr>
        <w:t>Definition</w:t>
      </w:r>
    </w:p>
    <w:p>
      <w:pPr>
        <w:pStyle w:val="yMiscellaneousBody"/>
        <w:ind w:left="570" w:hanging="570"/>
        <w:rPr>
          <w:snapToGrid w:val="0"/>
        </w:rPr>
      </w:pPr>
      <w:r>
        <w:rPr>
          <w:snapToGrid w:val="0"/>
        </w:rPr>
        <w:tab/>
        <w:t>The term “height above the hull” means height above the uppermost continuous deck.</w:t>
      </w:r>
    </w:p>
    <w:p>
      <w:pPr>
        <w:pStyle w:val="yMiscellaneousBody"/>
        <w:ind w:left="570" w:hanging="570"/>
        <w:rPr>
          <w:snapToGrid w:val="0"/>
        </w:rPr>
      </w:pPr>
      <w:r>
        <w:rPr>
          <w:snapToGrid w:val="0"/>
        </w:rPr>
        <w:t>2.</w:t>
      </w:r>
      <w:r>
        <w:rPr>
          <w:snapToGrid w:val="0"/>
        </w:rPr>
        <w:tab/>
      </w:r>
      <w:r>
        <w:rPr>
          <w:i/>
          <w:snapToGrid w:val="0"/>
        </w:rPr>
        <w:t>Vertical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tabs>
          <w:tab w:val="clear" w:pos="2041"/>
          <w:tab w:val="clear" w:pos="2325"/>
          <w:tab w:val="right" w:pos="1710"/>
        </w:tabs>
        <w:ind w:left="1995" w:hanging="1995"/>
        <w:rPr>
          <w:snapToGrid w:val="0"/>
        </w:rPr>
      </w:pPr>
      <w:r>
        <w:rPr>
          <w:snapToGrid w:val="0"/>
        </w:rPr>
        <w:tab/>
        <w:t>(ii)</w:t>
      </w:r>
      <w:r>
        <w:rPr>
          <w:snapToGrid w:val="0"/>
        </w:rPr>
        <w:tab/>
        <w:t>when two masthead lights are carried the after one shall be at least 4.5 metres vertically higher than the forward one.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tabs>
          <w:tab w:val="clear" w:pos="1332"/>
          <w:tab w:val="clear" w:pos="1616"/>
          <w:tab w:val="right" w:pos="1026"/>
        </w:tabs>
        <w:ind w:left="1311" w:hanging="1311"/>
        <w:rPr>
          <w:snapToGrid w:val="0"/>
        </w:rPr>
      </w:pPr>
      <w:r>
        <w:rPr>
          <w:snapToGrid w:val="0"/>
        </w:rPr>
        <w:lastRenderedPageBreak/>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tabs>
          <w:tab w:val="clear" w:pos="1332"/>
          <w:tab w:val="clear" w:pos="1616"/>
          <w:tab w:val="right" w:pos="1026"/>
        </w:tabs>
        <w:ind w:left="1311" w:hanging="1311"/>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tabs>
          <w:tab w:val="clear" w:pos="1332"/>
          <w:tab w:val="clear" w:pos="1616"/>
          <w:tab w:val="right" w:pos="1026"/>
        </w:tabs>
        <w:ind w:left="1311" w:hanging="1311"/>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tabs>
          <w:tab w:val="clear" w:pos="1332"/>
          <w:tab w:val="clear" w:pos="1616"/>
          <w:tab w:val="right" w:pos="1026"/>
        </w:tabs>
        <w:ind w:left="1311" w:hanging="1311"/>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tabs>
          <w:tab w:val="clear" w:pos="1332"/>
          <w:tab w:val="clear" w:pos="1616"/>
          <w:tab w:val="right" w:pos="1026"/>
        </w:tabs>
        <w:ind w:left="1311" w:hanging="1311"/>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tabs>
          <w:tab w:val="clear" w:pos="1332"/>
          <w:tab w:val="clear" w:pos="1616"/>
          <w:tab w:val="right" w:pos="1026"/>
        </w:tabs>
        <w:ind w:left="1311" w:hanging="1311"/>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tabs>
          <w:tab w:val="clear" w:pos="1332"/>
          <w:tab w:val="clear" w:pos="1616"/>
          <w:tab w:val="right" w:pos="1026"/>
        </w:tabs>
        <w:ind w:left="1311" w:hanging="1311"/>
        <w:rPr>
          <w:snapToGrid w:val="0"/>
        </w:rPr>
      </w:pPr>
      <w:r>
        <w:rPr>
          <w:snapToGrid w:val="0"/>
        </w:rPr>
        <w:tab/>
        <w:t>(i)</w:t>
      </w:r>
      <w:r>
        <w:rPr>
          <w:snapToGrid w:val="0"/>
        </w:rPr>
        <w:tab/>
        <w:t>When the Rules prescribe two or three lights to be carried in a vertical line, they shall be spaced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tabs>
          <w:tab w:val="clear" w:pos="2041"/>
          <w:tab w:val="clear" w:pos="2325"/>
          <w:tab w:val="right" w:pos="1710"/>
        </w:tabs>
        <w:ind w:left="1995" w:hanging="1995"/>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tabs>
          <w:tab w:val="clear" w:pos="2041"/>
          <w:tab w:val="clear" w:pos="2325"/>
          <w:tab w:val="right" w:pos="1710"/>
        </w:tabs>
        <w:ind w:left="1995" w:hanging="1995"/>
        <w:rPr>
          <w:snapToGrid w:val="0"/>
        </w:rPr>
      </w:pPr>
      <w:r>
        <w:rPr>
          <w:snapToGrid w:val="0"/>
        </w:rPr>
        <w:tab/>
        <w:t>(iii)</w:t>
      </w:r>
      <w:r>
        <w:rPr>
          <w:snapToGrid w:val="0"/>
        </w:rPr>
        <w:tab/>
        <w:t>when three lights are carried they shall be equally spaced.</w:t>
      </w:r>
    </w:p>
    <w:p>
      <w:pPr>
        <w:pStyle w:val="yIndenta"/>
        <w:tabs>
          <w:tab w:val="clear" w:pos="1332"/>
          <w:tab w:val="clear" w:pos="1616"/>
          <w:tab w:val="right" w:pos="1026"/>
        </w:tabs>
        <w:ind w:left="1311" w:hanging="1311"/>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tabs>
          <w:tab w:val="clear" w:pos="1332"/>
          <w:tab w:val="clear" w:pos="1616"/>
          <w:tab w:val="right" w:pos="1026"/>
        </w:tabs>
        <w:ind w:left="1311" w:hanging="1311"/>
        <w:rPr>
          <w:snapToGrid w:val="0"/>
        </w:rPr>
      </w:pPr>
      <w:r>
        <w:rPr>
          <w:snapToGrid w:val="0"/>
        </w:rPr>
        <w:lastRenderedPageBreak/>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ind w:left="570" w:hanging="570"/>
        <w:rPr>
          <w:snapToGrid w:val="0"/>
        </w:rPr>
      </w:pPr>
      <w:r>
        <w:rPr>
          <w:snapToGrid w:val="0"/>
        </w:rPr>
        <w:t>3.</w:t>
      </w:r>
      <w:r>
        <w:rPr>
          <w:snapToGrid w:val="0"/>
        </w:rPr>
        <w:tab/>
      </w:r>
      <w:r>
        <w:rPr>
          <w:i/>
          <w:snapToGrid w:val="0"/>
        </w:rPr>
        <w:t>Horizontal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tabs>
          <w:tab w:val="clear" w:pos="1332"/>
          <w:tab w:val="clear" w:pos="1616"/>
          <w:tab w:val="right" w:pos="1026"/>
        </w:tabs>
        <w:ind w:left="1311" w:hanging="1311"/>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ind w:left="570" w:hanging="570"/>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tabs>
          <w:tab w:val="clear" w:pos="1332"/>
          <w:tab w:val="clear" w:pos="1616"/>
          <w:tab w:val="right" w:pos="1026"/>
        </w:tabs>
        <w:ind w:left="1311" w:hanging="1311"/>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tabs>
          <w:tab w:val="clear" w:pos="1332"/>
          <w:tab w:val="clear" w:pos="1616"/>
          <w:tab w:val="right" w:pos="1026"/>
        </w:tabs>
        <w:ind w:left="1311" w:hanging="1311"/>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spacing w:before="140"/>
        <w:ind w:left="570" w:hanging="570"/>
        <w:rPr>
          <w:snapToGrid w:val="0"/>
        </w:rPr>
      </w:pPr>
      <w:r>
        <w:rPr>
          <w:snapToGrid w:val="0"/>
        </w:rPr>
        <w:t>5.</w:t>
      </w:r>
      <w:r>
        <w:rPr>
          <w:snapToGrid w:val="0"/>
        </w:rPr>
        <w:tab/>
      </w:r>
      <w:r>
        <w:rPr>
          <w:i/>
          <w:snapToGrid w:val="0"/>
        </w:rPr>
        <w:t>Screens for sidelights</w:t>
      </w:r>
    </w:p>
    <w:p>
      <w:pPr>
        <w:pStyle w:val="yMiscellaneousBody"/>
        <w:spacing w:before="140"/>
        <w:ind w:left="570" w:hanging="570"/>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spacing w:before="140"/>
        <w:ind w:left="570" w:hanging="570"/>
        <w:rPr>
          <w:i/>
          <w:snapToGrid w:val="0"/>
        </w:rPr>
      </w:pPr>
      <w:r>
        <w:rPr>
          <w:snapToGrid w:val="0"/>
        </w:rPr>
        <w:t>6.</w:t>
      </w:r>
      <w:r>
        <w:rPr>
          <w:snapToGrid w:val="0"/>
        </w:rPr>
        <w:tab/>
      </w:r>
      <w:r>
        <w:rPr>
          <w:i/>
          <w:snapToGrid w:val="0"/>
        </w:rPr>
        <w:t>Shapes</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Shapes shall be black and of the following sizes:</w:t>
      </w:r>
    </w:p>
    <w:p>
      <w:pPr>
        <w:pStyle w:val="yIndenti0"/>
        <w:tabs>
          <w:tab w:val="clear" w:pos="2041"/>
          <w:tab w:val="clear" w:pos="2325"/>
          <w:tab w:val="right" w:pos="1710"/>
        </w:tabs>
        <w:ind w:left="1995" w:hanging="1995"/>
        <w:rPr>
          <w:snapToGrid w:val="0"/>
        </w:rPr>
      </w:pPr>
      <w:r>
        <w:rPr>
          <w:snapToGrid w:val="0"/>
        </w:rPr>
        <w:tab/>
        <w:t>(i)</w:t>
      </w:r>
      <w:r>
        <w:rPr>
          <w:snapToGrid w:val="0"/>
        </w:rPr>
        <w:tab/>
        <w:t>a ball shall have a diameter of not less than 0.6 metre;</w:t>
      </w:r>
    </w:p>
    <w:p>
      <w:pPr>
        <w:pStyle w:val="yIndenti0"/>
        <w:tabs>
          <w:tab w:val="clear" w:pos="2041"/>
          <w:tab w:val="clear" w:pos="2325"/>
          <w:tab w:val="right" w:pos="1710"/>
        </w:tabs>
        <w:ind w:left="1995" w:hanging="1995"/>
        <w:rPr>
          <w:snapToGrid w:val="0"/>
        </w:rPr>
      </w:pPr>
      <w:r>
        <w:rPr>
          <w:snapToGrid w:val="0"/>
        </w:rPr>
        <w:tab/>
        <w:t>(ii)</w:t>
      </w:r>
      <w:r>
        <w:rPr>
          <w:snapToGrid w:val="0"/>
        </w:rPr>
        <w:tab/>
        <w:t>a cone shall have a base diameter of not less than 0.6 metre and a height equal to its diameter;</w:t>
      </w:r>
    </w:p>
    <w:p>
      <w:pPr>
        <w:pStyle w:val="yIndenti0"/>
        <w:tabs>
          <w:tab w:val="clear" w:pos="2041"/>
          <w:tab w:val="clear" w:pos="2325"/>
          <w:tab w:val="right" w:pos="1710"/>
        </w:tabs>
        <w:ind w:left="1995" w:hanging="1995"/>
        <w:rPr>
          <w:snapToGrid w:val="0"/>
        </w:rPr>
      </w:pPr>
      <w:r>
        <w:rPr>
          <w:snapToGrid w:val="0"/>
        </w:rPr>
        <w:tab/>
        <w:t>(iii)</w:t>
      </w:r>
      <w:r>
        <w:rPr>
          <w:snapToGrid w:val="0"/>
        </w:rPr>
        <w:tab/>
        <w:t>a cylinder shall have a diameter of at least 0.6 metre and a height of twice its diameter;</w:t>
      </w:r>
    </w:p>
    <w:p>
      <w:pPr>
        <w:pStyle w:val="yIndenti0"/>
        <w:tabs>
          <w:tab w:val="clear" w:pos="2041"/>
          <w:tab w:val="clear" w:pos="2325"/>
          <w:tab w:val="right" w:pos="1710"/>
        </w:tabs>
        <w:ind w:left="1995" w:hanging="1995"/>
        <w:rPr>
          <w:snapToGrid w:val="0"/>
        </w:rPr>
      </w:pPr>
      <w:r>
        <w:rPr>
          <w:snapToGrid w:val="0"/>
        </w:rPr>
        <w:tab/>
        <w:t>(iv)</w:t>
      </w:r>
      <w:r>
        <w:rPr>
          <w:snapToGrid w:val="0"/>
        </w:rPr>
        <w:tab/>
        <w:t>a diamond shape shall consist of two cones as defined in (ii) above having a common base.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distance between shapes shall be at least 1.5 metres.</w:t>
      </w:r>
    </w:p>
    <w:p>
      <w:pPr>
        <w:pStyle w:val="yIndenta"/>
        <w:tabs>
          <w:tab w:val="clear" w:pos="1332"/>
          <w:tab w:val="clear" w:pos="1616"/>
          <w:tab w:val="right" w:pos="1026"/>
        </w:tabs>
        <w:ind w:left="1311" w:hanging="1311"/>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spacing w:before="140"/>
        <w:ind w:left="570" w:hanging="570"/>
        <w:rPr>
          <w:snapToGrid w:val="0"/>
        </w:rPr>
      </w:pPr>
      <w:r>
        <w:rPr>
          <w:snapToGrid w:val="0"/>
        </w:rPr>
        <w:t>7.</w:t>
      </w:r>
      <w:r>
        <w:rPr>
          <w:snapToGrid w:val="0"/>
        </w:rPr>
        <w:tab/>
      </w:r>
      <w:r>
        <w:rPr>
          <w:i/>
          <w:snapToGrid w:val="0"/>
        </w:rPr>
        <w:t>Colour specifications of lights</w:t>
      </w:r>
    </w:p>
    <w:p>
      <w:pPr>
        <w:pStyle w:val="yMiscellaneousBody"/>
        <w:spacing w:before="140"/>
        <w:ind w:left="570" w:hanging="570"/>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spacing w:before="140"/>
        <w:ind w:left="570" w:hanging="570"/>
        <w:rPr>
          <w:snapToGrid w:val="0"/>
        </w:rPr>
      </w:pPr>
      <w:r>
        <w:rPr>
          <w:snapToGrid w:val="0"/>
        </w:rPr>
        <w:tab/>
        <w:t>The boundaries of the area for each colour are given by indicating the corner co</w:t>
      </w:r>
      <w:r>
        <w:rPr>
          <w:snapToGrid w:val="0"/>
        </w:rPr>
        <w:noBreakHyphen/>
        <w:t>ordinates, which are as follows:</w:t>
      </w:r>
    </w:p>
    <w:p>
      <w:pPr>
        <w:pStyle w:val="yIndenta"/>
        <w:tabs>
          <w:tab w:val="clear" w:pos="1332"/>
          <w:tab w:val="clear" w:pos="1616"/>
          <w:tab w:val="right" w:pos="1026"/>
        </w:tabs>
        <w:ind w:left="1311" w:hanging="1311"/>
        <w:rPr>
          <w:snapToGrid w:val="0"/>
        </w:rPr>
      </w:pPr>
      <w:r>
        <w:rPr>
          <w:snapToGrid w:val="0"/>
        </w:rPr>
        <w:tab/>
        <w:t>(i)</w:t>
      </w:r>
      <w:r>
        <w:rPr>
          <w:snapToGrid w:val="0"/>
        </w:rPr>
        <w:tab/>
      </w:r>
      <w:r>
        <w:rPr>
          <w:i/>
          <w:snapToGrid w:val="0"/>
        </w:rPr>
        <w:t>White</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tabs>
          <w:tab w:val="clear" w:pos="1332"/>
          <w:tab w:val="clear" w:pos="1616"/>
          <w:tab w:val="right" w:pos="1026"/>
        </w:tabs>
        <w:ind w:left="1311" w:hanging="1311"/>
        <w:rPr>
          <w:snapToGrid w:val="0"/>
        </w:rPr>
      </w:pPr>
      <w:r>
        <w:rPr>
          <w:snapToGrid w:val="0"/>
        </w:rPr>
        <w:tab/>
        <w:t>(ii)</w:t>
      </w:r>
      <w:r>
        <w:rPr>
          <w:snapToGrid w:val="0"/>
        </w:rPr>
        <w:tab/>
      </w:r>
      <w:r>
        <w:rPr>
          <w:i/>
          <w:snapToGrid w:val="0"/>
        </w:rPr>
        <w:t>Green</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tabs>
          <w:tab w:val="clear" w:pos="1332"/>
          <w:tab w:val="clear" w:pos="1616"/>
          <w:tab w:val="right" w:pos="1026"/>
        </w:tabs>
        <w:ind w:left="1311" w:hanging="1311"/>
        <w:rPr>
          <w:snapToGrid w:val="0"/>
        </w:rPr>
      </w:pPr>
      <w:r>
        <w:rPr>
          <w:snapToGrid w:val="0"/>
        </w:rPr>
        <w:tab/>
        <w:t>(iii)</w:t>
      </w:r>
      <w:r>
        <w:rPr>
          <w:snapToGrid w:val="0"/>
        </w:rPr>
        <w:tab/>
      </w:r>
      <w:r>
        <w:rPr>
          <w:i/>
          <w:snapToGrid w:val="0"/>
        </w:rPr>
        <w:t>Red</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tabs>
          <w:tab w:val="clear" w:pos="1332"/>
          <w:tab w:val="clear" w:pos="1616"/>
          <w:tab w:val="right" w:pos="1026"/>
        </w:tabs>
        <w:ind w:left="1311" w:hanging="1311"/>
        <w:rPr>
          <w:snapToGrid w:val="0"/>
        </w:rPr>
      </w:pPr>
      <w:r>
        <w:rPr>
          <w:snapToGrid w:val="0"/>
        </w:rPr>
        <w:tab/>
        <w:t>(iv)</w:t>
      </w:r>
      <w:r>
        <w:rPr>
          <w:snapToGrid w:val="0"/>
        </w:rPr>
        <w:tab/>
      </w:r>
      <w:r>
        <w:rPr>
          <w:i/>
          <w:snapToGrid w:val="0"/>
        </w:rPr>
        <w:t>Yellow</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keepNext/>
        <w:ind w:left="570" w:hanging="570"/>
        <w:rPr>
          <w:snapToGrid w:val="0"/>
        </w:rPr>
      </w:pPr>
      <w:r>
        <w:rPr>
          <w:snapToGrid w:val="0"/>
        </w:rPr>
        <w:lastRenderedPageBreak/>
        <w:t>8.</w:t>
      </w:r>
      <w:r>
        <w:rPr>
          <w:snapToGrid w:val="0"/>
        </w:rPr>
        <w:tab/>
      </w:r>
      <w:r>
        <w:rPr>
          <w:i/>
          <w:snapToGrid w:val="0"/>
        </w:rPr>
        <w:t>Intensity of lights</w:t>
      </w:r>
    </w:p>
    <w:p>
      <w:pPr>
        <w:pStyle w:val="yIndenta"/>
        <w:tabs>
          <w:tab w:val="clear" w:pos="1332"/>
          <w:tab w:val="clear" w:pos="1616"/>
          <w:tab w:val="right" w:pos="1026"/>
        </w:tabs>
        <w:ind w:left="1311" w:hanging="1311"/>
        <w:rPr>
          <w:snapToGrid w:val="0"/>
        </w:rPr>
      </w:pPr>
      <w:r>
        <w:rPr>
          <w:snapToGrid w:val="0"/>
        </w:rPr>
        <w:tab/>
        <w:t>(a)</w:t>
      </w:r>
      <w:r>
        <w:rPr>
          <w:snapToGrid w:val="0"/>
        </w:rPr>
        <w:tab/>
        <w:t>The minimum luminous intensity of lights shall be calculated by using the formula:</w:t>
      </w:r>
    </w:p>
    <w:p>
      <w:pPr>
        <w:pStyle w:val="yIndenti0"/>
        <w:tabs>
          <w:tab w:val="clear" w:pos="2041"/>
          <w:tab w:val="clear" w:pos="2325"/>
          <w:tab w:val="right" w:pos="1767"/>
        </w:tabs>
        <w:ind w:left="1710" w:hanging="171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332"/>
          <w:tab w:val="clear" w:pos="1616"/>
          <w:tab w:val="right" w:pos="1026"/>
        </w:tabs>
        <w:ind w:left="1311" w:hanging="1311"/>
        <w:rPr>
          <w:snapToGrid w:val="0"/>
        </w:rPr>
      </w:pPr>
      <w:r>
        <w:rPr>
          <w:snapToGrid w:val="0"/>
        </w:rPr>
        <w:tab/>
      </w:r>
      <w:r>
        <w:rPr>
          <w:snapToGrid w:val="0"/>
        </w:rPr>
        <w:tab/>
        <w:t>where I is luminous intensity in candelas under service</w:t>
      </w:r>
    </w:p>
    <w:p>
      <w:pPr>
        <w:pStyle w:val="yIndenti0"/>
        <w:tabs>
          <w:tab w:val="clear" w:pos="2041"/>
          <w:tab w:val="clear" w:pos="2325"/>
          <w:tab w:val="right" w:pos="1596"/>
        </w:tabs>
        <w:ind w:left="1710" w:hanging="1710"/>
        <w:rPr>
          <w:snapToGrid w:val="0"/>
        </w:rPr>
      </w:pPr>
      <w:r>
        <w:rPr>
          <w:snapToGrid w:val="0"/>
        </w:rPr>
        <w:tab/>
      </w:r>
      <w:r>
        <w:rPr>
          <w:snapToGrid w:val="0"/>
        </w:rPr>
        <w:tab/>
        <w:t>conditions,</w:t>
      </w:r>
    </w:p>
    <w:p>
      <w:pPr>
        <w:pStyle w:val="yIndenti0"/>
        <w:tabs>
          <w:tab w:val="clear" w:pos="2041"/>
          <w:tab w:val="clear" w:pos="2325"/>
          <w:tab w:val="right" w:pos="1596"/>
        </w:tabs>
        <w:ind w:left="1710" w:hanging="171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tabs>
          <w:tab w:val="clear" w:pos="2041"/>
          <w:tab w:val="clear" w:pos="2325"/>
          <w:tab w:val="right" w:pos="1596"/>
        </w:tabs>
        <w:ind w:left="1710" w:hanging="1710"/>
        <w:rPr>
          <w:snapToGrid w:val="0"/>
        </w:rPr>
      </w:pPr>
      <w:r>
        <w:rPr>
          <w:snapToGrid w:val="0"/>
        </w:rPr>
        <w:tab/>
      </w:r>
      <w:r>
        <w:rPr>
          <w:snapToGrid w:val="0"/>
        </w:rPr>
        <w:tab/>
        <w:t>D is range of visibility (luminous range) of the light in nautical miles,</w:t>
      </w:r>
    </w:p>
    <w:p>
      <w:pPr>
        <w:pStyle w:val="yIndenti0"/>
        <w:tabs>
          <w:tab w:val="clear" w:pos="2041"/>
          <w:tab w:val="clear" w:pos="2325"/>
          <w:tab w:val="right" w:pos="1596"/>
        </w:tabs>
        <w:ind w:left="1710" w:hanging="1710"/>
        <w:rPr>
          <w:snapToGrid w:val="0"/>
        </w:rPr>
      </w:pPr>
      <w:r>
        <w:rPr>
          <w:snapToGrid w:val="0"/>
        </w:rPr>
        <w:tab/>
      </w:r>
      <w:r>
        <w:rPr>
          <w:snapToGrid w:val="0"/>
        </w:rPr>
        <w:tab/>
        <w:t>K is atmospheric transmissivity.</w:t>
      </w:r>
    </w:p>
    <w:p>
      <w:pPr>
        <w:pStyle w:val="yIndenta"/>
        <w:tabs>
          <w:tab w:val="clear" w:pos="1616"/>
          <w:tab w:val="left" w:pos="2166"/>
        </w:tabs>
        <w:ind w:left="2166" w:hanging="2166"/>
        <w:rPr>
          <w:snapToGrid w:val="0"/>
        </w:rPr>
      </w:pPr>
      <w:r>
        <w:rPr>
          <w:snapToGrid w:val="0"/>
        </w:rPr>
        <w:tab/>
      </w:r>
      <w:r>
        <w:rPr>
          <w:snapToGrid w:val="0"/>
        </w:rPr>
        <w:tab/>
        <w:t>For prescribed lights the value of K shall be 0.8, corresponding to a meteorological visibility of approximately 13 nautical miles.</w:t>
      </w:r>
    </w:p>
    <w:p>
      <w:pPr>
        <w:pStyle w:val="yIndenta"/>
        <w:tabs>
          <w:tab w:val="clear" w:pos="1332"/>
          <w:tab w:val="clear" w:pos="1616"/>
          <w:tab w:val="right" w:pos="1026"/>
        </w:tabs>
        <w:ind w:left="1311" w:hanging="1311"/>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NAm"/>
              <w:jc w:val="center"/>
            </w:pPr>
            <w:r>
              <w:t>Range of visibility (luminous range) of light in nautical miles</w:t>
            </w:r>
          </w:p>
        </w:tc>
        <w:tc>
          <w:tcPr>
            <w:tcW w:w="3260" w:type="dxa"/>
            <w:tcBorders>
              <w:bottom w:val="nil"/>
            </w:tcBorders>
          </w:tcPr>
          <w:p>
            <w:pPr>
              <w:pStyle w:val="yTableNAm"/>
              <w:jc w:val="center"/>
            </w:pPr>
            <w:r>
              <w:t>Luminous intensity of light in candelas for K = 0.8</w:t>
            </w:r>
          </w:p>
        </w:tc>
      </w:tr>
      <w:tr>
        <w:tc>
          <w:tcPr>
            <w:tcW w:w="3118" w:type="dxa"/>
            <w:tcBorders>
              <w:top w:val="nil"/>
              <w:bottom w:val="single" w:sz="4" w:space="0" w:color="auto"/>
            </w:tcBorders>
          </w:tcPr>
          <w:p>
            <w:pPr>
              <w:pStyle w:val="yTableNAm"/>
              <w:jc w:val="center"/>
            </w:pPr>
            <w:r>
              <w:t>D</w:t>
            </w:r>
          </w:p>
        </w:tc>
        <w:tc>
          <w:tcPr>
            <w:tcW w:w="3260" w:type="dxa"/>
            <w:tcBorders>
              <w:top w:val="nil"/>
              <w:bottom w:val="single" w:sz="4" w:space="0" w:color="auto"/>
            </w:tcBorders>
          </w:tcPr>
          <w:p>
            <w:pPr>
              <w:pStyle w:val="yTableNAm"/>
              <w:jc w:val="center"/>
            </w:pPr>
            <w:r>
              <w:t>I</w:t>
            </w:r>
          </w:p>
        </w:tc>
      </w:tr>
      <w:tr>
        <w:tc>
          <w:tcPr>
            <w:tcW w:w="3118" w:type="dxa"/>
            <w:tcBorders>
              <w:top w:val="nil"/>
            </w:tcBorders>
          </w:tcPr>
          <w:p>
            <w:pPr>
              <w:pStyle w:val="yTableNAm"/>
              <w:jc w:val="center"/>
            </w:pPr>
            <w:r>
              <w:t>1</w:t>
            </w:r>
          </w:p>
        </w:tc>
        <w:tc>
          <w:tcPr>
            <w:tcW w:w="3260" w:type="dxa"/>
            <w:tcBorders>
              <w:top w:val="nil"/>
            </w:tcBorders>
          </w:tcPr>
          <w:p>
            <w:pPr>
              <w:pStyle w:val="yTableNAm"/>
              <w:jc w:val="center"/>
            </w:pPr>
            <w:r>
              <w:t>0.9</w:t>
            </w:r>
          </w:p>
        </w:tc>
      </w:tr>
      <w:tr>
        <w:tc>
          <w:tcPr>
            <w:tcW w:w="3118" w:type="dxa"/>
          </w:tcPr>
          <w:p>
            <w:pPr>
              <w:pStyle w:val="yTableNAm"/>
              <w:jc w:val="center"/>
            </w:pPr>
            <w:r>
              <w:t>2</w:t>
            </w:r>
          </w:p>
        </w:tc>
        <w:tc>
          <w:tcPr>
            <w:tcW w:w="3260" w:type="dxa"/>
          </w:tcPr>
          <w:p>
            <w:pPr>
              <w:pStyle w:val="yTableNAm"/>
              <w:jc w:val="center"/>
            </w:pPr>
            <w:r>
              <w:t>4.3</w:t>
            </w:r>
          </w:p>
        </w:tc>
      </w:tr>
      <w:tr>
        <w:tc>
          <w:tcPr>
            <w:tcW w:w="3118" w:type="dxa"/>
          </w:tcPr>
          <w:p>
            <w:pPr>
              <w:pStyle w:val="yTableNAm"/>
              <w:jc w:val="center"/>
            </w:pPr>
            <w:r>
              <w:t>3</w:t>
            </w:r>
          </w:p>
        </w:tc>
        <w:tc>
          <w:tcPr>
            <w:tcW w:w="3260" w:type="dxa"/>
          </w:tcPr>
          <w:p>
            <w:pPr>
              <w:pStyle w:val="yTableNAm"/>
              <w:jc w:val="center"/>
            </w:pPr>
            <w:r>
              <w:t>12</w:t>
            </w:r>
          </w:p>
        </w:tc>
      </w:tr>
      <w:tr>
        <w:tc>
          <w:tcPr>
            <w:tcW w:w="3118" w:type="dxa"/>
          </w:tcPr>
          <w:p>
            <w:pPr>
              <w:pStyle w:val="yTableNAm"/>
              <w:jc w:val="center"/>
            </w:pPr>
            <w:r>
              <w:t>4</w:t>
            </w:r>
          </w:p>
        </w:tc>
        <w:tc>
          <w:tcPr>
            <w:tcW w:w="3260" w:type="dxa"/>
          </w:tcPr>
          <w:p>
            <w:pPr>
              <w:pStyle w:val="yTableNAm"/>
              <w:jc w:val="center"/>
            </w:pPr>
            <w:r>
              <w:t>27</w:t>
            </w:r>
          </w:p>
        </w:tc>
      </w:tr>
      <w:tr>
        <w:tc>
          <w:tcPr>
            <w:tcW w:w="3118" w:type="dxa"/>
          </w:tcPr>
          <w:p>
            <w:pPr>
              <w:pStyle w:val="yTableNAm"/>
              <w:jc w:val="center"/>
            </w:pPr>
            <w:r>
              <w:t>5</w:t>
            </w:r>
          </w:p>
        </w:tc>
        <w:tc>
          <w:tcPr>
            <w:tcW w:w="3260" w:type="dxa"/>
          </w:tcPr>
          <w:p>
            <w:pPr>
              <w:pStyle w:val="yTableNAm"/>
              <w:jc w:val="center"/>
            </w:pPr>
            <w:r>
              <w:t>52</w:t>
            </w:r>
          </w:p>
        </w:tc>
      </w:tr>
      <w:tr>
        <w:tc>
          <w:tcPr>
            <w:tcW w:w="3118" w:type="dxa"/>
          </w:tcPr>
          <w:p>
            <w:pPr>
              <w:pStyle w:val="yTableNAm"/>
              <w:jc w:val="center"/>
            </w:pPr>
            <w:r>
              <w:t>6</w:t>
            </w:r>
          </w:p>
        </w:tc>
        <w:tc>
          <w:tcPr>
            <w:tcW w:w="3260" w:type="dxa"/>
          </w:tcPr>
          <w:p>
            <w:pPr>
              <w:pStyle w:val="yTableNAm"/>
              <w:jc w:val="center"/>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ind w:left="570" w:hanging="570"/>
        <w:rPr>
          <w:snapToGrid w:val="0"/>
        </w:rPr>
      </w:pPr>
      <w:r>
        <w:rPr>
          <w:snapToGrid w:val="0"/>
        </w:rPr>
        <w:t>9.</w:t>
      </w:r>
      <w:r>
        <w:rPr>
          <w:snapToGrid w:val="0"/>
        </w:rPr>
        <w:tab/>
      </w:r>
      <w:r>
        <w:rPr>
          <w:i/>
          <w:snapToGrid w:val="0"/>
        </w:rPr>
        <w:t>Horizontal Sectors</w:t>
      </w:r>
    </w:p>
    <w:p>
      <w:pPr>
        <w:pStyle w:val="yIndenti0"/>
        <w:tabs>
          <w:tab w:val="clear" w:pos="2041"/>
          <w:tab w:val="clear" w:pos="2325"/>
          <w:tab w:val="right" w:pos="1026"/>
          <w:tab w:val="right" w:pos="1710"/>
        </w:tabs>
        <w:ind w:left="1995" w:hanging="1995"/>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tabs>
          <w:tab w:val="clear" w:pos="2041"/>
          <w:tab w:val="clear" w:pos="2325"/>
          <w:tab w:val="right" w:pos="1710"/>
        </w:tabs>
        <w:ind w:left="1995" w:hanging="1995"/>
        <w:rPr>
          <w:snapToGrid w:val="0"/>
        </w:rPr>
      </w:pPr>
      <w:r>
        <w:rPr>
          <w:snapToGrid w:val="0"/>
        </w:rPr>
        <w:lastRenderedPageBreak/>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tabs>
          <w:tab w:val="clear" w:pos="1332"/>
          <w:tab w:val="clear" w:pos="1616"/>
          <w:tab w:val="right" w:pos="1026"/>
        </w:tabs>
        <w:ind w:left="1311" w:hanging="1311"/>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ind w:left="570" w:hanging="570"/>
        <w:rPr>
          <w:snapToGrid w:val="0"/>
        </w:rPr>
      </w:pPr>
      <w:r>
        <w:rPr>
          <w:snapToGrid w:val="0"/>
        </w:rPr>
        <w:t>10.</w:t>
      </w:r>
      <w:r>
        <w:rPr>
          <w:snapToGrid w:val="0"/>
        </w:rPr>
        <w:tab/>
      </w:r>
      <w:r>
        <w:rPr>
          <w:i/>
          <w:snapToGrid w:val="0"/>
        </w:rPr>
        <w:t>Vertical Sectors</w:t>
      </w:r>
    </w:p>
    <w:p>
      <w:pPr>
        <w:pStyle w:val="yIndenta"/>
        <w:tabs>
          <w:tab w:val="clear" w:pos="1332"/>
          <w:tab w:val="clear" w:pos="1616"/>
          <w:tab w:val="right" w:pos="1026"/>
        </w:tabs>
        <w:ind w:left="1311" w:hanging="1311"/>
        <w:rPr>
          <w:snapToGrid w:val="0"/>
        </w:rPr>
      </w:pPr>
      <w:r>
        <w:rPr>
          <w:snapToGrid w:val="0"/>
        </w:rPr>
        <w:tab/>
        <w:t>(a)</w:t>
      </w:r>
      <w:r>
        <w:rPr>
          <w:snapToGrid w:val="0"/>
        </w:rPr>
        <w:tab/>
        <w:t>The vertical sectors of electric lights, with the exception of lights on sailing vessels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tabs>
          <w:tab w:val="clear" w:pos="1332"/>
          <w:tab w:val="clear" w:pos="1616"/>
          <w:tab w:val="right" w:pos="1026"/>
        </w:tabs>
        <w:ind w:left="1311" w:hanging="1311"/>
        <w:rPr>
          <w:snapToGrid w:val="0"/>
        </w:rPr>
      </w:pPr>
      <w:r>
        <w:rPr>
          <w:snapToGrid w:val="0"/>
        </w:rPr>
        <w:tab/>
        <w:t>(b)</w:t>
      </w:r>
      <w:r>
        <w:rPr>
          <w:snapToGrid w:val="0"/>
        </w:rPr>
        <w:tab/>
        <w:t>In the case of sailing vessels the vertical sectors of electric lights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tabs>
          <w:tab w:val="clear" w:pos="1332"/>
          <w:tab w:val="clear" w:pos="1616"/>
          <w:tab w:val="right" w:pos="1026"/>
        </w:tabs>
        <w:ind w:left="1311" w:hanging="1311"/>
        <w:rPr>
          <w:snapToGrid w:val="0"/>
        </w:rPr>
      </w:pPr>
      <w:r>
        <w:rPr>
          <w:snapToGrid w:val="0"/>
        </w:rPr>
        <w:tab/>
        <w:t>(c)</w:t>
      </w:r>
      <w:r>
        <w:rPr>
          <w:snapToGrid w:val="0"/>
        </w:rPr>
        <w:tab/>
        <w:t>In the case of lights other than electric these specifications shall be met as closely as possible.</w:t>
      </w:r>
    </w:p>
    <w:p>
      <w:pPr>
        <w:pStyle w:val="yMiscellaneousBody"/>
        <w:ind w:left="570" w:hanging="570"/>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ind w:left="570" w:hanging="570"/>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ind w:left="570" w:hanging="570"/>
        <w:rPr>
          <w:snapToGrid w:val="0"/>
        </w:rPr>
      </w:pPr>
      <w:r>
        <w:rPr>
          <w:snapToGrid w:val="0"/>
        </w:rPr>
        <w:lastRenderedPageBreak/>
        <w:t>12.</w:t>
      </w:r>
      <w:r>
        <w:rPr>
          <w:snapToGrid w:val="0"/>
        </w:rPr>
        <w:tab/>
      </w:r>
      <w:r>
        <w:rPr>
          <w:i/>
          <w:snapToGrid w:val="0"/>
        </w:rPr>
        <w:t>Manoeuvring light</w:t>
      </w:r>
    </w:p>
    <w:p>
      <w:pPr>
        <w:pStyle w:val="yMiscellaneousBody"/>
        <w:ind w:left="570" w:hanging="570"/>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ind w:left="570" w:hanging="570"/>
        <w:rPr>
          <w:i/>
          <w:snapToGrid w:val="0"/>
        </w:rPr>
      </w:pPr>
      <w:r>
        <w:rPr>
          <w:snapToGrid w:val="0"/>
        </w:rPr>
        <w:t>13.</w:t>
      </w:r>
      <w:r>
        <w:rPr>
          <w:snapToGrid w:val="0"/>
        </w:rPr>
        <w:tab/>
      </w:r>
      <w:r>
        <w:rPr>
          <w:i/>
          <w:snapToGrid w:val="0"/>
        </w:rPr>
        <w:t>Approval</w:t>
      </w:r>
    </w:p>
    <w:p>
      <w:pPr>
        <w:pStyle w:val="yMiscellaneousBody"/>
        <w:ind w:left="570" w:hanging="570"/>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360"/>
        <w:outlineLvl w:val="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ind w:left="570" w:hanging="570"/>
        <w:rPr>
          <w:i/>
          <w:snapToGrid w:val="0"/>
        </w:rPr>
      </w:pPr>
      <w:r>
        <w:rPr>
          <w:snapToGrid w:val="0"/>
        </w:rPr>
        <w:t>1.</w:t>
      </w:r>
      <w:r>
        <w:rPr>
          <w:snapToGrid w:val="0"/>
        </w:rPr>
        <w:tab/>
      </w:r>
      <w:r>
        <w:rPr>
          <w:i/>
          <w:snapToGrid w:val="0"/>
        </w:rPr>
        <w:t>General</w:t>
      </w:r>
    </w:p>
    <w:p>
      <w:pPr>
        <w:pStyle w:val="yMiscellaneousBody"/>
        <w:spacing w:before="120"/>
        <w:ind w:left="570" w:hanging="570"/>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keepNext/>
        <w:ind w:left="570" w:hanging="570"/>
        <w:rPr>
          <w:snapToGrid w:val="0"/>
        </w:rPr>
      </w:pPr>
      <w:r>
        <w:rPr>
          <w:snapToGrid w:val="0"/>
        </w:rPr>
        <w:t>2.</w:t>
      </w:r>
      <w:r>
        <w:rPr>
          <w:snapToGrid w:val="0"/>
        </w:rPr>
        <w:tab/>
      </w:r>
      <w:r>
        <w:rPr>
          <w:i/>
          <w:snapToGrid w:val="0"/>
        </w:rPr>
        <w:t>Signals for Trawlers</w:t>
      </w:r>
    </w:p>
    <w:p>
      <w:pPr>
        <w:pStyle w:val="yIndenta"/>
        <w:keepNext/>
        <w:tabs>
          <w:tab w:val="clear" w:pos="1332"/>
          <w:tab w:val="clear" w:pos="1616"/>
          <w:tab w:val="right" w:pos="1026"/>
        </w:tabs>
        <w:ind w:left="1311" w:hanging="1311"/>
        <w:rPr>
          <w:snapToGrid w:val="0"/>
        </w:rPr>
      </w:pPr>
      <w:r>
        <w:rPr>
          <w:snapToGrid w:val="0"/>
        </w:rPr>
        <w:tab/>
        <w:t>(a)</w:t>
      </w:r>
      <w:r>
        <w:rPr>
          <w:snapToGrid w:val="0"/>
        </w:rPr>
        <w:tab/>
        <w:t>Vessels when engaged in trawling, whether using demersal or pelagic gear, may exhibit:</w:t>
      </w:r>
    </w:p>
    <w:p>
      <w:pPr>
        <w:pStyle w:val="yIndenti0"/>
        <w:tabs>
          <w:tab w:val="clear" w:pos="2041"/>
          <w:tab w:val="clear" w:pos="2325"/>
          <w:tab w:val="right" w:pos="1710"/>
        </w:tabs>
        <w:ind w:left="1995" w:hanging="1995"/>
        <w:rPr>
          <w:snapToGrid w:val="0"/>
        </w:rPr>
      </w:pPr>
      <w:r>
        <w:rPr>
          <w:snapToGrid w:val="0"/>
        </w:rPr>
        <w:tab/>
        <w:t>(i)</w:t>
      </w:r>
      <w:r>
        <w:rPr>
          <w:snapToGrid w:val="0"/>
        </w:rPr>
        <w:tab/>
        <w:t>when shooting their nets: two white lights in a vertical line;</w:t>
      </w:r>
    </w:p>
    <w:p>
      <w:pPr>
        <w:pStyle w:val="yIndenti0"/>
        <w:tabs>
          <w:tab w:val="clear" w:pos="2041"/>
          <w:tab w:val="clear" w:pos="2325"/>
          <w:tab w:val="right" w:pos="1710"/>
        </w:tabs>
        <w:ind w:left="1995" w:hanging="1995"/>
        <w:rPr>
          <w:snapToGrid w:val="0"/>
        </w:rPr>
      </w:pPr>
      <w:r>
        <w:rPr>
          <w:snapToGrid w:val="0"/>
        </w:rPr>
        <w:tab/>
        <w:t>(ii)</w:t>
      </w:r>
      <w:r>
        <w:rPr>
          <w:snapToGrid w:val="0"/>
        </w:rPr>
        <w:tab/>
        <w:t>when hauling their nets: one white light over one red light in a vertical line;</w:t>
      </w:r>
    </w:p>
    <w:p>
      <w:pPr>
        <w:pStyle w:val="yIndenti0"/>
        <w:tabs>
          <w:tab w:val="clear" w:pos="2041"/>
          <w:tab w:val="clear" w:pos="2325"/>
          <w:tab w:val="right" w:pos="1710"/>
        </w:tabs>
        <w:ind w:left="1995" w:hanging="1995"/>
        <w:rPr>
          <w:snapToGrid w:val="0"/>
        </w:rPr>
      </w:pPr>
      <w:r>
        <w:rPr>
          <w:snapToGrid w:val="0"/>
        </w:rPr>
        <w:tab/>
        <w:t>(iii)</w:t>
      </w:r>
      <w:r>
        <w:rPr>
          <w:snapToGrid w:val="0"/>
        </w:rPr>
        <w:tab/>
        <w:t>when the net has come fast upon an obstruction: two red lights in a vertical line.</w:t>
      </w:r>
    </w:p>
    <w:p>
      <w:pPr>
        <w:pStyle w:val="yIndenta"/>
        <w:tabs>
          <w:tab w:val="clear" w:pos="1332"/>
          <w:tab w:val="clear" w:pos="1616"/>
          <w:tab w:val="right" w:pos="1026"/>
        </w:tabs>
        <w:ind w:left="1311" w:hanging="1311"/>
        <w:rPr>
          <w:snapToGrid w:val="0"/>
        </w:rPr>
      </w:pPr>
      <w:r>
        <w:rPr>
          <w:snapToGrid w:val="0"/>
        </w:rPr>
        <w:lastRenderedPageBreak/>
        <w:tab/>
        <w:t>(b)</w:t>
      </w:r>
      <w:r>
        <w:rPr>
          <w:snapToGrid w:val="0"/>
        </w:rPr>
        <w:tab/>
        <w:t>Each vessel engaged in pair trawling may exhibit:</w:t>
      </w:r>
    </w:p>
    <w:p>
      <w:pPr>
        <w:pStyle w:val="yIndenti0"/>
        <w:tabs>
          <w:tab w:val="clear" w:pos="2041"/>
          <w:tab w:val="clear" w:pos="2325"/>
          <w:tab w:val="right" w:pos="1710"/>
        </w:tabs>
        <w:ind w:left="1995" w:hanging="1995"/>
        <w:rPr>
          <w:snapToGrid w:val="0"/>
        </w:rPr>
      </w:pPr>
      <w:r>
        <w:rPr>
          <w:snapToGrid w:val="0"/>
        </w:rPr>
        <w:tab/>
        <w:t>(i)</w:t>
      </w:r>
      <w:r>
        <w:rPr>
          <w:snapToGrid w:val="0"/>
        </w:rPr>
        <w:tab/>
        <w:t>by night a searchlight directed forward and in the direction of the other vessel of the pair;</w:t>
      </w:r>
    </w:p>
    <w:p>
      <w:pPr>
        <w:pStyle w:val="yIndenti0"/>
        <w:tabs>
          <w:tab w:val="clear" w:pos="2041"/>
          <w:tab w:val="clear" w:pos="2325"/>
          <w:tab w:val="right" w:pos="1710"/>
        </w:tabs>
        <w:ind w:left="1995" w:hanging="1995"/>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ind w:left="570" w:hanging="570"/>
        <w:rPr>
          <w:snapToGrid w:val="0"/>
        </w:rPr>
      </w:pPr>
      <w:r>
        <w:rPr>
          <w:snapToGrid w:val="0"/>
        </w:rPr>
        <w:t>3.</w:t>
      </w:r>
      <w:r>
        <w:rPr>
          <w:snapToGrid w:val="0"/>
        </w:rPr>
        <w:tab/>
      </w:r>
      <w:r>
        <w:rPr>
          <w:i/>
          <w:snapToGrid w:val="0"/>
        </w:rPr>
        <w:t>Signals for purse seiners</w:t>
      </w:r>
    </w:p>
    <w:p>
      <w:pPr>
        <w:pStyle w:val="yMiscellaneousBody"/>
        <w:spacing w:before="120"/>
        <w:ind w:left="570" w:hanging="570"/>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80"/>
        <w:outlineLvl w:val="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spacing w:before="120"/>
        <w:ind w:left="570" w:hanging="570"/>
        <w:rPr>
          <w:i/>
          <w:snapToGrid w:val="0"/>
        </w:rPr>
      </w:pPr>
      <w:r>
        <w:rPr>
          <w:snapToGrid w:val="0"/>
        </w:rPr>
        <w:t>1.</w:t>
      </w:r>
      <w:r>
        <w:rPr>
          <w:snapToGrid w:val="0"/>
        </w:rPr>
        <w:tab/>
      </w:r>
      <w:r>
        <w:rPr>
          <w:i/>
          <w:snapToGrid w:val="0"/>
        </w:rPr>
        <w:t>Whistles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tabs>
          <w:tab w:val="clear" w:pos="1332"/>
          <w:tab w:val="clear" w:pos="1616"/>
          <w:tab w:val="right" w:pos="1026"/>
        </w:tabs>
        <w:ind w:left="1311" w:hanging="1311"/>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tabs>
          <w:tab w:val="clear" w:pos="2041"/>
          <w:tab w:val="clear" w:pos="2325"/>
          <w:tab w:val="right" w:pos="1710"/>
        </w:tabs>
        <w:ind w:left="1995" w:hanging="1995"/>
        <w:rPr>
          <w:snapToGrid w:val="0"/>
        </w:rPr>
      </w:pPr>
      <w:r>
        <w:rPr>
          <w:snapToGrid w:val="0"/>
        </w:rPr>
        <w:tab/>
        <w:t>(i)</w:t>
      </w:r>
      <w:r>
        <w:rPr>
          <w:snapToGrid w:val="0"/>
        </w:rPr>
        <w:tab/>
        <w:t>70</w:t>
      </w:r>
      <w:r>
        <w:rPr>
          <w:snapToGrid w:val="0"/>
        </w:rPr>
        <w:noBreakHyphen/>
        <w:t>200 Hz, for a vessel 200 metres or more in length;</w:t>
      </w:r>
    </w:p>
    <w:p>
      <w:pPr>
        <w:pStyle w:val="yIndenti0"/>
        <w:tabs>
          <w:tab w:val="clear" w:pos="2041"/>
          <w:tab w:val="clear" w:pos="2325"/>
          <w:tab w:val="right" w:pos="1710"/>
        </w:tabs>
        <w:ind w:left="1995" w:hanging="1995"/>
        <w:rPr>
          <w:snapToGrid w:val="0"/>
        </w:rPr>
      </w:pPr>
      <w:r>
        <w:rPr>
          <w:snapToGrid w:val="0"/>
        </w:rPr>
        <w:tab/>
        <w:t>(ii)</w:t>
      </w:r>
      <w:r>
        <w:rPr>
          <w:snapToGrid w:val="0"/>
        </w:rPr>
        <w:tab/>
        <w:t>130</w:t>
      </w:r>
      <w:r>
        <w:rPr>
          <w:snapToGrid w:val="0"/>
        </w:rPr>
        <w:noBreakHyphen/>
        <w:t>350 Hz, for a vessel 75 metres but less than 200 metres in length;</w:t>
      </w:r>
    </w:p>
    <w:p>
      <w:pPr>
        <w:pStyle w:val="yIndenti0"/>
        <w:tabs>
          <w:tab w:val="clear" w:pos="2041"/>
          <w:tab w:val="clear" w:pos="2325"/>
          <w:tab w:val="right" w:pos="1710"/>
        </w:tabs>
        <w:ind w:left="1995" w:hanging="1995"/>
        <w:rPr>
          <w:snapToGrid w:val="0"/>
        </w:rPr>
      </w:pPr>
      <w:r>
        <w:rPr>
          <w:snapToGrid w:val="0"/>
        </w:rPr>
        <w:tab/>
        <w:t>(iii)</w:t>
      </w:r>
      <w:r>
        <w:rPr>
          <w:snapToGrid w:val="0"/>
        </w:rPr>
        <w:tab/>
        <w:t>250</w:t>
      </w:r>
      <w:r>
        <w:rPr>
          <w:snapToGrid w:val="0"/>
        </w:rPr>
        <w:noBreakHyphen/>
        <w:t>700 Hz, for a vessel less than 75 metres in length.</w:t>
      </w:r>
    </w:p>
    <w:p>
      <w:pPr>
        <w:pStyle w:val="yIndenta"/>
        <w:tabs>
          <w:tab w:val="clear" w:pos="1332"/>
          <w:tab w:val="clear" w:pos="1616"/>
          <w:tab w:val="right" w:pos="1026"/>
        </w:tabs>
        <w:spacing w:after="40"/>
        <w:ind w:left="1310" w:hanging="131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NAm"/>
              <w:jc w:val="center"/>
            </w:pPr>
            <w:r>
              <w:lastRenderedPageBreak/>
              <w:t>Length of vessel in metres</w:t>
            </w:r>
          </w:p>
        </w:tc>
        <w:tc>
          <w:tcPr>
            <w:tcW w:w="1701" w:type="dxa"/>
            <w:tcBorders>
              <w:top w:val="single" w:sz="4" w:space="0" w:color="auto"/>
              <w:left w:val="nil"/>
              <w:bottom w:val="single" w:sz="4" w:space="0" w:color="auto"/>
              <w:right w:val="single" w:sz="4" w:space="0" w:color="auto"/>
            </w:tcBorders>
          </w:tcPr>
          <w:p>
            <w:pPr>
              <w:pStyle w:val="yTableNAm"/>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NAm"/>
              <w:jc w:val="center"/>
            </w:pPr>
            <w:r>
              <w:t>Audibility range in nautical</w:t>
            </w:r>
            <w:r>
              <w:br/>
              <w:t>miles</w:t>
            </w:r>
          </w:p>
        </w:tc>
      </w:tr>
      <w:tr>
        <w:tc>
          <w:tcPr>
            <w:tcW w:w="3828" w:type="dxa"/>
            <w:tcBorders>
              <w:top w:val="nil"/>
              <w:right w:val="single" w:sz="4" w:space="0" w:color="auto"/>
            </w:tcBorders>
          </w:tcPr>
          <w:p>
            <w:pPr>
              <w:pStyle w:val="yTableNAm"/>
            </w:pPr>
            <w:r>
              <w:t>200 or more ...........................................</w:t>
            </w:r>
          </w:p>
        </w:tc>
        <w:tc>
          <w:tcPr>
            <w:tcW w:w="1701" w:type="dxa"/>
            <w:tcBorders>
              <w:top w:val="nil"/>
              <w:left w:val="nil"/>
              <w:right w:val="single" w:sz="4" w:space="0" w:color="auto"/>
            </w:tcBorders>
          </w:tcPr>
          <w:p>
            <w:pPr>
              <w:pStyle w:val="yTableNAm"/>
              <w:jc w:val="center"/>
            </w:pPr>
            <w:r>
              <w:t>143</w:t>
            </w:r>
          </w:p>
        </w:tc>
        <w:tc>
          <w:tcPr>
            <w:tcW w:w="1559" w:type="dxa"/>
            <w:tcBorders>
              <w:top w:val="nil"/>
              <w:left w:val="nil"/>
            </w:tcBorders>
          </w:tcPr>
          <w:p>
            <w:pPr>
              <w:pStyle w:val="yTableNAm"/>
              <w:jc w:val="center"/>
            </w:pPr>
            <w:r>
              <w:t>2</w:t>
            </w:r>
          </w:p>
        </w:tc>
      </w:tr>
      <w:tr>
        <w:tc>
          <w:tcPr>
            <w:tcW w:w="3828" w:type="dxa"/>
            <w:tcBorders>
              <w:right w:val="single" w:sz="4" w:space="0" w:color="auto"/>
            </w:tcBorders>
          </w:tcPr>
          <w:p>
            <w:pPr>
              <w:pStyle w:val="yTableNAm"/>
            </w:pPr>
            <w:r>
              <w:t>75 but less than 200 ...............................</w:t>
            </w:r>
          </w:p>
        </w:tc>
        <w:tc>
          <w:tcPr>
            <w:tcW w:w="1701" w:type="dxa"/>
            <w:tcBorders>
              <w:left w:val="nil"/>
              <w:right w:val="single" w:sz="4" w:space="0" w:color="auto"/>
            </w:tcBorders>
          </w:tcPr>
          <w:p>
            <w:pPr>
              <w:pStyle w:val="yTableNAm"/>
              <w:jc w:val="center"/>
            </w:pPr>
            <w:r>
              <w:t>138</w:t>
            </w:r>
          </w:p>
        </w:tc>
        <w:tc>
          <w:tcPr>
            <w:tcW w:w="1559" w:type="dxa"/>
            <w:tcBorders>
              <w:left w:val="nil"/>
            </w:tcBorders>
          </w:tcPr>
          <w:p>
            <w:pPr>
              <w:pStyle w:val="yTableNAm"/>
              <w:jc w:val="center"/>
            </w:pPr>
            <w:r>
              <w:t>1.5</w:t>
            </w:r>
          </w:p>
        </w:tc>
      </w:tr>
      <w:tr>
        <w:tc>
          <w:tcPr>
            <w:tcW w:w="3828" w:type="dxa"/>
            <w:tcBorders>
              <w:right w:val="single" w:sz="4" w:space="0" w:color="auto"/>
            </w:tcBorders>
          </w:tcPr>
          <w:p>
            <w:pPr>
              <w:pStyle w:val="yTableNAm"/>
            </w:pPr>
            <w:r>
              <w:t>20 but less than 75 .................................</w:t>
            </w:r>
          </w:p>
        </w:tc>
        <w:tc>
          <w:tcPr>
            <w:tcW w:w="1701" w:type="dxa"/>
            <w:tcBorders>
              <w:left w:val="nil"/>
              <w:right w:val="single" w:sz="4" w:space="0" w:color="auto"/>
            </w:tcBorders>
          </w:tcPr>
          <w:p>
            <w:pPr>
              <w:pStyle w:val="yTableNAm"/>
              <w:jc w:val="center"/>
            </w:pPr>
            <w:r>
              <w:t>130</w:t>
            </w:r>
          </w:p>
        </w:tc>
        <w:tc>
          <w:tcPr>
            <w:tcW w:w="1559" w:type="dxa"/>
            <w:tcBorders>
              <w:left w:val="nil"/>
            </w:tcBorders>
          </w:tcPr>
          <w:p>
            <w:pPr>
              <w:pStyle w:val="yTableNAm"/>
              <w:jc w:val="center"/>
            </w:pPr>
            <w:r>
              <w:t>1</w:t>
            </w:r>
          </w:p>
        </w:tc>
      </w:tr>
      <w:tr>
        <w:tc>
          <w:tcPr>
            <w:tcW w:w="3828" w:type="dxa"/>
            <w:tcBorders>
              <w:bottom w:val="single" w:sz="4" w:space="0" w:color="auto"/>
              <w:right w:val="single" w:sz="4" w:space="0" w:color="auto"/>
            </w:tcBorders>
          </w:tcPr>
          <w:p>
            <w:pPr>
              <w:pStyle w:val="yTableNAm"/>
            </w:pPr>
            <w:r>
              <w:t>Less than 20 ...........................................</w:t>
            </w:r>
          </w:p>
        </w:tc>
        <w:tc>
          <w:tcPr>
            <w:tcW w:w="1701" w:type="dxa"/>
            <w:tcBorders>
              <w:left w:val="nil"/>
              <w:bottom w:val="single" w:sz="4" w:space="0" w:color="auto"/>
              <w:right w:val="single" w:sz="4" w:space="0" w:color="auto"/>
            </w:tcBorders>
          </w:tcPr>
          <w:p>
            <w:pPr>
              <w:pStyle w:val="yTableNAm"/>
              <w:jc w:val="center"/>
            </w:pPr>
            <w:r>
              <w:t>120</w:t>
            </w:r>
          </w:p>
        </w:tc>
        <w:tc>
          <w:tcPr>
            <w:tcW w:w="1559" w:type="dxa"/>
            <w:tcBorders>
              <w:left w:val="nil"/>
            </w:tcBorders>
          </w:tcPr>
          <w:p>
            <w:pPr>
              <w:pStyle w:val="yTableNAm"/>
              <w:jc w:val="center"/>
            </w:pPr>
            <w:r>
              <w:t>0.5</w:t>
            </w:r>
          </w:p>
        </w:tc>
      </w:tr>
    </w:tbl>
    <w:p>
      <w:pPr>
        <w:pStyle w:val="yIndenta"/>
        <w:tabs>
          <w:tab w:val="clear" w:pos="1332"/>
          <w:tab w:val="clear" w:pos="1616"/>
          <w:tab w:val="right" w:pos="1026"/>
        </w:tabs>
        <w:ind w:left="1311" w:hanging="1311"/>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tabs>
          <w:tab w:val="clear" w:pos="1332"/>
          <w:tab w:val="clear" w:pos="1616"/>
          <w:tab w:val="right" w:pos="1026"/>
        </w:tabs>
        <w:ind w:left="1311" w:hanging="1311"/>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tabs>
          <w:tab w:val="clear" w:pos="1332"/>
          <w:tab w:val="clear" w:pos="1616"/>
          <w:tab w:val="right" w:pos="1026"/>
        </w:tabs>
        <w:ind w:left="1311" w:hanging="1311"/>
        <w:rPr>
          <w:snapToGrid w:val="0"/>
        </w:rPr>
      </w:pPr>
      <w:r>
        <w:rPr>
          <w:snapToGrid w:val="0"/>
        </w:rPr>
        <w:tab/>
      </w:r>
      <w:r>
        <w:rPr>
          <w:snapToGrid w:val="0"/>
        </w:rPr>
        <w:tab/>
        <w:t xml:space="preserve">A whistle shall be placed as high as practicable on a vessel, in order to reduce interception of the emitted sound by obstructions and also to minimize hearing damage risk to personnel. The sound pressure level of the vessel’s own signal at listening posts </w:t>
      </w:r>
      <w:r>
        <w:rPr>
          <w:snapToGrid w:val="0"/>
        </w:rPr>
        <w:lastRenderedPageBreak/>
        <w:t>shall not exceed 110 dB (A) and so far as practicable should not exceed 100 dB (A).</w:t>
      </w:r>
    </w:p>
    <w:p>
      <w:pPr>
        <w:pStyle w:val="yIndenta"/>
        <w:tabs>
          <w:tab w:val="clear" w:pos="1332"/>
          <w:tab w:val="clear" w:pos="1616"/>
          <w:tab w:val="right" w:pos="1026"/>
        </w:tabs>
        <w:ind w:left="1311" w:hanging="1311"/>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tabs>
          <w:tab w:val="clear" w:pos="1332"/>
          <w:tab w:val="clear" w:pos="1616"/>
          <w:tab w:val="right" w:pos="1026"/>
        </w:tabs>
        <w:ind w:left="1311" w:hanging="1311"/>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ind w:left="570" w:hanging="570"/>
        <w:rPr>
          <w:snapToGrid w:val="0"/>
        </w:rPr>
      </w:pPr>
      <w:r>
        <w:rPr>
          <w:snapToGrid w:val="0"/>
        </w:rPr>
        <w:t>2.</w:t>
      </w:r>
      <w:r>
        <w:rPr>
          <w:snapToGrid w:val="0"/>
        </w:rPr>
        <w:tab/>
      </w:r>
      <w:r>
        <w:rPr>
          <w:i/>
          <w:snapToGrid w:val="0"/>
        </w:rPr>
        <w:t>Bell or gong</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ind w:left="570" w:hanging="570"/>
        <w:rPr>
          <w:i/>
          <w:snapToGrid w:val="0"/>
        </w:rPr>
      </w:pPr>
      <w:r>
        <w:rPr>
          <w:snapToGrid w:val="0"/>
        </w:rPr>
        <w:t>3.</w:t>
      </w:r>
      <w:r>
        <w:rPr>
          <w:snapToGrid w:val="0"/>
        </w:rPr>
        <w:tab/>
      </w:r>
      <w:r>
        <w:rPr>
          <w:i/>
          <w:snapToGrid w:val="0"/>
        </w:rPr>
        <w:t>Approval</w:t>
      </w:r>
    </w:p>
    <w:p>
      <w:pPr>
        <w:pStyle w:val="yMiscellaneousBody"/>
        <w:ind w:left="570" w:hanging="570"/>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300"/>
        <w:outlineLvl w:val="0"/>
        <w:rPr>
          <w:b/>
          <w:snapToGrid w:val="0"/>
        </w:rPr>
      </w:pPr>
      <w:r>
        <w:rPr>
          <w:b/>
          <w:snapToGrid w:val="0"/>
        </w:rPr>
        <w:lastRenderedPageBreak/>
        <w:t>ANNEX IV</w:t>
      </w:r>
    </w:p>
    <w:p>
      <w:pPr>
        <w:pStyle w:val="yMiscellaneousHeading"/>
        <w:rPr>
          <w:snapToGrid w:val="0"/>
        </w:rPr>
      </w:pPr>
      <w:r>
        <w:rPr>
          <w:b/>
          <w:snapToGrid w:val="0"/>
        </w:rPr>
        <w:t>DISTRESS SIGNALS</w:t>
      </w:r>
    </w:p>
    <w:p>
      <w:pPr>
        <w:pStyle w:val="yMiscellaneousBody"/>
        <w:ind w:left="570" w:hanging="570"/>
        <w:rPr>
          <w:snapToGrid w:val="0"/>
        </w:rPr>
      </w:pPr>
      <w:r>
        <w:rPr>
          <w:snapToGrid w:val="0"/>
        </w:rPr>
        <w:t>1.</w:t>
      </w:r>
      <w:r>
        <w:rPr>
          <w:snapToGrid w:val="0"/>
        </w:rPr>
        <w:tab/>
        <w:t>The following signals, used or exhibited either together or separately, indicate distress and need of assistance:</w:t>
      </w:r>
    </w:p>
    <w:p>
      <w:pPr>
        <w:pStyle w:val="yIndenta"/>
        <w:tabs>
          <w:tab w:val="clear" w:pos="1332"/>
          <w:tab w:val="clear" w:pos="1616"/>
          <w:tab w:val="right" w:pos="1026"/>
        </w:tabs>
        <w:ind w:left="1311" w:hanging="1311"/>
        <w:rPr>
          <w:snapToGrid w:val="0"/>
        </w:rPr>
      </w:pPr>
      <w:r>
        <w:rPr>
          <w:snapToGrid w:val="0"/>
        </w:rPr>
        <w:tab/>
        <w:t>(a)</w:t>
      </w:r>
      <w:r>
        <w:rPr>
          <w:snapToGrid w:val="0"/>
        </w:rPr>
        <w:tab/>
        <w:t>a gun or other explosive signal fired at intervals of about a minute;</w:t>
      </w:r>
    </w:p>
    <w:p>
      <w:pPr>
        <w:pStyle w:val="yIndenta"/>
        <w:tabs>
          <w:tab w:val="clear" w:pos="1332"/>
          <w:tab w:val="clear" w:pos="1616"/>
          <w:tab w:val="right" w:pos="1026"/>
        </w:tabs>
        <w:ind w:left="1311" w:hanging="1311"/>
        <w:rPr>
          <w:snapToGrid w:val="0"/>
        </w:rPr>
      </w:pPr>
      <w:r>
        <w:rPr>
          <w:snapToGrid w:val="0"/>
        </w:rPr>
        <w:tab/>
        <w:t>(b)</w:t>
      </w:r>
      <w:r>
        <w:rPr>
          <w:snapToGrid w:val="0"/>
        </w:rPr>
        <w:tab/>
        <w:t>a continuous sounding with any fog</w:t>
      </w:r>
      <w:r>
        <w:rPr>
          <w:snapToGrid w:val="0"/>
        </w:rPr>
        <w:noBreakHyphen/>
        <w:t>signalling apparatus;</w:t>
      </w:r>
    </w:p>
    <w:p>
      <w:pPr>
        <w:pStyle w:val="yIndenta"/>
        <w:tabs>
          <w:tab w:val="clear" w:pos="1332"/>
          <w:tab w:val="clear" w:pos="1616"/>
          <w:tab w:val="right" w:pos="1026"/>
        </w:tabs>
        <w:ind w:left="1311" w:hanging="1311"/>
        <w:rPr>
          <w:snapToGrid w:val="0"/>
        </w:rPr>
      </w:pPr>
      <w:r>
        <w:rPr>
          <w:snapToGrid w:val="0"/>
        </w:rPr>
        <w:tab/>
        <w:t>(c)</w:t>
      </w:r>
      <w:r>
        <w:rPr>
          <w:snapToGrid w:val="0"/>
        </w:rPr>
        <w:tab/>
        <w:t>rockets or shells, throwing red stars fired one at a time at short intervals;</w:t>
      </w:r>
    </w:p>
    <w:p>
      <w:pPr>
        <w:pStyle w:val="yIndenta"/>
        <w:tabs>
          <w:tab w:val="clear" w:pos="1332"/>
          <w:tab w:val="clear" w:pos="1616"/>
          <w:tab w:val="right" w:pos="1026"/>
        </w:tabs>
        <w:ind w:left="1311" w:hanging="1311"/>
        <w:rPr>
          <w:snapToGrid w:val="0"/>
        </w:rPr>
      </w:pPr>
      <w:r>
        <w:rPr>
          <w:snapToGrid w:val="0"/>
        </w:rPr>
        <w:tab/>
        <w:t>(d)</w:t>
      </w:r>
      <w:r>
        <w:rPr>
          <w:snapToGrid w:val="0"/>
        </w:rPr>
        <w:tab/>
        <w:t>a signal made by radiotelegraphy or by any other signalling method consisting of the group ... — — — ... (SOS) in the Morse Code;</w:t>
      </w:r>
    </w:p>
    <w:p>
      <w:pPr>
        <w:pStyle w:val="yIndenta"/>
        <w:tabs>
          <w:tab w:val="clear" w:pos="1332"/>
          <w:tab w:val="clear" w:pos="1616"/>
          <w:tab w:val="right" w:pos="1026"/>
        </w:tabs>
        <w:ind w:left="1311" w:hanging="1311"/>
        <w:rPr>
          <w:snapToGrid w:val="0"/>
        </w:rPr>
      </w:pPr>
      <w:r>
        <w:rPr>
          <w:snapToGrid w:val="0"/>
        </w:rPr>
        <w:tab/>
        <w:t>(e)</w:t>
      </w:r>
      <w:r>
        <w:rPr>
          <w:snapToGrid w:val="0"/>
        </w:rPr>
        <w:tab/>
        <w:t>a signal sent by radiotelephony consisting of the spoken word “Mayday”;</w:t>
      </w:r>
    </w:p>
    <w:p>
      <w:pPr>
        <w:pStyle w:val="yIndenta"/>
        <w:tabs>
          <w:tab w:val="clear" w:pos="1332"/>
          <w:tab w:val="clear" w:pos="1616"/>
          <w:tab w:val="right" w:pos="1026"/>
        </w:tabs>
        <w:ind w:left="1311" w:hanging="1311"/>
        <w:rPr>
          <w:snapToGrid w:val="0"/>
        </w:rPr>
      </w:pPr>
      <w:r>
        <w:rPr>
          <w:snapToGrid w:val="0"/>
        </w:rPr>
        <w:tab/>
        <w:t>(f)</w:t>
      </w:r>
      <w:r>
        <w:rPr>
          <w:snapToGrid w:val="0"/>
        </w:rPr>
        <w:tab/>
        <w:t>the International Code Signal of distress indicated by N.C.;</w:t>
      </w:r>
    </w:p>
    <w:p>
      <w:pPr>
        <w:pStyle w:val="yIndenta"/>
        <w:tabs>
          <w:tab w:val="clear" w:pos="1332"/>
          <w:tab w:val="clear" w:pos="1616"/>
          <w:tab w:val="right" w:pos="1026"/>
        </w:tabs>
        <w:ind w:left="1311" w:hanging="1311"/>
        <w:rPr>
          <w:snapToGrid w:val="0"/>
        </w:rPr>
      </w:pPr>
      <w:r>
        <w:rPr>
          <w:snapToGrid w:val="0"/>
        </w:rPr>
        <w:tab/>
        <w:t>(g)</w:t>
      </w:r>
      <w:r>
        <w:rPr>
          <w:snapToGrid w:val="0"/>
        </w:rPr>
        <w:tab/>
        <w:t>a signal consisting of a square flag having above or below it a ball or anything resembling a ball;</w:t>
      </w:r>
    </w:p>
    <w:p>
      <w:pPr>
        <w:pStyle w:val="yIndenta"/>
        <w:tabs>
          <w:tab w:val="clear" w:pos="1332"/>
          <w:tab w:val="clear" w:pos="1616"/>
          <w:tab w:val="right" w:pos="1026"/>
        </w:tabs>
        <w:ind w:left="1311" w:hanging="1311"/>
        <w:rPr>
          <w:snapToGrid w:val="0"/>
        </w:rPr>
      </w:pPr>
      <w:r>
        <w:rPr>
          <w:snapToGrid w:val="0"/>
        </w:rPr>
        <w:tab/>
        <w:t>(h)</w:t>
      </w:r>
      <w:r>
        <w:rPr>
          <w:snapToGrid w:val="0"/>
        </w:rPr>
        <w:tab/>
        <w:t>flames on the vessel (as from a burning tar barrel, oil barrel, etc.);</w:t>
      </w:r>
    </w:p>
    <w:p>
      <w:pPr>
        <w:pStyle w:val="yIndenta"/>
        <w:tabs>
          <w:tab w:val="clear" w:pos="1332"/>
          <w:tab w:val="clear" w:pos="1616"/>
          <w:tab w:val="right" w:pos="1026"/>
        </w:tabs>
        <w:ind w:left="1311" w:hanging="1311"/>
        <w:rPr>
          <w:snapToGrid w:val="0"/>
        </w:rPr>
      </w:pPr>
      <w:r>
        <w:rPr>
          <w:snapToGrid w:val="0"/>
        </w:rPr>
        <w:tab/>
        <w:t>(i)</w:t>
      </w:r>
      <w:r>
        <w:rPr>
          <w:snapToGrid w:val="0"/>
        </w:rPr>
        <w:tab/>
        <w:t>a rocket parachute flare or a hand flare showing a red light;</w:t>
      </w:r>
    </w:p>
    <w:p>
      <w:pPr>
        <w:pStyle w:val="yIndenta"/>
        <w:tabs>
          <w:tab w:val="clear" w:pos="1332"/>
          <w:tab w:val="clear" w:pos="1616"/>
          <w:tab w:val="right" w:pos="1026"/>
        </w:tabs>
        <w:ind w:left="1311" w:hanging="1311"/>
        <w:rPr>
          <w:snapToGrid w:val="0"/>
        </w:rPr>
      </w:pPr>
      <w:r>
        <w:rPr>
          <w:snapToGrid w:val="0"/>
        </w:rPr>
        <w:tab/>
        <w:t>(j)</w:t>
      </w:r>
      <w:r>
        <w:rPr>
          <w:snapToGrid w:val="0"/>
        </w:rPr>
        <w:tab/>
        <w:t>a smoke signal giving off orange</w:t>
      </w:r>
      <w:r>
        <w:rPr>
          <w:snapToGrid w:val="0"/>
        </w:rPr>
        <w:noBreakHyphen/>
        <w:t>coloured smoke;</w:t>
      </w:r>
    </w:p>
    <w:p>
      <w:pPr>
        <w:pStyle w:val="yIndenta"/>
        <w:tabs>
          <w:tab w:val="clear" w:pos="1332"/>
          <w:tab w:val="clear" w:pos="1616"/>
          <w:tab w:val="right" w:pos="1026"/>
        </w:tabs>
        <w:ind w:left="1311" w:hanging="1311"/>
        <w:rPr>
          <w:snapToGrid w:val="0"/>
        </w:rPr>
      </w:pPr>
      <w:r>
        <w:rPr>
          <w:snapToGrid w:val="0"/>
        </w:rPr>
        <w:tab/>
        <w:t>(k)</w:t>
      </w:r>
      <w:r>
        <w:rPr>
          <w:snapToGrid w:val="0"/>
        </w:rPr>
        <w:tab/>
        <w:t>slowly and repeatedly raising and lowering arms outstretched to each side;</w:t>
      </w:r>
    </w:p>
    <w:p>
      <w:pPr>
        <w:pStyle w:val="yIndenta"/>
        <w:tabs>
          <w:tab w:val="clear" w:pos="1332"/>
          <w:tab w:val="clear" w:pos="1616"/>
          <w:tab w:val="right" w:pos="1026"/>
        </w:tabs>
        <w:ind w:left="1311" w:hanging="1311"/>
        <w:rPr>
          <w:snapToGrid w:val="0"/>
        </w:rPr>
      </w:pPr>
      <w:r>
        <w:rPr>
          <w:snapToGrid w:val="0"/>
        </w:rPr>
        <w:tab/>
        <w:t>(l)</w:t>
      </w:r>
      <w:r>
        <w:rPr>
          <w:snapToGrid w:val="0"/>
        </w:rPr>
        <w:tab/>
        <w:t>the radiotelegraph alarm signal;</w:t>
      </w:r>
    </w:p>
    <w:p>
      <w:pPr>
        <w:pStyle w:val="yIndenta"/>
        <w:tabs>
          <w:tab w:val="clear" w:pos="1332"/>
          <w:tab w:val="clear" w:pos="1616"/>
          <w:tab w:val="right" w:pos="1026"/>
        </w:tabs>
        <w:ind w:left="1311" w:hanging="1311"/>
        <w:rPr>
          <w:snapToGrid w:val="0"/>
        </w:rPr>
      </w:pPr>
      <w:r>
        <w:rPr>
          <w:snapToGrid w:val="0"/>
        </w:rPr>
        <w:tab/>
        <w:t>(m)</w:t>
      </w:r>
      <w:r>
        <w:rPr>
          <w:snapToGrid w:val="0"/>
        </w:rPr>
        <w:tab/>
        <w:t>the radiotelephone alarm signal;</w:t>
      </w:r>
    </w:p>
    <w:p>
      <w:pPr>
        <w:pStyle w:val="yIndenta"/>
        <w:tabs>
          <w:tab w:val="clear" w:pos="1332"/>
          <w:tab w:val="clear" w:pos="1616"/>
          <w:tab w:val="right" w:pos="1026"/>
        </w:tabs>
        <w:ind w:left="1311" w:hanging="1311"/>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ind w:left="570" w:hanging="570"/>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ind w:left="570" w:hanging="570"/>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a piece of orange</w:t>
      </w:r>
      <w:r>
        <w:rPr>
          <w:snapToGrid w:val="0"/>
        </w:rPr>
        <w:noBreakHyphen/>
        <w:t>coloured canvas with either a black square and circle or other appropriate symbol (for identification from the air);</w:t>
      </w:r>
    </w:p>
    <w:p>
      <w:pPr>
        <w:pStyle w:val="yIndenta"/>
        <w:tabs>
          <w:tab w:val="clear" w:pos="1332"/>
          <w:tab w:val="clear" w:pos="1616"/>
          <w:tab w:val="right" w:pos="1026"/>
        </w:tabs>
        <w:ind w:left="1311" w:hanging="1311"/>
        <w:rPr>
          <w:snapToGrid w:val="0"/>
        </w:rPr>
      </w:pPr>
      <w:r>
        <w:rPr>
          <w:snapToGrid w:val="0"/>
        </w:rPr>
        <w:tab/>
        <w:t>(b)</w:t>
      </w:r>
      <w:r>
        <w:rPr>
          <w:snapToGrid w:val="0"/>
        </w:rPr>
        <w:tab/>
        <w:t>a dye marker.</w:t>
      </w:r>
    </w:p>
    <w:p>
      <w:pPr>
        <w:pStyle w:val="yScheduleHeading"/>
        <w:outlineLvl w:val="0"/>
      </w:pPr>
      <w:bookmarkStart w:id="534" w:name="_Toc153377375"/>
      <w:bookmarkStart w:id="535" w:name="_Toc153544922"/>
      <w:bookmarkStart w:id="536" w:name="_Toc153796525"/>
      <w:bookmarkStart w:id="537" w:name="_Toc153887673"/>
      <w:r>
        <w:rPr>
          <w:rStyle w:val="CharSchNo"/>
        </w:rPr>
        <w:lastRenderedPageBreak/>
        <w:t>Schedule 4</w:t>
      </w:r>
      <w:r>
        <w:t> — </w:t>
      </w:r>
      <w:r>
        <w:rPr>
          <w:rStyle w:val="CharSchText"/>
        </w:rPr>
        <w:t>Safety Convention</w:t>
      </w:r>
      <w:bookmarkEnd w:id="534"/>
      <w:bookmarkEnd w:id="535"/>
      <w:bookmarkEnd w:id="536"/>
      <w:bookmarkEnd w:id="537"/>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ind w:left="570" w:hanging="570"/>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ind w:left="570" w:hanging="570"/>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tabs>
          <w:tab w:val="clear" w:pos="1332"/>
          <w:tab w:val="clear" w:pos="1616"/>
          <w:tab w:val="right" w:pos="1026"/>
        </w:tabs>
        <w:ind w:left="1311" w:hanging="1311"/>
        <w:rPr>
          <w:snapToGrid w:val="0"/>
        </w:rPr>
      </w:pPr>
      <w:r>
        <w:rPr>
          <w:snapToGrid w:val="0"/>
        </w:rPr>
        <w:lastRenderedPageBreak/>
        <w:tab/>
        <w:t>(b)</w:t>
      </w:r>
      <w:r>
        <w:rPr>
          <w:snapToGrid w:val="0"/>
        </w:rPr>
        <w:tab/>
        <w:t>the text of laws, decrees, orders and regulations which shall have been promulgated on the various matters within the scope of the present Convention;</w:t>
      </w:r>
    </w:p>
    <w:p>
      <w:pPr>
        <w:pStyle w:val="yIndenta"/>
        <w:tabs>
          <w:tab w:val="clear" w:pos="1332"/>
          <w:tab w:val="clear" w:pos="1616"/>
          <w:tab w:val="right" w:pos="1026"/>
        </w:tabs>
        <w:ind w:left="1311" w:hanging="1311"/>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Cases of Force Majeure</w:t>
      </w:r>
    </w:p>
    <w:p>
      <w:pPr>
        <w:pStyle w:val="yMiscellaneousBody"/>
        <w:ind w:left="570" w:hanging="570"/>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ind w:left="570" w:hanging="570"/>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ind w:left="570" w:hanging="570"/>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ind w:left="570" w:hanging="570"/>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ind w:left="570" w:hanging="570"/>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r>
        <w:rPr>
          <w:snapToGrid w:val="0"/>
        </w:rPr>
        <w:lastRenderedPageBreak/>
        <w:t>ARTICLE VI</w:t>
      </w:r>
    </w:p>
    <w:p>
      <w:pPr>
        <w:pStyle w:val="yMiscellaneousHeading"/>
        <w:rPr>
          <w:i/>
          <w:snapToGrid w:val="0"/>
        </w:rPr>
      </w:pPr>
      <w:r>
        <w:rPr>
          <w:i/>
          <w:snapToGrid w:val="0"/>
        </w:rPr>
        <w:t>Prior Treaties and Conventions</w:t>
      </w:r>
    </w:p>
    <w:p>
      <w:pPr>
        <w:pStyle w:val="yMiscellaneousBody"/>
        <w:ind w:left="570" w:hanging="570"/>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ind w:left="570" w:hanging="570"/>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tabs>
          <w:tab w:val="clear" w:pos="1332"/>
          <w:tab w:val="clear" w:pos="1616"/>
          <w:tab w:val="right" w:pos="1026"/>
        </w:tabs>
        <w:ind w:left="1311" w:hanging="1311"/>
        <w:rPr>
          <w:snapToGrid w:val="0"/>
        </w:rPr>
      </w:pPr>
      <w:r>
        <w:rPr>
          <w:snapToGrid w:val="0"/>
        </w:rPr>
        <w:tab/>
        <w:t>(i)</w:t>
      </w:r>
      <w:r>
        <w:rPr>
          <w:snapToGrid w:val="0"/>
        </w:rPr>
        <w:tab/>
        <w:t>ships to which the present Convention does not apply;</w:t>
      </w:r>
    </w:p>
    <w:p>
      <w:pPr>
        <w:pStyle w:val="yIndenta"/>
        <w:tabs>
          <w:tab w:val="clear" w:pos="1332"/>
          <w:tab w:val="clear" w:pos="1616"/>
          <w:tab w:val="right" w:pos="1026"/>
        </w:tabs>
        <w:ind w:left="1311" w:hanging="1311"/>
        <w:rPr>
          <w:snapToGrid w:val="0"/>
        </w:rPr>
      </w:pPr>
      <w:r>
        <w:rPr>
          <w:snapToGrid w:val="0"/>
        </w:rPr>
        <w:tab/>
        <w:t>(ii)</w:t>
      </w:r>
      <w:r>
        <w:rPr>
          <w:snapToGrid w:val="0"/>
        </w:rPr>
        <w:tab/>
        <w:t>ships to which the present Convention applies, in respect of matters for which it has not expressly provided.</w:t>
      </w:r>
    </w:p>
    <w:p>
      <w:pPr>
        <w:pStyle w:val="yMiscellaneousBody"/>
        <w:ind w:left="570" w:hanging="570"/>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ind w:left="570" w:hanging="570"/>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Amendments</w:t>
      </w:r>
    </w:p>
    <w:p>
      <w:pPr>
        <w:pStyle w:val="yMiscellaneousBody"/>
        <w:ind w:left="570" w:hanging="570"/>
        <w:rPr>
          <w:snapToGrid w:val="0"/>
        </w:rPr>
      </w:pPr>
      <w:r>
        <w:rPr>
          <w:snapToGrid w:val="0"/>
        </w:rPr>
        <w:t>(a)</w:t>
      </w:r>
      <w:r>
        <w:rPr>
          <w:snapToGrid w:val="0"/>
        </w:rPr>
        <w:tab/>
        <w:t>The present Convention may be amended by either of the procedures specified in the following paragraphs.</w:t>
      </w:r>
    </w:p>
    <w:p>
      <w:pPr>
        <w:pStyle w:val="yMiscellaneousBody"/>
        <w:ind w:left="570" w:hanging="570"/>
        <w:rPr>
          <w:snapToGrid w:val="0"/>
        </w:rPr>
      </w:pPr>
      <w:r>
        <w:rPr>
          <w:snapToGrid w:val="0"/>
        </w:rPr>
        <w:t>(b)</w:t>
      </w:r>
      <w:r>
        <w:rPr>
          <w:snapToGrid w:val="0"/>
        </w:rPr>
        <w:tab/>
        <w:t>Amendments after consideration within the Organization:</w:t>
      </w:r>
    </w:p>
    <w:p>
      <w:pPr>
        <w:pStyle w:val="yIndenta"/>
        <w:tabs>
          <w:tab w:val="clear" w:pos="1332"/>
          <w:tab w:val="clear" w:pos="1616"/>
          <w:tab w:val="right" w:pos="1026"/>
        </w:tabs>
        <w:ind w:left="1311" w:hanging="1311"/>
        <w:rPr>
          <w:snapToGrid w:val="0"/>
        </w:rPr>
      </w:pPr>
      <w:r>
        <w:rPr>
          <w:snapToGrid w:val="0"/>
        </w:rPr>
        <w:tab/>
        <w:t>(i)</w:t>
      </w:r>
      <w:r>
        <w:rPr>
          <w:snapToGrid w:val="0"/>
        </w:rPr>
        <w:tab/>
        <w:t>Any amendment proposed by a Contracting Government shall be submitted to the Secretary</w:t>
      </w:r>
      <w:r>
        <w:rPr>
          <w:snapToGrid w:val="0"/>
        </w:rPr>
        <w:noBreakHyphen/>
        <w:t xml:space="preserve">General of the Organization, who </w:t>
      </w:r>
      <w:r>
        <w:rPr>
          <w:snapToGrid w:val="0"/>
        </w:rPr>
        <w:lastRenderedPageBreak/>
        <w:t>shall then circulate it to all Members of the Organization and all Contracting Governments at least six months prior to its consideration.</w:t>
      </w:r>
    </w:p>
    <w:p>
      <w:pPr>
        <w:pStyle w:val="yIndenta"/>
        <w:tabs>
          <w:tab w:val="clear" w:pos="1332"/>
          <w:tab w:val="clear" w:pos="1616"/>
          <w:tab w:val="right" w:pos="1026"/>
        </w:tabs>
        <w:ind w:left="1311" w:hanging="1311"/>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tabs>
          <w:tab w:val="clear" w:pos="1332"/>
          <w:tab w:val="clear" w:pos="1616"/>
          <w:tab w:val="right" w:pos="1026"/>
        </w:tabs>
        <w:ind w:left="1311" w:hanging="1311"/>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tabs>
          <w:tab w:val="clear" w:pos="1332"/>
          <w:tab w:val="clear" w:pos="1616"/>
          <w:tab w:val="right" w:pos="1026"/>
        </w:tabs>
        <w:ind w:left="1311" w:hanging="1311"/>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tabs>
          <w:tab w:val="clear" w:pos="1332"/>
          <w:tab w:val="clear" w:pos="1616"/>
          <w:tab w:val="right" w:pos="1026"/>
        </w:tabs>
        <w:ind w:left="1311" w:hanging="1311"/>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clear" w:pos="2041"/>
          <w:tab w:val="clear" w:pos="2325"/>
          <w:tab w:val="right" w:pos="1026"/>
          <w:tab w:val="right" w:pos="1710"/>
        </w:tabs>
        <w:ind w:left="1995" w:hanging="1995"/>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be deemed to have been accepted:</w:t>
      </w:r>
    </w:p>
    <w:p>
      <w:pPr>
        <w:pStyle w:val="yIndenti0"/>
        <w:tabs>
          <w:tab w:val="clear" w:pos="2041"/>
          <w:tab w:val="clear" w:pos="2325"/>
          <w:tab w:val="right" w:pos="2508"/>
        </w:tabs>
        <w:ind w:left="2793" w:hanging="2793"/>
        <w:rPr>
          <w:snapToGrid w:val="0"/>
        </w:rPr>
      </w:pPr>
      <w:r>
        <w:rPr>
          <w:snapToGrid w:val="0"/>
        </w:rPr>
        <w:tab/>
        <w:t>(aa)</w:t>
      </w:r>
      <w:r>
        <w:rPr>
          <w:snapToGrid w:val="0"/>
        </w:rPr>
        <w:tab/>
        <w:t>at the end of two years from the date on which it is communicated to Contracting Governments for acceptance; or</w:t>
      </w:r>
    </w:p>
    <w:p>
      <w:pPr>
        <w:pStyle w:val="yIndenti0"/>
        <w:tabs>
          <w:tab w:val="clear" w:pos="2041"/>
          <w:tab w:val="clear" w:pos="2325"/>
          <w:tab w:val="right" w:pos="2508"/>
        </w:tabs>
        <w:ind w:left="2793" w:hanging="2793"/>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tabs>
          <w:tab w:val="clear" w:pos="2041"/>
          <w:tab w:val="clear" w:pos="2325"/>
          <w:tab w:val="right" w:pos="1710"/>
        </w:tabs>
        <w:ind w:left="1995" w:hanging="1995"/>
        <w:rPr>
          <w:snapToGrid w:val="0"/>
        </w:rPr>
      </w:pPr>
      <w:r>
        <w:rPr>
          <w:snapToGrid w:val="0"/>
        </w:rPr>
        <w:tab/>
      </w:r>
      <w:r>
        <w:rPr>
          <w:snapToGrid w:val="0"/>
        </w:rPr>
        <w:tab/>
        <w:t>However, if within the specified period either more than one</w:t>
      </w:r>
      <w:r>
        <w:rPr>
          <w:snapToGrid w:val="0"/>
        </w:rPr>
        <w:noBreakHyphen/>
        <w:t xml:space="preserve">third of Contracting Governments, or Contracting </w:t>
      </w:r>
      <w:r>
        <w:rPr>
          <w:snapToGrid w:val="0"/>
        </w:rPr>
        <w:lastRenderedPageBreak/>
        <w:t>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clear" w:pos="2041"/>
          <w:tab w:val="clear" w:pos="2325"/>
          <w:tab w:val="right" w:pos="1026"/>
          <w:tab w:val="right" w:pos="1710"/>
        </w:tabs>
        <w:ind w:left="1995" w:hanging="1995"/>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ind w:left="570" w:hanging="570"/>
        <w:rPr>
          <w:snapToGrid w:val="0"/>
        </w:rPr>
      </w:pPr>
      <w:r>
        <w:rPr>
          <w:snapToGrid w:val="0"/>
        </w:rPr>
        <w:t>(c)</w:t>
      </w:r>
      <w:r>
        <w:rPr>
          <w:snapToGrid w:val="0"/>
        </w:rPr>
        <w:tab/>
        <w:t>Amendment by a Conference:</w:t>
      </w:r>
    </w:p>
    <w:p>
      <w:pPr>
        <w:pStyle w:val="yIndenta"/>
        <w:tabs>
          <w:tab w:val="clear" w:pos="1332"/>
          <w:tab w:val="clear" w:pos="1616"/>
          <w:tab w:val="right" w:pos="1026"/>
        </w:tabs>
        <w:ind w:left="1311" w:hanging="1311"/>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tabs>
          <w:tab w:val="clear" w:pos="1332"/>
          <w:tab w:val="clear" w:pos="1616"/>
          <w:tab w:val="right" w:pos="1026"/>
        </w:tabs>
        <w:ind w:left="1311" w:hanging="1311"/>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tabs>
          <w:tab w:val="clear" w:pos="1332"/>
          <w:tab w:val="clear" w:pos="1616"/>
          <w:tab w:val="right" w:pos="1026"/>
        </w:tabs>
        <w:ind w:left="1311" w:hanging="1311"/>
        <w:rPr>
          <w:snapToGrid w:val="0"/>
        </w:rPr>
      </w:pPr>
      <w:r>
        <w:rPr>
          <w:snapToGrid w:val="0"/>
        </w:rPr>
        <w:lastRenderedPageBreak/>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tabs>
          <w:tab w:val="clear" w:pos="1332"/>
          <w:tab w:val="clear" w:pos="1616"/>
          <w:tab w:val="right" w:pos="1026"/>
        </w:tabs>
        <w:ind w:left="1311" w:hanging="1311"/>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ind w:left="570" w:hanging="570"/>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ind w:left="570" w:hanging="570"/>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ind w:left="570" w:hanging="570"/>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r>
        <w:rPr>
          <w:snapToGrid w:val="0"/>
        </w:rPr>
        <w:lastRenderedPageBreak/>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570" w:hanging="570"/>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tabs>
          <w:tab w:val="clear" w:pos="1332"/>
          <w:tab w:val="clear" w:pos="1616"/>
          <w:tab w:val="right" w:pos="1026"/>
        </w:tabs>
        <w:ind w:left="1311" w:hanging="1311"/>
        <w:rPr>
          <w:snapToGrid w:val="0"/>
        </w:rPr>
      </w:pPr>
      <w:r>
        <w:rPr>
          <w:snapToGrid w:val="0"/>
        </w:rPr>
        <w:tab/>
        <w:t>(i)</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(ii)</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(iii)</w:t>
      </w:r>
      <w:r>
        <w:rPr>
          <w:snapToGrid w:val="0"/>
        </w:rPr>
        <w:tab/>
        <w:t>accession.</w:t>
      </w:r>
    </w:p>
    <w:p>
      <w:pPr>
        <w:pStyle w:val="yMiscellaneousBody"/>
        <w:ind w:left="570" w:hanging="570"/>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r>
        <w:rPr>
          <w:snapToGrid w:val="0"/>
        </w:rPr>
        <w:t>ARTICLE X</w:t>
      </w:r>
    </w:p>
    <w:p>
      <w:pPr>
        <w:pStyle w:val="yMiscellaneousHeading"/>
        <w:rPr>
          <w:i/>
          <w:snapToGrid w:val="0"/>
        </w:rPr>
      </w:pPr>
      <w:r>
        <w:rPr>
          <w:i/>
          <w:snapToGrid w:val="0"/>
        </w:rPr>
        <w:t>Entry into Force</w:t>
      </w:r>
    </w:p>
    <w:p>
      <w:pPr>
        <w:pStyle w:val="yMiscellaneousBody"/>
        <w:ind w:left="570" w:hanging="570"/>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ind w:left="570" w:hanging="570"/>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ind w:left="570" w:hanging="570"/>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r>
        <w:rPr>
          <w:snapToGrid w:val="0"/>
        </w:rPr>
        <w:lastRenderedPageBreak/>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ind w:left="570" w:hanging="570"/>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ind w:left="570" w:hanging="570"/>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r>
        <w:rPr>
          <w:snapToGrid w:val="0"/>
        </w:rPr>
        <w:t>ARTICLE XII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ind w:left="570" w:hanging="570"/>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r>
        <w:rPr>
          <w:snapToGrid w:val="0"/>
        </w:rPr>
        <w:lastRenderedPageBreak/>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Unless expressly provided otherwise, the present Regulations apply only to ships engaged on international voyages.</w:t>
      </w:r>
    </w:p>
    <w:p>
      <w:pPr>
        <w:pStyle w:val="yMiscellaneousBody"/>
        <w:ind w:left="570" w:hanging="570"/>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tabs>
          <w:tab w:val="clear" w:pos="1332"/>
          <w:tab w:val="clear" w:pos="1616"/>
          <w:tab w:val="right" w:pos="1026"/>
        </w:tabs>
        <w:ind w:left="1311" w:hanging="1311"/>
        <w:rPr>
          <w:snapToGrid w:val="0"/>
        </w:rPr>
      </w:pPr>
      <w:r>
        <w:rPr>
          <w:snapToGrid w:val="0"/>
        </w:rPr>
        <w:tab/>
        <w:t>(a)</w:t>
      </w:r>
      <w:r>
        <w:rPr>
          <w:snapToGrid w:val="0"/>
        </w:rPr>
        <w:tab/>
        <w:t>“Regulations ” means the Regulations contained in the Annex to the present Convention.</w:t>
      </w:r>
    </w:p>
    <w:p>
      <w:pPr>
        <w:pStyle w:val="yIndenta"/>
        <w:tabs>
          <w:tab w:val="clear" w:pos="1332"/>
          <w:tab w:val="clear" w:pos="1616"/>
          <w:tab w:val="right" w:pos="1026"/>
        </w:tabs>
        <w:ind w:left="1311" w:hanging="1311"/>
        <w:rPr>
          <w:snapToGrid w:val="0"/>
        </w:rPr>
      </w:pPr>
      <w:r>
        <w:rPr>
          <w:snapToGrid w:val="0"/>
        </w:rPr>
        <w:tab/>
        <w:t>(b)</w:t>
      </w:r>
      <w:r>
        <w:rPr>
          <w:snapToGrid w:val="0"/>
        </w:rPr>
        <w:tab/>
        <w:t>“Administration” means the Government of the State whose flag the ship is entitled to fly.</w:t>
      </w:r>
    </w:p>
    <w:p>
      <w:pPr>
        <w:pStyle w:val="yIndenta"/>
        <w:tabs>
          <w:tab w:val="clear" w:pos="1332"/>
          <w:tab w:val="clear" w:pos="1616"/>
          <w:tab w:val="right" w:pos="1026"/>
        </w:tabs>
        <w:ind w:left="1311" w:hanging="1311"/>
        <w:rPr>
          <w:snapToGrid w:val="0"/>
        </w:rPr>
      </w:pPr>
      <w:r>
        <w:rPr>
          <w:snapToGrid w:val="0"/>
        </w:rPr>
        <w:tab/>
        <w:t>(c)</w:t>
      </w:r>
      <w:r>
        <w:rPr>
          <w:snapToGrid w:val="0"/>
        </w:rPr>
        <w:tab/>
        <w:t>“Approved” means approved by the Administration.</w:t>
      </w:r>
    </w:p>
    <w:p>
      <w:pPr>
        <w:pStyle w:val="yIndenta"/>
        <w:tabs>
          <w:tab w:val="clear" w:pos="1332"/>
          <w:tab w:val="clear" w:pos="1616"/>
          <w:tab w:val="right" w:pos="1026"/>
        </w:tabs>
        <w:ind w:left="1311" w:hanging="1311"/>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tabs>
          <w:tab w:val="clear" w:pos="1332"/>
          <w:tab w:val="clear" w:pos="1616"/>
          <w:tab w:val="right" w:pos="1026"/>
        </w:tabs>
        <w:ind w:left="1311" w:hanging="1311"/>
        <w:rPr>
          <w:snapToGrid w:val="0"/>
        </w:rPr>
      </w:pPr>
      <w:r>
        <w:rPr>
          <w:snapToGrid w:val="0"/>
        </w:rPr>
        <w:tab/>
        <w:t>(e)</w:t>
      </w:r>
      <w:r>
        <w:rPr>
          <w:snapToGrid w:val="0"/>
        </w:rPr>
        <w:tab/>
        <w:t>A passenger is every person other than:</w:t>
      </w:r>
    </w:p>
    <w:p>
      <w:pPr>
        <w:pStyle w:val="yIndenti0"/>
        <w:tabs>
          <w:tab w:val="clear" w:pos="2041"/>
          <w:tab w:val="clear" w:pos="2325"/>
          <w:tab w:val="right" w:pos="1710"/>
        </w:tabs>
        <w:ind w:left="1995" w:hanging="1995"/>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tabs>
          <w:tab w:val="clear" w:pos="2041"/>
          <w:tab w:val="clear" w:pos="2325"/>
          <w:tab w:val="right" w:pos="1710"/>
        </w:tabs>
        <w:ind w:left="1995" w:hanging="1995"/>
        <w:rPr>
          <w:snapToGrid w:val="0"/>
        </w:rPr>
      </w:pPr>
      <w:r>
        <w:rPr>
          <w:snapToGrid w:val="0"/>
        </w:rPr>
        <w:tab/>
        <w:t>(ii)</w:t>
      </w:r>
      <w:r>
        <w:rPr>
          <w:snapToGrid w:val="0"/>
        </w:rPr>
        <w:tab/>
        <w:t>a child under one year of age.</w:t>
      </w:r>
    </w:p>
    <w:p>
      <w:pPr>
        <w:pStyle w:val="yIndenta"/>
        <w:tabs>
          <w:tab w:val="clear" w:pos="1332"/>
          <w:tab w:val="clear" w:pos="1616"/>
          <w:tab w:val="right" w:pos="1026"/>
        </w:tabs>
        <w:ind w:left="1311" w:hanging="1311"/>
        <w:rPr>
          <w:snapToGrid w:val="0"/>
        </w:rPr>
      </w:pPr>
      <w:r>
        <w:rPr>
          <w:snapToGrid w:val="0"/>
        </w:rPr>
        <w:tab/>
        <w:t>(f)</w:t>
      </w:r>
      <w:r>
        <w:rPr>
          <w:snapToGrid w:val="0"/>
        </w:rPr>
        <w:tab/>
        <w:t>A passenger ship is a ship which carries more than twelve passengers.</w:t>
      </w:r>
    </w:p>
    <w:p>
      <w:pPr>
        <w:pStyle w:val="yIndenta"/>
        <w:tabs>
          <w:tab w:val="clear" w:pos="1332"/>
          <w:tab w:val="clear" w:pos="1616"/>
          <w:tab w:val="right" w:pos="1026"/>
        </w:tabs>
        <w:ind w:left="1311" w:hanging="1311"/>
        <w:rPr>
          <w:snapToGrid w:val="0"/>
        </w:rPr>
      </w:pPr>
      <w:r>
        <w:rPr>
          <w:snapToGrid w:val="0"/>
        </w:rPr>
        <w:tab/>
        <w:t>(g)</w:t>
      </w:r>
      <w:r>
        <w:rPr>
          <w:snapToGrid w:val="0"/>
        </w:rPr>
        <w:tab/>
        <w:t>A cargo ship is any ship which is not a passenger ship.</w:t>
      </w:r>
    </w:p>
    <w:p>
      <w:pPr>
        <w:pStyle w:val="yIndenta"/>
        <w:tabs>
          <w:tab w:val="clear" w:pos="1332"/>
          <w:tab w:val="clear" w:pos="1616"/>
          <w:tab w:val="right" w:pos="1026"/>
        </w:tabs>
        <w:ind w:left="1311" w:hanging="1311"/>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tabs>
          <w:tab w:val="clear" w:pos="1332"/>
          <w:tab w:val="clear" w:pos="1616"/>
          <w:tab w:val="right" w:pos="1026"/>
        </w:tabs>
        <w:ind w:left="1311" w:hanging="1311"/>
        <w:rPr>
          <w:snapToGrid w:val="0"/>
        </w:rPr>
      </w:pPr>
      <w:r>
        <w:rPr>
          <w:snapToGrid w:val="0"/>
        </w:rPr>
        <w:lastRenderedPageBreak/>
        <w:tab/>
        <w:t>(i)</w:t>
      </w:r>
      <w:r>
        <w:rPr>
          <w:snapToGrid w:val="0"/>
        </w:rPr>
        <w:tab/>
        <w:t>A fishing vessel is a vessel used for catching fish, whales, seals, walrus or other living resources of the sea.</w:t>
      </w:r>
    </w:p>
    <w:p>
      <w:pPr>
        <w:pStyle w:val="yIndenta"/>
        <w:tabs>
          <w:tab w:val="clear" w:pos="1332"/>
          <w:tab w:val="clear" w:pos="1616"/>
          <w:tab w:val="right" w:pos="1026"/>
        </w:tabs>
        <w:ind w:left="1311" w:hanging="1311"/>
        <w:rPr>
          <w:snapToGrid w:val="0"/>
        </w:rPr>
      </w:pPr>
      <w:r>
        <w:rPr>
          <w:snapToGrid w:val="0"/>
        </w:rPr>
        <w:tab/>
        <w:t>(j)</w:t>
      </w:r>
      <w:r>
        <w:rPr>
          <w:snapToGrid w:val="0"/>
        </w:rPr>
        <w:tab/>
        <w:t>A nuclear ship is a ship provided with a nuclear power plant.</w:t>
      </w:r>
    </w:p>
    <w:p>
      <w:pPr>
        <w:pStyle w:val="yIndenta"/>
        <w:tabs>
          <w:tab w:val="clear" w:pos="1332"/>
          <w:tab w:val="clear" w:pos="1616"/>
          <w:tab w:val="right" w:pos="1026"/>
        </w:tabs>
        <w:ind w:left="1311" w:hanging="1311"/>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tabs>
          <w:tab w:val="clear" w:pos="1332"/>
          <w:tab w:val="clear" w:pos="1616"/>
          <w:tab w:val="right" w:pos="1026"/>
        </w:tabs>
        <w:ind w:left="1311" w:hanging="1311"/>
        <w:rPr>
          <w:snapToGrid w:val="0"/>
        </w:rPr>
      </w:pPr>
      <w:r>
        <w:rPr>
          <w:snapToGrid w:val="0"/>
        </w:rPr>
        <w:tab/>
        <w:t>(l)</w:t>
      </w:r>
      <w:r>
        <w:rPr>
          <w:snapToGrid w:val="0"/>
        </w:rPr>
        <w:tab/>
        <w:t>“Existing ship” means a ship which is not a new ship.</w:t>
      </w:r>
    </w:p>
    <w:p>
      <w:pPr>
        <w:pStyle w:val="yIndenta"/>
        <w:tabs>
          <w:tab w:val="clear" w:pos="1332"/>
          <w:tab w:val="clear" w:pos="1616"/>
          <w:tab w:val="right" w:pos="1026"/>
        </w:tabs>
        <w:ind w:left="1311" w:hanging="1311"/>
        <w:rPr>
          <w:snapToGrid w:val="0"/>
        </w:rPr>
      </w:pPr>
      <w:r>
        <w:rPr>
          <w:snapToGrid w:val="0"/>
        </w:rPr>
        <w:tab/>
        <w:t>(m)</w:t>
      </w:r>
      <w:r>
        <w:rPr>
          <w:snapToGrid w:val="0"/>
        </w:rPr>
        <w:tab/>
        <w:t>A mile is 1,852 metres or 6,080 feet.</w:t>
      </w:r>
    </w:p>
    <w:p>
      <w:pPr>
        <w:pStyle w:val="yMiscellaneousBody"/>
        <w:ind w:left="570"/>
        <w:rPr>
          <w:snapToGrid w:val="0"/>
        </w:rPr>
      </w:pPr>
      <w:r>
        <w:rPr>
          <w:snapToGrid w:val="0"/>
          <w:vertAlign w:val="superscript"/>
        </w:rPr>
        <w:t>*</w:t>
      </w:r>
      <w:r>
        <w:rPr>
          <w:snapToGrid w:val="0"/>
        </w:rPr>
        <w:t xml:space="preserve"> “Inflammable” has the same meaning as “flammable”</w:t>
      </w:r>
    </w:p>
    <w:p>
      <w:pPr>
        <w:pStyle w:val="yMiscellaneousHeading"/>
        <w:rPr>
          <w:snapToGrid w:val="0"/>
        </w:rPr>
      </w:pPr>
      <w:r>
        <w:rPr>
          <w:b/>
          <w:snapToGrid w:val="0"/>
        </w:rPr>
        <w:t>Regulation 3</w:t>
      </w:r>
    </w:p>
    <w:p>
      <w:pPr>
        <w:pStyle w:val="yMiscellaneousHeading"/>
        <w:rPr>
          <w:i/>
          <w:snapToGrid w:val="0"/>
        </w:rPr>
      </w:pPr>
      <w:r>
        <w:rPr>
          <w:i/>
          <w:snapToGrid w:val="0"/>
        </w:rPr>
        <w:t>Exceptions</w:t>
      </w:r>
    </w:p>
    <w:p>
      <w:pPr>
        <w:pStyle w:val="yMiscellaneousBody"/>
        <w:ind w:left="570" w:hanging="570"/>
        <w:rPr>
          <w:snapToGrid w:val="0"/>
        </w:rPr>
      </w:pPr>
      <w:r>
        <w:rPr>
          <w:snapToGrid w:val="0"/>
        </w:rPr>
        <w:t>(a)</w:t>
      </w:r>
      <w:r>
        <w:rPr>
          <w:snapToGrid w:val="0"/>
        </w:rPr>
        <w:tab/>
        <w:t>The present Regulations, unless expressly provided otherwise, do not apply to:</w:t>
      </w:r>
    </w:p>
    <w:p>
      <w:pPr>
        <w:pStyle w:val="yIndenta"/>
        <w:tabs>
          <w:tab w:val="clear" w:pos="1332"/>
          <w:tab w:val="clear" w:pos="1616"/>
          <w:tab w:val="right" w:pos="1026"/>
        </w:tabs>
        <w:ind w:left="1311" w:hanging="1311"/>
        <w:rPr>
          <w:snapToGrid w:val="0"/>
        </w:rPr>
      </w:pPr>
      <w:r>
        <w:rPr>
          <w:snapToGrid w:val="0"/>
        </w:rPr>
        <w:tab/>
        <w:t>(i)</w:t>
      </w:r>
      <w:r>
        <w:rPr>
          <w:snapToGrid w:val="0"/>
        </w:rPr>
        <w:tab/>
        <w:t>Ships of war and troopships.</w:t>
      </w:r>
    </w:p>
    <w:p>
      <w:pPr>
        <w:pStyle w:val="yIndenta"/>
        <w:tabs>
          <w:tab w:val="clear" w:pos="1332"/>
          <w:tab w:val="clear" w:pos="1616"/>
          <w:tab w:val="right" w:pos="1026"/>
        </w:tabs>
        <w:ind w:left="1311" w:hanging="1311"/>
        <w:rPr>
          <w:snapToGrid w:val="0"/>
        </w:rPr>
      </w:pPr>
      <w:r>
        <w:rPr>
          <w:snapToGrid w:val="0"/>
        </w:rPr>
        <w:tab/>
        <w:t>(ii)</w:t>
      </w:r>
      <w:r>
        <w:rPr>
          <w:snapToGrid w:val="0"/>
        </w:rPr>
        <w:tab/>
        <w:t>Cargo ships of less than 500 tons gross tonnage.</w:t>
      </w:r>
    </w:p>
    <w:p>
      <w:pPr>
        <w:pStyle w:val="yIndenta"/>
        <w:tabs>
          <w:tab w:val="clear" w:pos="1332"/>
          <w:tab w:val="clear" w:pos="1616"/>
          <w:tab w:val="right" w:pos="1026"/>
        </w:tabs>
        <w:ind w:left="1311" w:hanging="1311"/>
        <w:rPr>
          <w:snapToGrid w:val="0"/>
        </w:rPr>
      </w:pPr>
      <w:r>
        <w:rPr>
          <w:snapToGrid w:val="0"/>
        </w:rPr>
        <w:tab/>
        <w:t>(iii)</w:t>
      </w:r>
      <w:r>
        <w:rPr>
          <w:snapToGrid w:val="0"/>
        </w:rPr>
        <w:tab/>
        <w:t>Ships not propelled by mechanical means.</w:t>
      </w:r>
    </w:p>
    <w:p>
      <w:pPr>
        <w:pStyle w:val="yIndenta"/>
        <w:tabs>
          <w:tab w:val="clear" w:pos="1332"/>
          <w:tab w:val="clear" w:pos="1616"/>
          <w:tab w:val="right" w:pos="1026"/>
        </w:tabs>
        <w:ind w:left="1311" w:hanging="1311"/>
        <w:rPr>
          <w:snapToGrid w:val="0"/>
        </w:rPr>
      </w:pPr>
      <w:r>
        <w:rPr>
          <w:snapToGrid w:val="0"/>
        </w:rPr>
        <w:tab/>
        <w:t>(iv)</w:t>
      </w:r>
      <w:r>
        <w:rPr>
          <w:snapToGrid w:val="0"/>
        </w:rPr>
        <w:tab/>
        <w:t>Wooden ships of primitive build.</w:t>
      </w:r>
    </w:p>
    <w:p>
      <w:pPr>
        <w:pStyle w:val="yIndenta"/>
        <w:tabs>
          <w:tab w:val="clear" w:pos="1332"/>
          <w:tab w:val="clear" w:pos="1616"/>
          <w:tab w:val="right" w:pos="1026"/>
        </w:tabs>
        <w:ind w:left="1311" w:hanging="1311"/>
        <w:rPr>
          <w:snapToGrid w:val="0"/>
        </w:rPr>
      </w:pPr>
      <w:r>
        <w:rPr>
          <w:snapToGrid w:val="0"/>
        </w:rPr>
        <w:tab/>
        <w:t>(v)</w:t>
      </w:r>
      <w:r>
        <w:rPr>
          <w:snapToGrid w:val="0"/>
        </w:rPr>
        <w:tab/>
        <w:t>Pleasure yachts not engaged in trade.</w:t>
      </w:r>
    </w:p>
    <w:p>
      <w:pPr>
        <w:pStyle w:val="yIndenta"/>
        <w:tabs>
          <w:tab w:val="clear" w:pos="1332"/>
          <w:tab w:val="clear" w:pos="1616"/>
          <w:tab w:val="right" w:pos="1026"/>
        </w:tabs>
        <w:ind w:left="1311" w:hanging="1311"/>
        <w:rPr>
          <w:snapToGrid w:val="0"/>
        </w:rPr>
      </w:pPr>
      <w:r>
        <w:rPr>
          <w:snapToGrid w:val="0"/>
        </w:rPr>
        <w:tab/>
        <w:t>(vi)</w:t>
      </w:r>
      <w:r>
        <w:rPr>
          <w:snapToGrid w:val="0"/>
        </w:rPr>
        <w:tab/>
        <w:t>Fishing vessels.</w:t>
      </w:r>
    </w:p>
    <w:p>
      <w:pPr>
        <w:pStyle w:val="yMiscellaneousBody"/>
        <w:ind w:left="570" w:hanging="570"/>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rPr>
          <w:b/>
          <w:snapToGrid w:val="0"/>
        </w:rPr>
      </w:pPr>
      <w:r>
        <w:rPr>
          <w:b/>
          <w:snapToGrid w:val="0"/>
        </w:rPr>
        <w:t>Regulation 4</w:t>
      </w:r>
    </w:p>
    <w:p>
      <w:pPr>
        <w:pStyle w:val="yMiscellaneousHeading"/>
        <w:rPr>
          <w:i/>
          <w:snapToGrid w:val="0"/>
        </w:rPr>
      </w:pPr>
      <w:r>
        <w:rPr>
          <w:i/>
          <w:snapToGrid w:val="0"/>
        </w:rPr>
        <w:t>Exemptions</w:t>
      </w:r>
    </w:p>
    <w:p>
      <w:pPr>
        <w:pStyle w:val="yMiscellaneousBody"/>
        <w:ind w:left="570" w:hanging="570"/>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ind w:left="570" w:hanging="570"/>
        <w:rPr>
          <w:snapToGrid w:val="0"/>
        </w:rPr>
      </w:pPr>
      <w:r>
        <w:rPr>
          <w:snapToGrid w:val="0"/>
        </w:rPr>
        <w:lastRenderedPageBreak/>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rPr>
          <w:b/>
          <w:snapToGrid w:val="0"/>
        </w:rPr>
      </w:pPr>
      <w:r>
        <w:rPr>
          <w:b/>
          <w:snapToGrid w:val="0"/>
        </w:rPr>
        <w:t>Regulation 5</w:t>
      </w:r>
    </w:p>
    <w:p>
      <w:pPr>
        <w:pStyle w:val="yMiscellaneousHeading"/>
        <w:rPr>
          <w:i/>
          <w:snapToGrid w:val="0"/>
        </w:rPr>
      </w:pPr>
      <w:r>
        <w:rPr>
          <w:i/>
          <w:snapToGrid w:val="0"/>
        </w:rPr>
        <w:t>Equivalents</w:t>
      </w:r>
    </w:p>
    <w:p>
      <w:pPr>
        <w:pStyle w:val="yMiscellaneousBody"/>
        <w:ind w:left="570" w:hanging="570"/>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ind w:left="570" w:hanging="570"/>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r>
        <w:rPr>
          <w:b/>
          <w:snapToGrid w:val="0"/>
        </w:rPr>
        <w:lastRenderedPageBreak/>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rPr>
          <w:b/>
          <w:snapToGrid w:val="0"/>
        </w:rPr>
      </w:pPr>
      <w:r>
        <w:rPr>
          <w:b/>
          <w:snapToGrid w:val="0"/>
        </w:rPr>
        <w:t>Regulation 2</w:t>
      </w:r>
    </w:p>
    <w:p>
      <w:pPr>
        <w:pStyle w:val="yMiscellaneousHeading"/>
        <w:rPr>
          <w:i/>
          <w:snapToGrid w:val="0"/>
        </w:rPr>
      </w:pPr>
      <w:r>
        <w:rPr>
          <w:i/>
          <w:snapToGrid w:val="0"/>
        </w:rPr>
        <w:t>Danger Messages</w:t>
      </w:r>
    </w:p>
    <w:p>
      <w:pPr>
        <w:pStyle w:val="yMiscellaneousBody"/>
        <w:ind w:left="570" w:hanging="570"/>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ind w:left="570" w:hanging="570"/>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ind w:left="570" w:hanging="570"/>
        <w:rPr>
          <w:snapToGrid w:val="0"/>
        </w:rPr>
      </w:pPr>
      <w:r>
        <w:rPr>
          <w:snapToGrid w:val="0"/>
        </w:rPr>
        <w:t>(c)</w:t>
      </w:r>
      <w:r>
        <w:rPr>
          <w:snapToGrid w:val="0"/>
        </w:rPr>
        <w:tab/>
        <w:t>The transmission of messages respecting the dangers specified is free of cost to the ships concerned.</w:t>
      </w:r>
    </w:p>
    <w:p>
      <w:pPr>
        <w:pStyle w:val="yMiscellaneousBody"/>
        <w:ind w:left="570" w:hanging="570"/>
        <w:rPr>
          <w:snapToGrid w:val="0"/>
        </w:rPr>
      </w:pPr>
      <w:r>
        <w:rPr>
          <w:snapToGrid w:val="0"/>
        </w:rPr>
        <w:lastRenderedPageBreak/>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Ice, Derelicts and other Direct Dangers to Navigation</w:t>
      </w:r>
    </w:p>
    <w:p>
      <w:pPr>
        <w:pStyle w:val="yIndenti0"/>
        <w:tabs>
          <w:tab w:val="clear" w:pos="2041"/>
          <w:tab w:val="clear" w:pos="2325"/>
          <w:tab w:val="right" w:pos="1710"/>
        </w:tabs>
        <w:ind w:left="1995" w:hanging="1995"/>
        <w:rPr>
          <w:snapToGrid w:val="0"/>
        </w:rPr>
      </w:pPr>
      <w:r>
        <w:rPr>
          <w:snapToGrid w:val="0"/>
        </w:rPr>
        <w:tab/>
        <w:t>(i)</w:t>
      </w:r>
      <w:r>
        <w:rPr>
          <w:snapToGrid w:val="0"/>
        </w:rPr>
        <w:tab/>
        <w:t>The kind of ice, derelict or danger observed.</w:t>
      </w:r>
    </w:p>
    <w:p>
      <w:pPr>
        <w:pStyle w:val="yIndenti0"/>
        <w:tabs>
          <w:tab w:val="clear" w:pos="2041"/>
          <w:tab w:val="clear" w:pos="2325"/>
          <w:tab w:val="right" w:pos="1710"/>
        </w:tabs>
        <w:ind w:left="1995" w:hanging="1995"/>
        <w:rPr>
          <w:snapToGrid w:val="0"/>
        </w:rPr>
      </w:pPr>
      <w:r>
        <w:rPr>
          <w:snapToGrid w:val="0"/>
        </w:rPr>
        <w:tab/>
        <w:t>(ii)</w:t>
      </w:r>
      <w:r>
        <w:rPr>
          <w:snapToGrid w:val="0"/>
        </w:rPr>
        <w:tab/>
        <w:t>The position of the ice, derelict or danger when last observed.</w:t>
      </w:r>
    </w:p>
    <w:p>
      <w:pPr>
        <w:pStyle w:val="yIndenti0"/>
        <w:tabs>
          <w:tab w:val="clear" w:pos="2041"/>
          <w:tab w:val="clear" w:pos="2325"/>
          <w:tab w:val="right" w:pos="1710"/>
        </w:tabs>
        <w:ind w:left="1995" w:hanging="1995"/>
        <w:rPr>
          <w:snapToGrid w:val="0"/>
        </w:rPr>
      </w:pPr>
      <w:r>
        <w:rPr>
          <w:snapToGrid w:val="0"/>
        </w:rPr>
        <w:tab/>
        <w:t>(iii)</w:t>
      </w:r>
      <w:r>
        <w:rPr>
          <w:snapToGrid w:val="0"/>
        </w:rPr>
        <w:tab/>
        <w:t>The time and date (Greenwich Mean Time) when danger last observed.</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tabs>
          <w:tab w:val="clear" w:pos="2041"/>
          <w:tab w:val="clear" w:pos="2325"/>
          <w:tab w:val="right" w:pos="1710"/>
        </w:tabs>
        <w:ind w:left="1995" w:hanging="1995"/>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tabs>
          <w:tab w:val="clear" w:pos="2041"/>
          <w:tab w:val="clear" w:pos="2325"/>
          <w:tab w:val="right" w:pos="1710"/>
        </w:tabs>
        <w:ind w:left="1995" w:hanging="1995"/>
        <w:rPr>
          <w:snapToGrid w:val="0"/>
        </w:rPr>
      </w:pPr>
      <w:r>
        <w:rPr>
          <w:snapToGrid w:val="0"/>
        </w:rPr>
        <w:tab/>
        <w:t>(ii)</w:t>
      </w:r>
      <w:r>
        <w:rPr>
          <w:snapToGrid w:val="0"/>
        </w:rPr>
        <w:tab/>
        <w:t>Time, date (Greenwich Mean Time) and position of ship when the observation was taken.</w:t>
      </w:r>
    </w:p>
    <w:p>
      <w:pPr>
        <w:pStyle w:val="yIndenti0"/>
        <w:tabs>
          <w:tab w:val="clear" w:pos="2041"/>
          <w:tab w:val="clear" w:pos="2325"/>
          <w:tab w:val="right" w:pos="1710"/>
        </w:tabs>
        <w:ind w:left="1995" w:hanging="1995"/>
        <w:rPr>
          <w:snapToGrid w:val="0"/>
        </w:rPr>
      </w:pPr>
      <w:r>
        <w:rPr>
          <w:snapToGrid w:val="0"/>
        </w:rPr>
        <w:tab/>
        <w:t>(iii)</w:t>
      </w:r>
      <w:r>
        <w:rPr>
          <w:snapToGrid w:val="0"/>
        </w:rPr>
        <w:tab/>
        <w:t>As much of the following information as is practicable should be included in the message: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pressure, preferably corrected (stating millibars, millimetres, or inches, and whether corrected or uncorrected);</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tendency (the change in barometric pressure during the past three hours);</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wind direction;</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wind force (Beaufort scale);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state of the sea (smooth, moderate, rough, high);</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xml:space="preserve">— swell (slight, moderate, heavy) and the true direction from which it comes. Period or length </w:t>
      </w:r>
      <w:r>
        <w:rPr>
          <w:snapToGrid w:val="0"/>
        </w:rPr>
        <w:lastRenderedPageBreak/>
        <w:t>of swell (short, average, long) would also be of value;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course and speed of ship.</w:t>
      </w:r>
    </w:p>
    <w:p>
      <w:pPr>
        <w:pStyle w:val="yIndenta"/>
        <w:tabs>
          <w:tab w:val="clear" w:pos="1332"/>
          <w:tab w:val="clear" w:pos="1616"/>
          <w:tab w:val="right" w:pos="1026"/>
        </w:tabs>
        <w:ind w:left="1311" w:hanging="1311"/>
        <w:rPr>
          <w:snapToGrid w:val="0"/>
        </w:rPr>
      </w:pPr>
      <w:r>
        <w:rPr>
          <w:snapToGrid w:val="0"/>
        </w:rPr>
        <w:tab/>
        <w:t>(c)</w:t>
      </w:r>
      <w:r>
        <w:rPr>
          <w:snapToGrid w:val="0"/>
        </w:rPr>
        <w:tab/>
      </w:r>
      <w:r>
        <w:rPr>
          <w:i/>
          <w:snapToGrid w:val="0"/>
        </w:rPr>
        <w:t>Subsequent Observations</w:t>
      </w:r>
    </w:p>
    <w:p>
      <w:pPr>
        <w:pStyle w:val="yIndenta"/>
        <w:tabs>
          <w:tab w:val="clear" w:pos="1332"/>
          <w:tab w:val="clear" w:pos="1616"/>
          <w:tab w:val="right" w:pos="1026"/>
        </w:tabs>
        <w:ind w:left="1311" w:hanging="1311"/>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tabs>
          <w:tab w:val="clear" w:pos="1332"/>
          <w:tab w:val="clear" w:pos="1616"/>
          <w:tab w:val="right" w:pos="1026"/>
        </w:tabs>
        <w:ind w:left="1311" w:hanging="1311"/>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tabs>
          <w:tab w:val="clear" w:pos="2041"/>
          <w:tab w:val="clear" w:pos="2325"/>
          <w:tab w:val="right" w:pos="1710"/>
        </w:tabs>
        <w:ind w:left="1995" w:hanging="1995"/>
        <w:rPr>
          <w:snapToGrid w:val="0"/>
        </w:rPr>
      </w:pPr>
      <w:r>
        <w:rPr>
          <w:snapToGrid w:val="0"/>
        </w:rPr>
        <w:tab/>
        <w:t>(i)</w:t>
      </w:r>
      <w:r>
        <w:rPr>
          <w:snapToGrid w:val="0"/>
        </w:rPr>
        <w:tab/>
        <w:t>Time and date (Greenwich Mean Time).</w:t>
      </w:r>
    </w:p>
    <w:p>
      <w:pPr>
        <w:pStyle w:val="yIndenti0"/>
        <w:tabs>
          <w:tab w:val="clear" w:pos="2041"/>
          <w:tab w:val="clear" w:pos="2325"/>
          <w:tab w:val="right" w:pos="1710"/>
        </w:tabs>
        <w:ind w:left="1995" w:hanging="1995"/>
        <w:rPr>
          <w:snapToGrid w:val="0"/>
        </w:rPr>
      </w:pPr>
      <w:r>
        <w:rPr>
          <w:snapToGrid w:val="0"/>
        </w:rPr>
        <w:tab/>
        <w:t>(ii)</w:t>
      </w:r>
      <w:r>
        <w:rPr>
          <w:snapToGrid w:val="0"/>
        </w:rPr>
        <w:tab/>
        <w:t>Air temperature.</w:t>
      </w:r>
    </w:p>
    <w:p>
      <w:pPr>
        <w:pStyle w:val="yIndenti0"/>
        <w:tabs>
          <w:tab w:val="clear" w:pos="2041"/>
          <w:tab w:val="clear" w:pos="2325"/>
          <w:tab w:val="right" w:pos="1710"/>
        </w:tabs>
        <w:ind w:left="1995" w:hanging="1995"/>
        <w:rPr>
          <w:snapToGrid w:val="0"/>
        </w:rPr>
      </w:pPr>
      <w:r>
        <w:rPr>
          <w:snapToGrid w:val="0"/>
        </w:rPr>
        <w:tab/>
        <w:t>(iii)</w:t>
      </w:r>
      <w:r>
        <w:rPr>
          <w:snapToGrid w:val="0"/>
        </w:rPr>
        <w:tab/>
        <w:t>Sea temperature (if practicable).</w:t>
      </w:r>
    </w:p>
    <w:p>
      <w:pPr>
        <w:pStyle w:val="yIndenti0"/>
        <w:tabs>
          <w:tab w:val="clear" w:pos="2041"/>
          <w:tab w:val="clear" w:pos="2325"/>
          <w:tab w:val="right" w:pos="1710"/>
        </w:tabs>
        <w:ind w:left="1995" w:hanging="1995"/>
        <w:rPr>
          <w:snapToGrid w:val="0"/>
        </w:rPr>
      </w:pPr>
      <w:r>
        <w:rPr>
          <w:snapToGrid w:val="0"/>
        </w:rPr>
        <w:tab/>
        <w:t>(iv)</w:t>
      </w:r>
      <w:r>
        <w:rPr>
          <w:snapToGrid w:val="0"/>
        </w:rPr>
        <w:tab/>
        <w:t>Wind force and direction.</w:t>
      </w:r>
    </w:p>
    <w:p>
      <w:pPr>
        <w:pStyle w:val="yMiscellaneousHeading"/>
        <w:spacing w:before="240"/>
        <w:outlineLvl w:val="0"/>
        <w:rPr>
          <w:i/>
          <w:snapToGrid w:val="0"/>
        </w:rPr>
      </w:pPr>
      <w:r>
        <w:rPr>
          <w:i/>
          <w:snapToGrid w:val="0"/>
        </w:rPr>
        <w:t>Examples</w:t>
      </w:r>
    </w:p>
    <w:p>
      <w:pPr>
        <w:pStyle w:val="yMiscellaneousBody"/>
        <w:rPr>
          <w:i/>
          <w:iCs/>
        </w:rPr>
      </w:pPr>
      <w:r>
        <w:rPr>
          <w:i/>
          <w:iCs/>
        </w:rPr>
        <w:t>Ice</w:t>
      </w:r>
    </w:p>
    <w:p>
      <w:pPr>
        <w:pStyle w:val="yMiscellaneousBody"/>
        <w:keepNext/>
        <w:rPr>
          <w:snapToGrid w:val="0"/>
        </w:rPr>
      </w:pPr>
      <w:r>
        <w:rPr>
          <w:snapToGrid w:val="0"/>
        </w:rPr>
        <w:t>TTT Ice. Large berg sighted in 4605 N., 4410 W., at 0800 GMT. May 15.</w:t>
      </w:r>
    </w:p>
    <w:p>
      <w:pPr>
        <w:pStyle w:val="yMiscellaneousBody"/>
        <w:rPr>
          <w:i/>
          <w:snapToGrid w:val="0"/>
        </w:rPr>
      </w:pPr>
      <w:r>
        <w:rPr>
          <w:i/>
          <w:iCs/>
        </w:rPr>
        <w:t>Derelicts</w:t>
      </w:r>
    </w:p>
    <w:p>
      <w:pPr>
        <w:pStyle w:val="yMiscellaneousBody"/>
        <w:rPr>
          <w:snapToGrid w:val="0"/>
        </w:rPr>
      </w:pPr>
      <w:r>
        <w:rPr>
          <w:snapToGrid w:val="0"/>
        </w:rPr>
        <w:t>TTT Derelict. Observed derelict almost submerged in 4006 N., 1243 W., at 1630 GMT. April 21.</w:t>
      </w:r>
    </w:p>
    <w:p>
      <w:pPr>
        <w:pStyle w:val="yMiscellaneousBody"/>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rPr>
          <w:i/>
          <w:snapToGrid w:val="0"/>
        </w:rPr>
      </w:pPr>
      <w:r>
        <w:rPr>
          <w:i/>
          <w:snapToGrid w:val="0"/>
        </w:rPr>
        <w:lastRenderedPageBreak/>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keepNext/>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rPr>
          <w:b/>
          <w:bCs/>
        </w:rPr>
      </w:pPr>
      <w:r>
        <w:rPr>
          <w:b/>
          <w:bCs/>
        </w:rPr>
        <w:t>Regulation 4</w:t>
      </w:r>
    </w:p>
    <w:p>
      <w:pPr>
        <w:pStyle w:val="yMiscellaneousHeading"/>
        <w:rPr>
          <w:i/>
          <w:snapToGrid w:val="0"/>
        </w:rPr>
      </w:pPr>
      <w:r>
        <w:rPr>
          <w:i/>
          <w:snapToGrid w:val="0"/>
        </w:rPr>
        <w:t>Meteorological Services</w:t>
      </w:r>
    </w:p>
    <w:p>
      <w:pPr>
        <w:pStyle w:val="yMiscellaneousBody"/>
        <w:ind w:left="570" w:hanging="570"/>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keepNext/>
        <w:ind w:left="570" w:hanging="570"/>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tabs>
          <w:tab w:val="clear" w:pos="1332"/>
          <w:tab w:val="clear" w:pos="1616"/>
          <w:tab w:val="right" w:pos="1026"/>
        </w:tabs>
        <w:ind w:left="1311" w:hanging="1311"/>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tabs>
          <w:tab w:val="clear" w:pos="1332"/>
          <w:tab w:val="clear" w:pos="1616"/>
          <w:tab w:val="right" w:pos="1026"/>
        </w:tabs>
        <w:ind w:left="1311" w:hanging="1311"/>
        <w:rPr>
          <w:snapToGrid w:val="0"/>
        </w:rPr>
      </w:pPr>
      <w:r>
        <w:rPr>
          <w:snapToGrid w:val="0"/>
        </w:rPr>
        <w:lastRenderedPageBreak/>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tabs>
          <w:tab w:val="clear" w:pos="1332"/>
          <w:tab w:val="clear" w:pos="1616"/>
          <w:tab w:val="right" w:pos="1026"/>
        </w:tabs>
        <w:ind w:left="1311" w:hanging="1311"/>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tabs>
          <w:tab w:val="clear" w:pos="1332"/>
          <w:tab w:val="clear" w:pos="1616"/>
          <w:tab w:val="right" w:pos="1026"/>
        </w:tabs>
        <w:ind w:left="1311" w:hanging="1311"/>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tabs>
          <w:tab w:val="clear" w:pos="1332"/>
          <w:tab w:val="clear" w:pos="1616"/>
          <w:tab w:val="right" w:pos="1026"/>
        </w:tabs>
        <w:spacing w:before="60"/>
        <w:ind w:left="1310" w:hanging="1310"/>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tabs>
          <w:tab w:val="clear" w:pos="1332"/>
          <w:tab w:val="clear" w:pos="1616"/>
          <w:tab w:val="right" w:pos="1026"/>
        </w:tabs>
        <w:spacing w:before="60"/>
        <w:ind w:left="1310" w:hanging="1310"/>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tabs>
          <w:tab w:val="clear" w:pos="1332"/>
          <w:tab w:val="clear" w:pos="1616"/>
          <w:tab w:val="right" w:pos="1026"/>
        </w:tabs>
        <w:spacing w:before="60"/>
        <w:ind w:left="1310" w:hanging="1310"/>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ind w:left="570" w:hanging="570"/>
        <w:rPr>
          <w:snapToGrid w:val="0"/>
        </w:rPr>
      </w:pPr>
      <w:r>
        <w:rPr>
          <w:snapToGrid w:val="0"/>
        </w:rPr>
        <w:lastRenderedPageBreak/>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ind w:left="570" w:hanging="570"/>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rPr>
          <w:b/>
          <w:snapToGrid w:val="0"/>
        </w:rPr>
      </w:pPr>
      <w:r>
        <w:rPr>
          <w:b/>
          <w:bCs/>
        </w:rPr>
        <w:t>Regulation</w:t>
      </w:r>
      <w:r>
        <w:rPr>
          <w:b/>
          <w:snapToGrid w:val="0"/>
        </w:rPr>
        <w:t> 5</w:t>
      </w:r>
    </w:p>
    <w:p>
      <w:pPr>
        <w:pStyle w:val="yMiscellaneousHeading"/>
        <w:rPr>
          <w:i/>
          <w:snapToGrid w:val="0"/>
        </w:rPr>
      </w:pPr>
      <w:r>
        <w:rPr>
          <w:i/>
          <w:snapToGrid w:val="0"/>
        </w:rPr>
        <w:t>Ice Patrol Service</w:t>
      </w:r>
    </w:p>
    <w:p>
      <w:pPr>
        <w:pStyle w:val="yMiscellaneousBody"/>
        <w:ind w:left="570" w:hanging="570"/>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ind w:left="570" w:hanging="570"/>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rPr>
          <w:b/>
          <w:snapToGrid w:val="0"/>
        </w:rPr>
      </w:pPr>
      <w:r>
        <w:rPr>
          <w:b/>
          <w:bCs/>
        </w:rPr>
        <w:t>Regulation</w:t>
      </w:r>
      <w:r>
        <w:rPr>
          <w:b/>
          <w:snapToGrid w:val="0"/>
        </w:rPr>
        <w:t> 6</w:t>
      </w:r>
    </w:p>
    <w:p>
      <w:pPr>
        <w:pStyle w:val="yMiscellaneousHeading"/>
        <w:rPr>
          <w:i/>
          <w:snapToGrid w:val="0"/>
        </w:rPr>
      </w:pPr>
      <w:r>
        <w:rPr>
          <w:i/>
          <w:snapToGrid w:val="0"/>
        </w:rPr>
        <w:t>Ice Patrol. Management and Cost</w:t>
      </w:r>
    </w:p>
    <w:p>
      <w:pPr>
        <w:pStyle w:val="yMiscellaneousBody"/>
        <w:ind w:left="570" w:hanging="570"/>
        <w:rPr>
          <w:snapToGrid w:val="0"/>
        </w:rPr>
      </w:pPr>
      <w:r>
        <w:rPr>
          <w:snapToGrid w:val="0"/>
        </w:rPr>
        <w:t>(a)</w:t>
      </w:r>
      <w:r>
        <w:rPr>
          <w:snapToGrid w:val="0"/>
        </w:rPr>
        <w:tab/>
        <w:t xml:space="preserve">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w:t>
      </w:r>
      <w:r>
        <w:rPr>
          <w:snapToGrid w:val="0"/>
        </w:rPr>
        <w:lastRenderedPageBreak/>
        <w:t>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ind w:left="570" w:hanging="570"/>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ind w:left="570" w:hanging="570"/>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ind w:left="570" w:hanging="570"/>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ind w:left="570" w:hanging="570"/>
        <w:rPr>
          <w:snapToGrid w:val="0"/>
        </w:rPr>
      </w:pPr>
      <w:r>
        <w:rPr>
          <w:snapToGrid w:val="0"/>
        </w:rPr>
        <w:t>(e)</w:t>
      </w:r>
      <w:r>
        <w:rPr>
          <w:snapToGrid w:val="0"/>
        </w:rPr>
        <w:tab/>
        <w:t xml:space="preserve">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w:t>
      </w:r>
      <w:r>
        <w:rPr>
          <w:snapToGrid w:val="0"/>
        </w:rPr>
        <w:lastRenderedPageBreak/>
        <w:t>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rPr>
          <w:b/>
          <w:snapToGrid w:val="0"/>
        </w:rPr>
      </w:pPr>
      <w:r>
        <w:rPr>
          <w:b/>
          <w:bCs/>
        </w:rPr>
        <w:t>Regulation</w:t>
      </w:r>
      <w:r>
        <w:rPr>
          <w:b/>
          <w:snapToGrid w:val="0"/>
        </w:rPr>
        <w:t>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rPr>
          <w:b/>
          <w:snapToGrid w:val="0"/>
        </w:rPr>
      </w:pPr>
      <w:r>
        <w:rPr>
          <w:b/>
          <w:bCs/>
        </w:rPr>
        <w:t>Regulation</w:t>
      </w:r>
      <w:r>
        <w:rPr>
          <w:b/>
          <w:snapToGrid w:val="0"/>
        </w:rPr>
        <w:t> 8</w:t>
      </w:r>
    </w:p>
    <w:p>
      <w:pPr>
        <w:pStyle w:val="yMiscellaneousHeading"/>
        <w:rPr>
          <w:i/>
          <w:snapToGrid w:val="0"/>
        </w:rPr>
      </w:pPr>
      <w:r>
        <w:rPr>
          <w:i/>
          <w:snapToGrid w:val="0"/>
        </w:rPr>
        <w:t>Routeing</w:t>
      </w:r>
    </w:p>
    <w:p>
      <w:pPr>
        <w:pStyle w:val="yMiscellaneousBody"/>
        <w:ind w:left="570" w:hanging="570"/>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ind w:left="570" w:hanging="570"/>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ind w:left="570" w:hanging="570"/>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ind w:left="570" w:hanging="570"/>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ind w:left="570" w:hanging="570"/>
        <w:rPr>
          <w:snapToGrid w:val="0"/>
        </w:rPr>
      </w:pPr>
      <w:r>
        <w:rPr>
          <w:snapToGrid w:val="0"/>
        </w:rPr>
        <w:lastRenderedPageBreak/>
        <w:t>(e)</w:t>
      </w:r>
      <w:r>
        <w:rPr>
          <w:snapToGrid w:val="0"/>
        </w:rPr>
        <w:tab/>
        <w:t>Contracting Governments will also induce all ships proceeding on voyages in the vicinity of the Grand Banks of Newfoundland to avoid, as far as practicable, the fishing banks of Newfoundland north of latitude 43° N and to pass outside regions known or believed to be endangered by ice.</w:t>
      </w:r>
    </w:p>
    <w:p>
      <w:pPr>
        <w:pStyle w:val="yMiscellaneousHeading"/>
        <w:rPr>
          <w:b/>
          <w:snapToGrid w:val="0"/>
        </w:rPr>
      </w:pPr>
      <w:r>
        <w:rPr>
          <w:b/>
          <w:bCs/>
        </w:rPr>
        <w:t>Regulation</w:t>
      </w:r>
      <w:r>
        <w:rPr>
          <w:b/>
          <w:snapToGrid w:val="0"/>
        </w:rPr>
        <w:t>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rPr>
          <w:b/>
          <w:snapToGrid w:val="0"/>
        </w:rPr>
      </w:pPr>
      <w:r>
        <w:rPr>
          <w:b/>
          <w:bCs/>
        </w:rPr>
        <w:t>Regulation</w:t>
      </w:r>
      <w:r>
        <w:rPr>
          <w:b/>
          <w:snapToGrid w:val="0"/>
        </w:rPr>
        <w:t> 10</w:t>
      </w:r>
    </w:p>
    <w:p>
      <w:pPr>
        <w:pStyle w:val="yMiscellaneousHeading"/>
        <w:rPr>
          <w:i/>
          <w:snapToGrid w:val="0"/>
        </w:rPr>
      </w:pPr>
      <w:r>
        <w:rPr>
          <w:i/>
          <w:snapToGrid w:val="0"/>
        </w:rPr>
        <w:t>Distress Messages — Obligations and Procedures</w:t>
      </w:r>
    </w:p>
    <w:p>
      <w:pPr>
        <w:pStyle w:val="yMiscellaneousBody"/>
        <w:ind w:left="570" w:hanging="570"/>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ind w:left="570" w:hanging="570"/>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ind w:left="570" w:hanging="570"/>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ind w:left="570" w:hanging="570"/>
        <w:rPr>
          <w:snapToGrid w:val="0"/>
        </w:rPr>
      </w:pPr>
      <w:r>
        <w:rPr>
          <w:snapToGrid w:val="0"/>
        </w:rPr>
        <w:t>(d)</w:t>
      </w:r>
      <w:r>
        <w:rPr>
          <w:snapToGrid w:val="0"/>
        </w:rPr>
        <w:tab/>
        <w:t xml:space="preserve">The master of a ship shall be released from the obligation imposed by paragraph (a) of this Regulation, and if his ship has been requisitioned, from the obligation imposed by paragraph (b) of this Regulation, if he is </w:t>
      </w:r>
      <w:r>
        <w:rPr>
          <w:snapToGrid w:val="0"/>
        </w:rPr>
        <w:lastRenderedPageBreak/>
        <w:t>informed by the persons in distress or by the master of another ship which has reached such persons that assistance is no longer necessary.</w:t>
      </w:r>
    </w:p>
    <w:p>
      <w:pPr>
        <w:pStyle w:val="yMiscellaneousBody"/>
        <w:ind w:left="570" w:hanging="570"/>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rPr>
          <w:b/>
          <w:snapToGrid w:val="0"/>
        </w:rPr>
      </w:pPr>
      <w:r>
        <w:rPr>
          <w:b/>
          <w:bCs/>
        </w:rPr>
        <w:t>Regulation</w:t>
      </w:r>
      <w:r>
        <w:rPr>
          <w:b/>
          <w:snapToGrid w:val="0"/>
        </w:rPr>
        <w:t>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rPr>
          <w:b/>
          <w:snapToGrid w:val="0"/>
        </w:rPr>
      </w:pPr>
      <w:r>
        <w:rPr>
          <w:b/>
          <w:bCs/>
        </w:rPr>
        <w:t>Regulation</w:t>
      </w:r>
      <w:r>
        <w:rPr>
          <w:b/>
          <w:snapToGrid w:val="0"/>
        </w:rPr>
        <w:t> 12</w:t>
      </w:r>
    </w:p>
    <w:p>
      <w:pPr>
        <w:pStyle w:val="yMiscellaneousHeading"/>
        <w:spacing w:before="200"/>
        <w:rPr>
          <w:i/>
          <w:snapToGrid w:val="0"/>
        </w:rPr>
      </w:pPr>
      <w:r>
        <w:rPr>
          <w:i/>
          <w:snapToGrid w:val="0"/>
        </w:rPr>
        <w:t>Shipborne Navigational Equipment</w:t>
      </w:r>
    </w:p>
    <w:p>
      <w:pPr>
        <w:pStyle w:val="yMiscellaneousBody"/>
        <w:spacing w:before="200"/>
        <w:ind w:left="570" w:hanging="570"/>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spacing w:before="200"/>
        <w:ind w:left="570" w:hanging="570"/>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spacing w:before="200"/>
        <w:ind w:left="570" w:hanging="570"/>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spacing w:before="200"/>
        <w:ind w:left="570" w:hanging="570"/>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spacing w:before="200"/>
        <w:ind w:left="570" w:hanging="570"/>
        <w:rPr>
          <w:snapToGrid w:val="0"/>
        </w:rPr>
      </w:pPr>
      <w:r>
        <w:rPr>
          <w:snapToGrid w:val="0"/>
        </w:rPr>
        <w:lastRenderedPageBreak/>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spacing w:before="200"/>
        <w:ind w:left="570" w:hanging="570"/>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rPr>
          <w:b/>
          <w:snapToGrid w:val="0"/>
        </w:rPr>
      </w:pPr>
      <w:r>
        <w:rPr>
          <w:b/>
          <w:bCs/>
        </w:rPr>
        <w:t>Regulation</w:t>
      </w:r>
      <w:r>
        <w:rPr>
          <w:b/>
          <w:snapToGrid w:val="0"/>
        </w:rPr>
        <w:t> 13</w:t>
      </w:r>
    </w:p>
    <w:p>
      <w:pPr>
        <w:pStyle w:val="yMiscellaneousHeading"/>
        <w:keepLines/>
        <w:rPr>
          <w:i/>
          <w:snapToGrid w:val="0"/>
        </w:rPr>
      </w:pPr>
      <w:r>
        <w:rPr>
          <w:i/>
          <w:snapToGrid w:val="0"/>
        </w:rPr>
        <w:t>Manning</w:t>
      </w:r>
    </w:p>
    <w:p>
      <w:pPr>
        <w:pStyle w:val="yMiscellaneousBody"/>
        <w:keepNext/>
        <w:keepLines/>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rPr>
          <w:b/>
          <w:snapToGrid w:val="0"/>
        </w:rPr>
      </w:pPr>
      <w:r>
        <w:rPr>
          <w:b/>
          <w:bCs/>
        </w:rPr>
        <w:t>Regulation</w:t>
      </w:r>
      <w:r>
        <w:rPr>
          <w:b/>
          <w:snapToGrid w:val="0"/>
        </w:rPr>
        <w:t>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rPr>
          <w:b/>
          <w:snapToGrid w:val="0"/>
        </w:rPr>
      </w:pPr>
      <w:r>
        <w:rPr>
          <w:b/>
          <w:bCs/>
        </w:rPr>
        <w:t>Regulation</w:t>
      </w:r>
      <w:r>
        <w:rPr>
          <w:b/>
          <w:snapToGrid w:val="0"/>
        </w:rPr>
        <w:t> 15</w:t>
      </w:r>
    </w:p>
    <w:p>
      <w:pPr>
        <w:pStyle w:val="yMiscellaneousHeading"/>
        <w:spacing w:before="240"/>
        <w:rPr>
          <w:i/>
          <w:snapToGrid w:val="0"/>
        </w:rPr>
      </w:pPr>
      <w:r>
        <w:rPr>
          <w:i/>
          <w:snapToGrid w:val="0"/>
        </w:rPr>
        <w:t>Search and Rescue</w:t>
      </w:r>
    </w:p>
    <w:p>
      <w:pPr>
        <w:pStyle w:val="yMiscellaneousBody"/>
        <w:ind w:left="570" w:hanging="570"/>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ind w:left="570" w:hanging="570"/>
        <w:rPr>
          <w:snapToGrid w:val="0"/>
        </w:rPr>
      </w:pPr>
      <w:r>
        <w:rPr>
          <w:snapToGrid w:val="0"/>
        </w:rPr>
        <w:lastRenderedPageBreak/>
        <w:t>(b)</w:t>
      </w:r>
      <w:r>
        <w:rPr>
          <w:snapToGrid w:val="0"/>
        </w:rPr>
        <w:tab/>
        <w:t>Each Contracting Government undertakes to make available information concerning its existing rescue facilities and the plans for changes therein, if any.</w:t>
      </w:r>
    </w:p>
    <w:p>
      <w:pPr>
        <w:pStyle w:val="yMiscellaneousHeading"/>
        <w:rPr>
          <w:b/>
          <w:snapToGrid w:val="0"/>
        </w:rPr>
      </w:pPr>
      <w:r>
        <w:rPr>
          <w:b/>
          <w:bCs/>
        </w:rPr>
        <w:t>Regulation</w:t>
      </w:r>
      <w:r>
        <w:rPr>
          <w:b/>
          <w:snapToGrid w:val="0"/>
        </w:rPr>
        <w:t>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tabs>
          <w:tab w:val="clear" w:pos="1332"/>
          <w:tab w:val="clear" w:pos="1616"/>
          <w:tab w:val="right" w:pos="1026"/>
        </w:tabs>
        <w:ind w:left="1311" w:hanging="1311"/>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z w:val="16"/>
                <w:szCs w:val="16"/>
              </w:rPr>
            </w:pPr>
            <w:r>
              <w:rPr>
                <w:i/>
                <w:sz w:val="16"/>
                <w:szCs w:val="16"/>
              </w:rPr>
              <w:t>Signal</w:t>
            </w:r>
          </w:p>
        </w:tc>
        <w:tc>
          <w:tcPr>
            <w:tcW w:w="425" w:type="dxa"/>
          </w:tcPr>
          <w:p>
            <w:pPr>
              <w:pStyle w:val="yTableNAm"/>
              <w:rPr>
                <w:sz w:val="16"/>
                <w:szCs w:val="16"/>
              </w:rPr>
            </w:pPr>
          </w:p>
        </w:tc>
        <w:tc>
          <w:tcPr>
            <w:tcW w:w="1985" w:type="dxa"/>
          </w:tcPr>
          <w:p>
            <w:pPr>
              <w:pStyle w:val="yTableNAm"/>
              <w:jc w:val="center"/>
              <w:rPr>
                <w:i/>
                <w:sz w:val="16"/>
                <w:szCs w:val="16"/>
              </w:rPr>
            </w:pPr>
            <w:r>
              <w:rPr>
                <w:i/>
                <w:sz w:val="16"/>
                <w:szCs w:val="16"/>
              </w:rPr>
              <w:t>Signification</w:t>
            </w:r>
          </w:p>
        </w:tc>
      </w:tr>
      <w:tr>
        <w:tc>
          <w:tcPr>
            <w:tcW w:w="3544" w:type="dxa"/>
          </w:tcPr>
          <w:p>
            <w:pPr>
              <w:pStyle w:val="yTableNAm"/>
              <w:rPr>
                <w:sz w:val="16"/>
                <w:szCs w:val="16"/>
              </w:rPr>
            </w:pPr>
            <w:r>
              <w:rPr>
                <w:i/>
                <w:sz w:val="16"/>
                <w:szCs w:val="16"/>
              </w:rPr>
              <w:t>By day</w:t>
            </w:r>
            <w:r>
              <w:rPr>
                <w:sz w:val="16"/>
                <w:szCs w:val="16"/>
              </w:rPr>
              <w:t xml:space="preserve"> </w:t>
            </w:r>
            <w:r>
              <w:rPr>
                <w:sz w:val="16"/>
                <w:szCs w:val="16"/>
              </w:rPr>
              <w:noBreakHyphen/>
              <w:t xml:space="preserve"> Orange smoke signal or combined light and sound signal (thunder</w:t>
            </w:r>
            <w:r>
              <w:rPr>
                <w:sz w:val="16"/>
                <w:szCs w:val="16"/>
              </w:rPr>
              <w:noBreakHyphen/>
              <w:t>light) consisting of three single signals which are fired at intervals of approximately one minute.</w:t>
            </w:r>
          </w:p>
          <w:p>
            <w:pPr>
              <w:pStyle w:val="yTableNAm"/>
              <w:spacing w:before="0"/>
              <w:rPr>
                <w:sz w:val="16"/>
                <w:szCs w:val="16"/>
              </w:rPr>
            </w:pPr>
          </w:p>
          <w:p>
            <w:pPr>
              <w:pStyle w:val="yTableNAm"/>
              <w:rPr>
                <w:sz w:val="16"/>
                <w:szCs w:val="16"/>
              </w:rPr>
            </w:pPr>
            <w:r>
              <w:rPr>
                <w:i/>
                <w:sz w:val="16"/>
                <w:szCs w:val="16"/>
              </w:rPr>
              <w:t>By night</w:t>
            </w:r>
            <w:r>
              <w:rPr>
                <w:sz w:val="16"/>
                <w:szCs w:val="16"/>
              </w:rPr>
              <w:t xml:space="preserve"> </w:t>
            </w:r>
            <w:r>
              <w:rPr>
                <w:sz w:val="16"/>
                <w:szCs w:val="16"/>
              </w:rPr>
              <w:noBreakHyphen/>
              <w:t xml:space="preserve"> White star rocket consisting of three single signals which are fired at intervals of approximately one minute.</w:t>
            </w:r>
          </w:p>
        </w:tc>
        <w:tc>
          <w:tcPr>
            <w:tcW w:w="425" w:type="dxa"/>
          </w:tcPr>
          <w:p>
            <w:pPr>
              <w:pStyle w:val="yTableNAm"/>
              <w:rPr>
                <w:sz w:val="16"/>
                <w:szCs w:val="16"/>
              </w:rPr>
            </w:pPr>
            <w:r>
              <w:rPr>
                <w:noProof/>
                <w:sz w:val="16"/>
                <w:szCs w:val="16"/>
              </w:rPr>
              <w:drawing>
                <wp:inline distT="0" distB="0" distL="0" distR="0">
                  <wp:extent cx="127000" cy="9144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914400"/>
                          </a:xfrm>
                          <a:prstGeom prst="rect">
                            <a:avLst/>
                          </a:prstGeom>
                          <a:noFill/>
                          <a:ln>
                            <a:noFill/>
                          </a:ln>
                        </pic:spPr>
                      </pic:pic>
                    </a:graphicData>
                  </a:graphic>
                </wp:inline>
              </w:drawing>
            </w:r>
          </w:p>
        </w:tc>
        <w:tc>
          <w:tcPr>
            <w:tcW w:w="1985" w:type="dxa"/>
          </w:tcPr>
          <w:p>
            <w:pPr>
              <w:pStyle w:val="yTableNAm"/>
              <w:rPr>
                <w:sz w:val="16"/>
                <w:szCs w:val="16"/>
              </w:rPr>
            </w:pPr>
            <w:r>
              <w:rPr>
                <w:sz w:val="16"/>
                <w:szCs w:val="16"/>
              </w:rPr>
              <w:t xml:space="preserve">“You are seen </w:t>
            </w:r>
            <w:r>
              <w:rPr>
                <w:sz w:val="16"/>
                <w:szCs w:val="16"/>
              </w:rPr>
              <w:noBreakHyphen/>
              <w:t xml:space="preserve"> assistance will be given as soon as possible.”</w:t>
            </w:r>
          </w:p>
          <w:p>
            <w:pPr>
              <w:pStyle w:val="yTableNAm"/>
              <w:spacing w:before="0"/>
              <w:rPr>
                <w:sz w:val="16"/>
                <w:szCs w:val="16"/>
              </w:rPr>
            </w:pPr>
          </w:p>
          <w:p>
            <w:pPr>
              <w:pStyle w:val="yTableNAm"/>
              <w:spacing w:before="0"/>
              <w:rPr>
                <w:sz w:val="16"/>
                <w:szCs w:val="16"/>
              </w:rPr>
            </w:pPr>
          </w:p>
          <w:p>
            <w:pPr>
              <w:pStyle w:val="yTableNAm"/>
              <w:spacing w:before="80"/>
              <w:rPr>
                <w:sz w:val="16"/>
                <w:szCs w:val="16"/>
              </w:rPr>
            </w:pPr>
            <w:r>
              <w:rPr>
                <w:sz w:val="16"/>
                <w:szCs w:val="16"/>
              </w:rPr>
              <w:t>(Repetition of such signals shall have the same meaning.)</w:t>
            </w:r>
          </w:p>
        </w:tc>
      </w:tr>
    </w:tbl>
    <w:p>
      <w:pPr>
        <w:pStyle w:val="yIndenta"/>
        <w:tabs>
          <w:tab w:val="clear" w:pos="1332"/>
          <w:tab w:val="clear" w:pos="1616"/>
          <w:tab w:val="right" w:pos="1026"/>
        </w:tabs>
        <w:ind w:left="1311" w:hanging="1311"/>
      </w:pPr>
      <w:r>
        <w:tab/>
      </w:r>
      <w:r>
        <w:tab/>
        <w:t>If necessary the day signals may be given at night or the night signals by day.</w:t>
      </w:r>
    </w:p>
    <w:p>
      <w:pPr>
        <w:pStyle w:val="yIndenta"/>
        <w:tabs>
          <w:tab w:val="clear" w:pos="1332"/>
          <w:tab w:val="clear" w:pos="1616"/>
          <w:tab w:val="right" w:pos="1026"/>
        </w:tabs>
        <w:ind w:left="1311" w:hanging="1311"/>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pacing w:val="-2"/>
                <w:sz w:val="16"/>
                <w:szCs w:val="16"/>
              </w:rPr>
            </w:pPr>
            <w:r>
              <w:rPr>
                <w:i/>
                <w:sz w:val="16"/>
                <w:szCs w:val="16"/>
              </w:rPr>
              <w:t>Signal</w:t>
            </w:r>
          </w:p>
        </w:tc>
        <w:tc>
          <w:tcPr>
            <w:tcW w:w="425" w:type="dxa"/>
          </w:tcPr>
          <w:p>
            <w:pPr>
              <w:pStyle w:val="yTableNAm"/>
              <w:jc w:val="center"/>
              <w:rPr>
                <w:i/>
                <w:spacing w:val="-2"/>
                <w:sz w:val="16"/>
                <w:szCs w:val="16"/>
              </w:rPr>
            </w:pPr>
          </w:p>
        </w:tc>
        <w:tc>
          <w:tcPr>
            <w:tcW w:w="1985" w:type="dxa"/>
          </w:tcPr>
          <w:p>
            <w:pPr>
              <w:pStyle w:val="yTableNAm"/>
              <w:jc w:val="center"/>
              <w:rPr>
                <w:i/>
                <w:spacing w:val="-2"/>
                <w:sz w:val="16"/>
                <w:szCs w:val="16"/>
              </w:rPr>
            </w:pPr>
            <w:r>
              <w:rPr>
                <w:i/>
                <w:sz w:val="16"/>
                <w:szCs w:val="16"/>
              </w:rPr>
              <w:t>Signification</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 xml:space="preserve">signal or </w:t>
            </w:r>
            <w:r>
              <w:rPr>
                <w:sz w:val="16"/>
                <w:szCs w:val="16"/>
              </w:rPr>
              <w:t>signalling</w:t>
            </w:r>
            <w:r>
              <w:rPr>
                <w:spacing w:val="-2"/>
                <w:sz w:val="16"/>
                <w:szCs w:val="16"/>
              </w:rPr>
              <w:t xml:space="preserve">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of a green star</w:t>
            </w:r>
            <w:r>
              <w:rPr>
                <w:spacing w:val="-2"/>
                <w:sz w:val="16"/>
                <w:szCs w:val="16"/>
              </w:rPr>
              <w:noBreakHyphen/>
            </w:r>
            <w:r>
              <w:rPr>
                <w:sz w:val="16"/>
                <w:szCs w:val="16"/>
              </w:rPr>
              <w:t>signal</w:t>
            </w:r>
            <w:r>
              <w:rPr>
                <w:spacing w:val="-2"/>
                <w:sz w:val="16"/>
                <w:szCs w:val="16"/>
              </w:rPr>
              <w:t xml:space="preserve"> or signalling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  A range (indication of direction) may be given by placing a steady white light or flare at a lower level and in line with the observer.</w:t>
            </w:r>
          </w:p>
        </w:tc>
        <w:tc>
          <w:tcPr>
            <w:tcW w:w="425" w:type="dxa"/>
          </w:tcPr>
          <w:p>
            <w:pPr>
              <w:pStyle w:val="yTableNAm"/>
              <w:rPr>
                <w:spacing w:val="-2"/>
                <w:sz w:val="16"/>
                <w:szCs w:val="16"/>
              </w:rPr>
            </w:pPr>
            <w:r>
              <w:rPr>
                <w:noProof/>
                <w:sz w:val="16"/>
                <w:szCs w:val="16"/>
              </w:rPr>
              <w:drawing>
                <wp:inline distT="0" distB="0" distL="0" distR="0">
                  <wp:extent cx="127000" cy="1176655"/>
                  <wp:effectExtent l="0" t="0" r="635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117665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spacing w:before="0"/>
              <w:rPr>
                <w:sz w:val="16"/>
                <w:szCs w:val="16"/>
              </w:rPr>
            </w:pPr>
            <w:r>
              <w:rPr>
                <w:sz w:val="16"/>
                <w:szCs w:val="16"/>
              </w:rPr>
              <w:t>“This is the best place to land.”</w:t>
            </w:r>
          </w:p>
        </w:tc>
      </w:tr>
      <w:tr>
        <w:tc>
          <w:tcPr>
            <w:tcW w:w="3544" w:type="dxa"/>
          </w:tcPr>
          <w:p>
            <w:pPr>
              <w:pStyle w:val="yTableNAm"/>
              <w:rPr>
                <w:spacing w:val="-2"/>
                <w:sz w:val="16"/>
                <w:szCs w:val="16"/>
              </w:rPr>
            </w:pPr>
            <w:r>
              <w:rPr>
                <w:i/>
                <w:spacing w:val="-2"/>
                <w:sz w:val="16"/>
                <w:szCs w:val="16"/>
              </w:rPr>
              <w:lastRenderedPageBreak/>
              <w:t>By day</w:t>
            </w:r>
            <w:r>
              <w:rPr>
                <w:spacing w:val="-2"/>
                <w:sz w:val="16"/>
                <w:szCs w:val="16"/>
              </w:rPr>
              <w:t xml:space="preserve"> </w:t>
            </w:r>
            <w:r>
              <w:rPr>
                <w:spacing w:val="-2"/>
                <w:sz w:val="16"/>
                <w:szCs w:val="16"/>
              </w:rPr>
              <w:noBreakHyphen/>
              <w:t xml:space="preserve"> Horizontal motion of a white flag or arms extended </w:t>
            </w:r>
            <w:r>
              <w:rPr>
                <w:sz w:val="16"/>
                <w:szCs w:val="16"/>
              </w:rPr>
              <w:t>horizontally</w:t>
            </w:r>
            <w:r>
              <w:rPr>
                <w:spacing w:val="-2"/>
                <w:sz w:val="16"/>
                <w:szCs w:val="16"/>
              </w:rPr>
              <w:t xml:space="preserve"> or firing of a red star</w:t>
            </w:r>
            <w:r>
              <w:rPr>
                <w:spacing w:val="-2"/>
                <w:sz w:val="16"/>
                <w:szCs w:val="16"/>
              </w:rPr>
              <w:noBreakHyphen/>
              <w:t xml:space="preserve">signal or signalling </w:t>
            </w:r>
            <w:r>
              <w:rPr>
                <w:sz w:val="16"/>
                <w:szCs w:val="16"/>
              </w:rPr>
              <w:t>the</w:t>
            </w:r>
            <w:r>
              <w:rPr>
                <w:spacing w:val="-2"/>
                <w:sz w:val="16"/>
                <w:szCs w:val="16"/>
              </w:rPr>
              <w:t xml:space="preserve"> code letter “S” (...)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r>
            <w:r>
              <w:rPr>
                <w:sz w:val="16"/>
                <w:szCs w:val="16"/>
              </w:rPr>
              <w:t>signal</w:t>
            </w:r>
            <w:r>
              <w:rPr>
                <w:spacing w:val="-2"/>
                <w:sz w:val="16"/>
                <w:szCs w:val="16"/>
              </w:rPr>
              <w:t xml:space="preserve"> or signalling the code letter “S” (...) given by light or sound</w:t>
            </w:r>
            <w:r>
              <w:rPr>
                <w:spacing w:val="-2"/>
                <w:sz w:val="16"/>
                <w:szCs w:val="16"/>
              </w:rPr>
              <w:noBreakHyphen/>
              <w:t>signal apparatus.</w:t>
            </w:r>
          </w:p>
        </w:tc>
        <w:tc>
          <w:tcPr>
            <w:tcW w:w="425" w:type="dxa"/>
          </w:tcPr>
          <w:p>
            <w:pPr>
              <w:pStyle w:val="yTableNAm"/>
              <w:rPr>
                <w:sz w:val="16"/>
                <w:szCs w:val="16"/>
              </w:rPr>
            </w:pPr>
            <w:r>
              <w:rPr>
                <w:noProof/>
                <w:sz w:val="16"/>
                <w:szCs w:val="16"/>
              </w:rPr>
              <w:drawing>
                <wp:inline distT="0" distB="0" distL="0" distR="0">
                  <wp:extent cx="127000" cy="9461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94615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w:t>
            </w:r>
            <w:r>
              <w:rPr>
                <w:sz w:val="16"/>
                <w:szCs w:val="16"/>
              </w:rPr>
              <w:t>Landing</w:t>
            </w:r>
            <w:r>
              <w:rPr>
                <w:spacing w:val="-2"/>
                <w:sz w:val="16"/>
                <w:szCs w:val="16"/>
              </w:rPr>
              <w:t xml:space="preserve"> here highly dangerous.”</w:t>
            </w:r>
          </w:p>
        </w:tc>
      </w:tr>
      <w:tr>
        <w:tc>
          <w:tcPr>
            <w:tcW w:w="3544" w:type="dxa"/>
          </w:tcPr>
          <w:p>
            <w:pPr>
              <w:pStyle w:val="yTableNAm"/>
              <w:rPr>
                <w:spacing w:val="-2"/>
                <w:sz w:val="16"/>
                <w:szCs w:val="16"/>
              </w:rPr>
            </w:pPr>
            <w:r>
              <w:rPr>
                <w:i/>
                <w:spacing w:val="-2"/>
                <w:sz w:val="16"/>
                <w:szCs w:val="16"/>
              </w:rPr>
              <w:t xml:space="preserve">By day </w:t>
            </w:r>
            <w:r>
              <w:rPr>
                <w:i/>
                <w:spacing w:val="-2"/>
                <w:sz w:val="16"/>
                <w:szCs w:val="16"/>
              </w:rPr>
              <w:noBreakHyphen/>
            </w:r>
            <w:r>
              <w:rPr>
                <w:spacing w:val="-2"/>
                <w:sz w:val="16"/>
                <w:szCs w:val="16"/>
              </w:rPr>
              <w:t xml:space="preserve">  Horizontal motion of a white flag, followed by the </w:t>
            </w:r>
            <w:r>
              <w:rPr>
                <w:sz w:val="16"/>
                <w:szCs w:val="16"/>
              </w:rPr>
              <w:t>placing</w:t>
            </w:r>
            <w:r>
              <w:rPr>
                <w:spacing w:val="-2"/>
                <w:sz w:val="16"/>
                <w:szCs w:val="16"/>
              </w:rPr>
              <w:t xml:space="preserve"> of the white flag in the ground and the carrying of another white flag in the direction to be </w:t>
            </w:r>
            <w:r>
              <w:rPr>
                <w:sz w:val="16"/>
                <w:szCs w:val="16"/>
              </w:rPr>
              <w:t>indicated</w:t>
            </w:r>
            <w:r>
              <w:rPr>
                <w:spacing w:val="-2"/>
                <w:sz w:val="16"/>
                <w:szCs w:val="16"/>
              </w:rPr>
              <w:t xml:space="preserve"> or </w:t>
            </w:r>
            <w:r>
              <w:rPr>
                <w:sz w:val="16"/>
                <w:szCs w:val="16"/>
              </w:rPr>
              <w:t>firing</w:t>
            </w:r>
            <w:r>
              <w:rPr>
                <w:spacing w:val="-2"/>
                <w:sz w:val="16"/>
                <w:szCs w:val="16"/>
              </w:rPr>
              <w:t xml:space="preserve"> of a red star</w:t>
            </w:r>
            <w:r>
              <w:rPr>
                <w:spacing w:val="-2"/>
                <w:sz w:val="16"/>
                <w:szCs w:val="16"/>
              </w:rPr>
              <w:noBreakHyphen/>
              <w:t xml:space="preserve">signal vertically and a </w:t>
            </w:r>
            <w:r>
              <w:rPr>
                <w:sz w:val="16"/>
                <w:szCs w:val="16"/>
              </w:rPr>
              <w:t>white</w:t>
            </w:r>
            <w:r>
              <w:rPr>
                <w:spacing w:val="-2"/>
                <w:sz w:val="16"/>
                <w:szCs w:val="16"/>
              </w:rPr>
              <w:t xml:space="preserve"> star</w:t>
            </w:r>
            <w:r>
              <w:rPr>
                <w:spacing w:val="-2"/>
                <w:sz w:val="16"/>
                <w:szCs w:val="16"/>
              </w:rPr>
              <w:noBreakHyphen/>
              <w:t>signal in the direction towards the better landing place or signalling the code letter “S” (...) followed by the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3277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132778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r>
              <w:rPr>
                <w:sz w:val="16"/>
                <w:szCs w:val="16"/>
              </w:rPr>
              <w:t>“Landing here highly dangerous.  A more favourable location for landing is in the direction indicated.”</w:t>
            </w:r>
          </w:p>
        </w:tc>
      </w:tr>
      <w:tr>
        <w:tc>
          <w:tcPr>
            <w:tcW w:w="3544" w:type="dxa"/>
          </w:tcPr>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szCs w:val="16"/>
              </w:rPr>
              <w:noBreakHyphen/>
              <w:t>signal vertically and a white star</w:t>
            </w:r>
            <w:r>
              <w:rPr>
                <w:spacing w:val="-2"/>
                <w:sz w:val="16"/>
                <w:szCs w:val="16"/>
              </w:rPr>
              <w:noBreakHyphen/>
              <w:t xml:space="preserve">signal in the direction towards the better landing </w:t>
            </w:r>
            <w:r>
              <w:rPr>
                <w:sz w:val="16"/>
                <w:szCs w:val="16"/>
              </w:rPr>
              <w:t>place</w:t>
            </w:r>
            <w:r>
              <w:rPr>
                <w:spacing w:val="-2"/>
                <w:sz w:val="16"/>
                <w:szCs w:val="16"/>
              </w:rPr>
              <w:t xml:space="preserve"> or signalling the code letter “S” (...) followed by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558290"/>
                  <wp:effectExtent l="0" t="0" r="635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155829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 xml:space="preserve">“Landing here highly </w:t>
            </w:r>
            <w:r>
              <w:rPr>
                <w:sz w:val="16"/>
                <w:szCs w:val="16"/>
              </w:rPr>
              <w:t>dangerous</w:t>
            </w:r>
            <w:r>
              <w:rPr>
                <w:spacing w:val="-2"/>
                <w:sz w:val="16"/>
                <w:szCs w:val="16"/>
              </w:rPr>
              <w:t>.  A more favourable location for landing is in the direction indicated.”</w:t>
            </w:r>
          </w:p>
        </w:tc>
      </w:tr>
    </w:tbl>
    <w:p>
      <w:pPr>
        <w:pStyle w:val="yIndenta"/>
        <w:tabs>
          <w:tab w:val="clear" w:pos="1332"/>
          <w:tab w:val="clear" w:pos="1616"/>
          <w:tab w:val="right" w:pos="1026"/>
        </w:tabs>
        <w:spacing w:before="60"/>
        <w:ind w:left="1310" w:hanging="131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spacing w:before="0"/>
              <w:jc w:val="center"/>
              <w:rPr>
                <w:i/>
                <w:spacing w:val="-2"/>
                <w:sz w:val="16"/>
                <w:szCs w:val="16"/>
              </w:rPr>
            </w:pPr>
            <w:r>
              <w:rPr>
                <w:i/>
                <w:spacing w:val="-2"/>
                <w:sz w:val="16"/>
                <w:szCs w:val="16"/>
              </w:rPr>
              <w:t>Signal</w:t>
            </w:r>
          </w:p>
        </w:tc>
        <w:tc>
          <w:tcPr>
            <w:tcW w:w="425" w:type="dxa"/>
          </w:tcPr>
          <w:p>
            <w:pPr>
              <w:pStyle w:val="yTableNAm"/>
              <w:spacing w:before="0"/>
              <w:jc w:val="center"/>
              <w:rPr>
                <w:i/>
                <w:spacing w:val="-2"/>
                <w:sz w:val="16"/>
                <w:szCs w:val="16"/>
              </w:rPr>
            </w:pPr>
          </w:p>
        </w:tc>
        <w:tc>
          <w:tcPr>
            <w:tcW w:w="1985" w:type="dxa"/>
          </w:tcPr>
          <w:p>
            <w:pPr>
              <w:pStyle w:val="yTableNAm"/>
              <w:spacing w:before="0"/>
              <w:jc w:val="center"/>
              <w:rPr>
                <w:i/>
                <w:spacing w:val="-2"/>
                <w:sz w:val="16"/>
                <w:szCs w:val="16"/>
              </w:rPr>
            </w:pPr>
            <w:r>
              <w:rPr>
                <w:i/>
                <w:spacing w:val="-2"/>
                <w:sz w:val="16"/>
                <w:szCs w:val="16"/>
              </w:rPr>
              <w:t>Signification</w:t>
            </w:r>
          </w:p>
        </w:tc>
      </w:tr>
      <w:tr>
        <w:tc>
          <w:tcPr>
            <w:tcW w:w="3544" w:type="dxa"/>
          </w:tcPr>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or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horizontally or firing of a red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t>signal.</w:t>
            </w:r>
          </w:p>
        </w:tc>
        <w:tc>
          <w:tcPr>
            <w:tcW w:w="425" w:type="dxa"/>
          </w:tcPr>
          <w:p>
            <w:pPr>
              <w:pStyle w:val="yTableNAm"/>
              <w:spacing w:before="0"/>
              <w:rPr>
                <w:spacing w:val="-2"/>
                <w:sz w:val="16"/>
                <w:szCs w:val="16"/>
              </w:rPr>
            </w:pPr>
            <w:r>
              <w:rPr>
                <w:noProof/>
                <w:spacing w:val="-2"/>
                <w:sz w:val="16"/>
                <w:szCs w:val="16"/>
              </w:rPr>
              <w:drawing>
                <wp:inline distT="0" distB="0" distL="0" distR="0">
                  <wp:extent cx="127000" cy="95440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954405"/>
                          </a:xfrm>
                          <a:prstGeom prst="rect">
                            <a:avLst/>
                          </a:prstGeom>
                          <a:noFill/>
                          <a:ln>
                            <a:noFill/>
                          </a:ln>
                        </pic:spPr>
                      </pic:pic>
                    </a:graphicData>
                  </a:graphic>
                </wp:inline>
              </w:drawing>
            </w:r>
          </w:p>
          <w:p>
            <w:pPr>
              <w:pStyle w:val="yTableNAm"/>
              <w:spacing w:before="0"/>
              <w:rPr>
                <w:spacing w:val="-2"/>
                <w:sz w:val="16"/>
                <w:szCs w:val="16"/>
              </w:rPr>
            </w:pPr>
          </w:p>
          <w:p>
            <w:pPr>
              <w:pStyle w:val="yTableNAm"/>
              <w:spacing w:before="0"/>
              <w:rPr>
                <w:spacing w:val="-2"/>
                <w:sz w:val="16"/>
                <w:szCs w:val="16"/>
              </w:rPr>
            </w:pPr>
            <w:r>
              <w:rPr>
                <w:noProof/>
                <w:spacing w:val="-2"/>
                <w:sz w:val="16"/>
                <w:szCs w:val="16"/>
              </w:rPr>
              <w:drawing>
                <wp:inline distT="0" distB="0" distL="0" distR="0">
                  <wp:extent cx="127000" cy="54038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540385"/>
                          </a:xfrm>
                          <a:prstGeom prst="rect">
                            <a:avLst/>
                          </a:prstGeom>
                          <a:noFill/>
                          <a:ln>
                            <a:noFill/>
                          </a:ln>
                        </pic:spPr>
                      </pic:pic>
                    </a:graphicData>
                  </a:graphic>
                </wp:inline>
              </w:drawing>
            </w:r>
          </w:p>
        </w:tc>
        <w:tc>
          <w:tcPr>
            <w:tcW w:w="1985" w:type="dxa"/>
          </w:tcPr>
          <w:p>
            <w:pPr>
              <w:pStyle w:val="yTableNAm"/>
              <w:spacing w:before="0"/>
              <w:rPr>
                <w:spacing w:val="-2"/>
                <w:sz w:val="16"/>
                <w:szCs w:val="16"/>
              </w:rPr>
            </w:pPr>
            <w:r>
              <w:rPr>
                <w:spacing w:val="-2"/>
                <w:sz w:val="16"/>
                <w:szCs w:val="16"/>
              </w:rPr>
              <w:t xml:space="preserve">In general </w:t>
            </w:r>
            <w:r>
              <w:rPr>
                <w:spacing w:val="-2"/>
                <w:sz w:val="16"/>
                <w:szCs w:val="16"/>
              </w:rPr>
              <w:noBreakHyphen/>
              <w:t xml:space="preserve"> “Affirmative.”</w:t>
            </w:r>
          </w:p>
          <w:p>
            <w:pPr>
              <w:pStyle w:val="yTableNAm"/>
              <w:spacing w:before="0"/>
              <w:rPr>
                <w:spacing w:val="-2"/>
                <w:sz w:val="16"/>
                <w:szCs w:val="16"/>
              </w:rPr>
            </w:pPr>
            <w:r>
              <w:rPr>
                <w:spacing w:val="-2"/>
                <w:sz w:val="16"/>
                <w:szCs w:val="16"/>
              </w:rPr>
              <w:t>Specifically:</w:t>
            </w:r>
          </w:p>
          <w:p>
            <w:pPr>
              <w:pStyle w:val="yTableNAm"/>
              <w:spacing w:before="0"/>
              <w:rPr>
                <w:spacing w:val="-2"/>
                <w:sz w:val="16"/>
                <w:szCs w:val="16"/>
              </w:rPr>
            </w:pPr>
            <w:r>
              <w:rPr>
                <w:spacing w:val="-2"/>
                <w:sz w:val="16"/>
                <w:szCs w:val="16"/>
              </w:rPr>
              <w:t>“Rocket line is held.”</w:t>
            </w:r>
          </w:p>
          <w:p>
            <w:pPr>
              <w:pStyle w:val="yTableNAm"/>
              <w:spacing w:before="0"/>
              <w:rPr>
                <w:spacing w:val="-2"/>
                <w:sz w:val="16"/>
                <w:szCs w:val="16"/>
              </w:rPr>
            </w:pPr>
            <w:r>
              <w:rPr>
                <w:spacing w:val="-2"/>
                <w:sz w:val="16"/>
                <w:szCs w:val="16"/>
              </w:rPr>
              <w:t>“Tail block is made fast.”</w:t>
            </w:r>
          </w:p>
          <w:p>
            <w:pPr>
              <w:pStyle w:val="yTableNAm"/>
              <w:spacing w:before="0"/>
              <w:rPr>
                <w:spacing w:val="-2"/>
                <w:sz w:val="16"/>
                <w:szCs w:val="16"/>
              </w:rPr>
            </w:pPr>
            <w:r>
              <w:rPr>
                <w:spacing w:val="-2"/>
                <w:sz w:val="16"/>
                <w:szCs w:val="16"/>
              </w:rPr>
              <w:t>“Hawser is made fast.”</w:t>
            </w:r>
          </w:p>
          <w:p>
            <w:pPr>
              <w:pStyle w:val="yTableNAm"/>
              <w:spacing w:before="0"/>
              <w:rPr>
                <w:spacing w:val="-2"/>
                <w:sz w:val="16"/>
                <w:szCs w:val="16"/>
              </w:rPr>
            </w:pPr>
            <w:r>
              <w:rPr>
                <w:spacing w:val="-2"/>
                <w:sz w:val="16"/>
                <w:szCs w:val="16"/>
              </w:rPr>
              <w:t>“Man is in the breeches buoy.”</w:t>
            </w:r>
          </w:p>
          <w:p>
            <w:pPr>
              <w:pStyle w:val="yTableNAm"/>
              <w:spacing w:before="0"/>
              <w:rPr>
                <w:spacing w:val="-2"/>
                <w:sz w:val="16"/>
                <w:szCs w:val="16"/>
              </w:rPr>
            </w:pPr>
            <w:r>
              <w:rPr>
                <w:spacing w:val="-2"/>
                <w:sz w:val="16"/>
                <w:szCs w:val="16"/>
              </w:rPr>
              <w:t>“Haul away.”</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spacing w:val="-2"/>
                <w:sz w:val="16"/>
                <w:szCs w:val="16"/>
              </w:rPr>
              <w:t xml:space="preserve">In general </w:t>
            </w:r>
            <w:r>
              <w:rPr>
                <w:spacing w:val="-2"/>
                <w:sz w:val="16"/>
                <w:szCs w:val="16"/>
              </w:rPr>
              <w:noBreakHyphen/>
              <w:t xml:space="preserve"> “Negative.”</w:t>
            </w:r>
          </w:p>
          <w:p>
            <w:pPr>
              <w:pStyle w:val="yTableNAm"/>
              <w:spacing w:before="0"/>
              <w:rPr>
                <w:spacing w:val="-2"/>
                <w:sz w:val="16"/>
                <w:szCs w:val="16"/>
              </w:rPr>
            </w:pPr>
            <w:r>
              <w:rPr>
                <w:spacing w:val="-2"/>
                <w:sz w:val="16"/>
                <w:szCs w:val="16"/>
              </w:rPr>
              <w:t>Specifically: “Slack away.”</w:t>
            </w:r>
          </w:p>
          <w:p>
            <w:pPr>
              <w:pStyle w:val="yTableNAm"/>
              <w:spacing w:before="0"/>
              <w:rPr>
                <w:spacing w:val="-2"/>
                <w:sz w:val="16"/>
                <w:szCs w:val="16"/>
              </w:rPr>
            </w:pPr>
            <w:r>
              <w:rPr>
                <w:spacing w:val="-2"/>
                <w:sz w:val="16"/>
                <w:szCs w:val="16"/>
              </w:rPr>
              <w:t>“Avast hauling.”</w:t>
            </w:r>
          </w:p>
        </w:tc>
      </w:tr>
    </w:tbl>
    <w:p>
      <w:pPr>
        <w:pStyle w:val="yIndenta"/>
        <w:tabs>
          <w:tab w:val="clear" w:pos="1332"/>
          <w:tab w:val="clear" w:pos="1616"/>
          <w:tab w:val="right" w:pos="1026"/>
        </w:tabs>
        <w:spacing w:before="60"/>
        <w:ind w:left="1310" w:hanging="1310"/>
        <w:rPr>
          <w:snapToGrid w:val="0"/>
        </w:rPr>
      </w:pPr>
      <w:r>
        <w:rPr>
          <w:snapToGrid w:val="0"/>
        </w:rPr>
        <w:lastRenderedPageBreak/>
        <w:tab/>
        <w:t>(d)</w:t>
      </w:r>
      <w:r>
        <w:rPr>
          <w:snapToGrid w:val="0"/>
        </w:rPr>
        <w:tab/>
        <w:t>Signals used by aircraft engaged on search and rescue operations to direct ships towards an aircraft, ship or person in distress (see explanatory Note below):</w:t>
      </w:r>
    </w:p>
    <w:p>
      <w:pPr>
        <w:pStyle w:val="yIndenti0"/>
        <w:tabs>
          <w:tab w:val="clear" w:pos="2041"/>
          <w:tab w:val="clear" w:pos="2325"/>
          <w:tab w:val="right" w:pos="1710"/>
        </w:tabs>
        <w:spacing w:before="60"/>
        <w:ind w:left="1995" w:hanging="1995"/>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0"/>
        <w:tabs>
          <w:tab w:val="clear" w:pos="2041"/>
          <w:tab w:val="clear" w:pos="2325"/>
          <w:tab w:val="right" w:pos="2508"/>
        </w:tabs>
        <w:spacing w:before="60"/>
        <w:ind w:left="2793" w:hanging="2793"/>
        <w:rPr>
          <w:snapToGrid w:val="0"/>
        </w:rPr>
      </w:pPr>
      <w:r>
        <w:rPr>
          <w:snapToGrid w:val="0"/>
        </w:rPr>
        <w:tab/>
        <w:t>(1)</w:t>
      </w:r>
      <w:r>
        <w:rPr>
          <w:snapToGrid w:val="0"/>
        </w:rPr>
        <w:tab/>
        <w:t>circling the surface craft at least once;</w:t>
      </w:r>
    </w:p>
    <w:p>
      <w:pPr>
        <w:pStyle w:val="yIndenti0"/>
        <w:tabs>
          <w:tab w:val="clear" w:pos="2041"/>
          <w:tab w:val="clear" w:pos="2325"/>
          <w:tab w:val="right" w:pos="2508"/>
        </w:tabs>
        <w:ind w:left="2793" w:hanging="2793"/>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0"/>
        <w:tabs>
          <w:tab w:val="clear" w:pos="2041"/>
          <w:tab w:val="clear" w:pos="2325"/>
          <w:tab w:val="right" w:pos="2508"/>
        </w:tabs>
        <w:ind w:left="2793" w:hanging="2793"/>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rPr>
          <w:b/>
          <w:snapToGrid w:val="0"/>
        </w:rPr>
      </w:pPr>
      <w:r>
        <w:rPr>
          <w:b/>
          <w:bCs/>
        </w:rPr>
        <w:t>Regulation</w:t>
      </w:r>
      <w:r>
        <w:rPr>
          <w:b/>
          <w:snapToGrid w:val="0"/>
        </w:rPr>
        <w:t>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Pilot Ladders</w:t>
      </w:r>
    </w:p>
    <w:p>
      <w:pPr>
        <w:pStyle w:val="yIndenti0"/>
        <w:tabs>
          <w:tab w:val="clear" w:pos="2041"/>
          <w:tab w:val="clear" w:pos="2325"/>
          <w:tab w:val="right" w:pos="1710"/>
        </w:tabs>
        <w:ind w:left="1995" w:hanging="1995"/>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tabs>
          <w:tab w:val="clear" w:pos="2041"/>
          <w:tab w:val="clear" w:pos="2325"/>
          <w:tab w:val="right" w:pos="1710"/>
        </w:tabs>
        <w:ind w:left="1995" w:hanging="1995"/>
        <w:rPr>
          <w:snapToGrid w:val="0"/>
        </w:rPr>
      </w:pPr>
      <w:r>
        <w:rPr>
          <w:snapToGrid w:val="0"/>
        </w:rPr>
        <w:tab/>
        <w:t>(ii)</w:t>
      </w:r>
      <w:r>
        <w:rPr>
          <w:snapToGrid w:val="0"/>
        </w:rPr>
        <w:tab/>
        <w:t xml:space="preserve">The ladder shall be secured in a position so that it is clear from any possible discharges from the ship, that each step rests firmly against the ship’s side, that it is clear so far as is practicable of the finer lines of the ship and that the </w:t>
      </w:r>
      <w:r>
        <w:rPr>
          <w:snapToGrid w:val="0"/>
        </w:rPr>
        <w:lastRenderedPageBreak/>
        <w:t>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tabs>
          <w:tab w:val="clear" w:pos="2041"/>
          <w:tab w:val="clear" w:pos="2325"/>
          <w:tab w:val="right" w:pos="1710"/>
        </w:tabs>
        <w:ind w:left="1995" w:hanging="1995"/>
        <w:rPr>
          <w:snapToGrid w:val="0"/>
        </w:rPr>
      </w:pPr>
      <w:r>
        <w:rPr>
          <w:snapToGrid w:val="0"/>
        </w:rPr>
        <w:tab/>
        <w:t>(iii)</w:t>
      </w:r>
      <w:r>
        <w:rPr>
          <w:snapToGrid w:val="0"/>
        </w:rPr>
        <w:tab/>
        <w:t>The steps of the pilot ladder shall be:</w:t>
      </w:r>
    </w:p>
    <w:p>
      <w:pPr>
        <w:pStyle w:val="yIndenti0"/>
        <w:tabs>
          <w:tab w:val="clear" w:pos="2041"/>
          <w:tab w:val="clear" w:pos="2325"/>
          <w:tab w:val="right" w:pos="2508"/>
        </w:tabs>
        <w:ind w:left="2793" w:hanging="2793"/>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0"/>
        <w:tabs>
          <w:tab w:val="clear" w:pos="2041"/>
          <w:tab w:val="clear" w:pos="2325"/>
          <w:tab w:val="right" w:pos="2508"/>
        </w:tabs>
        <w:ind w:left="2793" w:hanging="2793"/>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0"/>
        <w:tabs>
          <w:tab w:val="clear" w:pos="2041"/>
          <w:tab w:val="clear" w:pos="2325"/>
          <w:tab w:val="right" w:pos="2508"/>
        </w:tabs>
        <w:ind w:left="2793" w:hanging="2793"/>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tabs>
          <w:tab w:val="clear" w:pos="2041"/>
          <w:tab w:val="clear" w:pos="2325"/>
          <w:tab w:val="right" w:pos="1710"/>
        </w:tabs>
        <w:ind w:left="1995" w:hanging="1995"/>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tabs>
          <w:tab w:val="clear" w:pos="2041"/>
          <w:tab w:val="clear" w:pos="2325"/>
          <w:tab w:val="right" w:pos="1710"/>
        </w:tabs>
        <w:ind w:left="1995" w:hanging="1995"/>
        <w:rPr>
          <w:snapToGrid w:val="0"/>
        </w:rPr>
      </w:pPr>
      <w:r>
        <w:rPr>
          <w:snapToGrid w:val="0"/>
        </w:rPr>
        <w:tab/>
        <w:t>(v)</w:t>
      </w:r>
      <w:r>
        <w:rPr>
          <w:snapToGrid w:val="0"/>
        </w:rPr>
        <w:tab/>
        <w:t xml:space="preserve">The side ropes of the ladder shall consist of two uncovered manila ropes not less than 60 millimetres </w:t>
      </w:r>
      <w:r>
        <w:rPr>
          <w:snapToGrid w:val="0"/>
        </w:rPr>
        <w:lastRenderedPageBreak/>
        <w:t>(2¼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tabs>
          <w:tab w:val="clear" w:pos="2041"/>
          <w:tab w:val="clear" w:pos="2325"/>
          <w:tab w:val="right" w:pos="1710"/>
        </w:tabs>
        <w:ind w:left="1995" w:hanging="1995"/>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tabs>
          <w:tab w:val="clear" w:pos="2041"/>
          <w:tab w:val="clear" w:pos="2325"/>
          <w:tab w:val="right" w:pos="1710"/>
        </w:tabs>
        <w:ind w:left="1995" w:hanging="1995"/>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tabs>
          <w:tab w:val="clear" w:pos="2041"/>
          <w:tab w:val="clear" w:pos="2325"/>
          <w:tab w:val="right" w:pos="1710"/>
        </w:tabs>
        <w:ind w:left="1995" w:hanging="1995"/>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tabs>
          <w:tab w:val="clear" w:pos="2041"/>
          <w:tab w:val="clear" w:pos="2325"/>
          <w:tab w:val="right" w:pos="1710"/>
        </w:tabs>
        <w:ind w:left="1995" w:hanging="1995"/>
        <w:rPr>
          <w:snapToGrid w:val="0"/>
        </w:rPr>
      </w:pPr>
      <w:r>
        <w:rPr>
          <w:snapToGrid w:val="0"/>
        </w:rPr>
        <w:tab/>
        <w:t>(ix)</w:t>
      </w:r>
      <w:r>
        <w:rPr>
          <w:snapToGrid w:val="0"/>
        </w:rPr>
        <w:tab/>
        <w:t>Means shall be provided to enable the pilot ladder to be used on either side of the ship.</w:t>
      </w:r>
    </w:p>
    <w:p>
      <w:pPr>
        <w:pStyle w:val="yIndenti0"/>
        <w:tabs>
          <w:tab w:val="clear" w:pos="2041"/>
          <w:tab w:val="clear" w:pos="2325"/>
          <w:tab w:val="right" w:pos="1710"/>
        </w:tabs>
        <w:ind w:left="1995" w:hanging="1995"/>
        <w:rPr>
          <w:snapToGrid w:val="0"/>
        </w:rPr>
      </w:pPr>
      <w:r>
        <w:rPr>
          <w:snapToGrid w:val="0"/>
        </w:rPr>
        <w:lastRenderedPageBreak/>
        <w:tab/>
        <w:t>(x)</w:t>
      </w:r>
      <w:r>
        <w:rPr>
          <w:snapToGrid w:val="0"/>
        </w:rPr>
        <w:tab/>
        <w:t>The rigging of the ladder and the embarkation and disembarkation of a pilot shall be supervised by a responsible officer of the ship.</w:t>
      </w:r>
    </w:p>
    <w:p>
      <w:pPr>
        <w:pStyle w:val="yIndenti0"/>
        <w:tabs>
          <w:tab w:val="clear" w:pos="2041"/>
          <w:tab w:val="clear" w:pos="2325"/>
          <w:tab w:val="right" w:pos="1710"/>
        </w:tabs>
        <w:ind w:left="1995" w:hanging="1995"/>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keepNext/>
        <w:tabs>
          <w:tab w:val="clear" w:pos="1332"/>
          <w:tab w:val="clear" w:pos="1616"/>
          <w:tab w:val="right" w:pos="1026"/>
        </w:tabs>
        <w:ind w:left="1311" w:hanging="1311"/>
        <w:rPr>
          <w:snapToGrid w:val="0"/>
        </w:rPr>
      </w:pPr>
      <w:r>
        <w:rPr>
          <w:snapToGrid w:val="0"/>
        </w:rPr>
        <w:tab/>
        <w:t>(b)</w:t>
      </w:r>
      <w:r>
        <w:rPr>
          <w:snapToGrid w:val="0"/>
        </w:rPr>
        <w:tab/>
      </w:r>
      <w:r>
        <w:rPr>
          <w:i/>
          <w:snapToGrid w:val="0"/>
        </w:rPr>
        <w:t>Mechanical Pilot Hoists</w:t>
      </w:r>
    </w:p>
    <w:p>
      <w:pPr>
        <w:pStyle w:val="yIndenti0"/>
        <w:tabs>
          <w:tab w:val="clear" w:pos="2041"/>
          <w:tab w:val="clear" w:pos="2325"/>
          <w:tab w:val="right" w:pos="1710"/>
        </w:tabs>
        <w:ind w:left="1995" w:hanging="1995"/>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tabs>
          <w:tab w:val="clear" w:pos="2041"/>
          <w:tab w:val="clear" w:pos="2325"/>
          <w:tab w:val="right" w:pos="1710"/>
        </w:tabs>
        <w:ind w:left="1995" w:hanging="1995"/>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rPr>
          <w:b/>
          <w:snapToGrid w:val="0"/>
        </w:rPr>
      </w:pPr>
      <w:r>
        <w:rPr>
          <w:b/>
          <w:bCs/>
        </w:rPr>
        <w:t>Regulation</w:t>
      </w:r>
      <w:r>
        <w:rPr>
          <w:b/>
          <w:snapToGrid w:val="0"/>
        </w:rPr>
        <w:t>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rPr>
          <w:b/>
          <w:snapToGrid w:val="0"/>
        </w:rPr>
      </w:pPr>
      <w:r>
        <w:rPr>
          <w:b/>
          <w:bCs/>
        </w:rPr>
        <w:t>Regulation</w:t>
      </w:r>
      <w:r>
        <w:rPr>
          <w:b/>
          <w:snapToGrid w:val="0"/>
        </w:rPr>
        <w:t> 19</w:t>
      </w:r>
    </w:p>
    <w:p>
      <w:pPr>
        <w:pStyle w:val="yMiscellaneousHeading"/>
        <w:rPr>
          <w:i/>
          <w:snapToGrid w:val="0"/>
        </w:rPr>
      </w:pPr>
      <w:r>
        <w:rPr>
          <w:i/>
          <w:snapToGrid w:val="0"/>
        </w:rPr>
        <w:t>Use of the Automatic Pilot</w:t>
      </w:r>
    </w:p>
    <w:p>
      <w:pPr>
        <w:pStyle w:val="yMiscellaneousBody"/>
        <w:ind w:left="570" w:hanging="570"/>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ind w:left="570" w:hanging="570"/>
        <w:rPr>
          <w:snapToGrid w:val="0"/>
        </w:rPr>
      </w:pPr>
      <w:r>
        <w:rPr>
          <w:snapToGrid w:val="0"/>
        </w:rPr>
        <w:lastRenderedPageBreak/>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ind w:left="570" w:hanging="570"/>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rPr>
          <w:b/>
          <w:snapToGrid w:val="0"/>
        </w:rPr>
      </w:pPr>
      <w:r>
        <w:rPr>
          <w:b/>
          <w:bCs/>
        </w:rPr>
        <w:t>Regulation</w:t>
      </w:r>
      <w:r>
        <w:rPr>
          <w:b/>
          <w:snapToGrid w:val="0"/>
        </w:rPr>
        <w:t>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rPr>
          <w:snapToGrid w:val="0"/>
        </w:rPr>
      </w:pPr>
      <w:r>
        <w:rPr>
          <w:b/>
          <w:bCs/>
        </w:rPr>
        <w:t>Regulation</w:t>
      </w:r>
      <w:r>
        <w:rPr>
          <w:b/>
          <w:snapToGrid w:val="0"/>
        </w:rPr>
        <w:t>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538" w:name="_Toc153377376"/>
      <w:bookmarkStart w:id="539" w:name="_Toc153544923"/>
      <w:bookmarkStart w:id="540" w:name="_Toc153796526"/>
      <w:bookmarkStart w:id="541" w:name="_Toc153887674"/>
      <w:r>
        <w:rPr>
          <w:rStyle w:val="CharSchNo"/>
        </w:rPr>
        <w:lastRenderedPageBreak/>
        <w:t>Schedule 5</w:t>
      </w:r>
      <w:r>
        <w:t> — </w:t>
      </w:r>
      <w:r>
        <w:rPr>
          <w:rStyle w:val="CharSchText"/>
        </w:rPr>
        <w:t>1978 Protocol relating to Safety Convention</w:t>
      </w:r>
      <w:bookmarkEnd w:id="538"/>
      <w:bookmarkEnd w:id="539"/>
      <w:bookmarkEnd w:id="540"/>
      <w:bookmarkEnd w:id="541"/>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PROTOCOL OF 1978 RELATING TO THE 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r>
        <w:rPr>
          <w:snapToGrid w:val="0"/>
        </w:rPr>
        <w:t>ARTICLE 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ind w:left="570" w:hanging="570"/>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ind w:left="570" w:hanging="570"/>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 xml:space="preserve">Governmental Maritime Consultative </w:t>
      </w:r>
      <w:r>
        <w:rPr>
          <w:snapToGrid w:val="0"/>
        </w:rPr>
        <w:lastRenderedPageBreak/>
        <w:t>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 xml:space="preserve">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w:t>
      </w:r>
      <w:r>
        <w:rPr>
          <w:snapToGrid w:val="0"/>
        </w:rPr>
        <w:lastRenderedPageBreak/>
        <w:t>Protocol shall not enter into force before the Convention has entered into force.</w:t>
      </w:r>
    </w:p>
    <w:p>
      <w:pPr>
        <w:pStyle w:val="yMiscellaneousBody"/>
        <w:ind w:left="570" w:hanging="570"/>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ind w:left="570" w:hanging="570"/>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ind w:left="570" w:hanging="570"/>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ind w:left="570" w:hanging="570"/>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Depositary</w:t>
      </w:r>
    </w:p>
    <w:p>
      <w:pPr>
        <w:pStyle w:val="yMiscellaneousBody"/>
        <w:ind w:left="570" w:hanging="570"/>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ind w:left="570" w:hanging="570"/>
        <w:rPr>
          <w:snapToGrid w:val="0"/>
        </w:rPr>
      </w:pPr>
      <w:r>
        <w:rPr>
          <w:snapToGrid w:val="0"/>
        </w:rPr>
        <w:t>2.</w:t>
      </w:r>
      <w:r>
        <w:rPr>
          <w:snapToGrid w:val="0"/>
        </w:rPr>
        <w:tab/>
        <w:t>The Depositary shall:</w:t>
      </w:r>
    </w:p>
    <w:p>
      <w:pPr>
        <w:pStyle w:val="yIndenta"/>
        <w:tabs>
          <w:tab w:val="clear" w:pos="1332"/>
          <w:tab w:val="clear" w:pos="1616"/>
          <w:tab w:val="right" w:pos="1026"/>
        </w:tabs>
        <w:ind w:left="1311" w:hanging="1311"/>
        <w:rPr>
          <w:snapToGrid w:val="0"/>
        </w:rPr>
      </w:pPr>
      <w:r>
        <w:rPr>
          <w:snapToGrid w:val="0"/>
        </w:rPr>
        <w:tab/>
        <w:t>(a)</w:t>
      </w:r>
      <w:r>
        <w:rPr>
          <w:snapToGrid w:val="0"/>
        </w:rPr>
        <w:tab/>
        <w:t>Inform all States which have signed the present Protocol or acceded thereto of:</w:t>
      </w:r>
    </w:p>
    <w:p>
      <w:pPr>
        <w:pStyle w:val="yIndenti0"/>
        <w:tabs>
          <w:tab w:val="clear" w:pos="2041"/>
          <w:tab w:val="clear" w:pos="2325"/>
          <w:tab w:val="right" w:pos="1710"/>
        </w:tabs>
        <w:ind w:left="1995" w:hanging="1995"/>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tabs>
          <w:tab w:val="clear" w:pos="2041"/>
          <w:tab w:val="clear" w:pos="2325"/>
          <w:tab w:val="right" w:pos="1710"/>
        </w:tabs>
        <w:ind w:left="1995" w:hanging="1995"/>
        <w:rPr>
          <w:snapToGrid w:val="0"/>
        </w:rPr>
      </w:pPr>
      <w:r>
        <w:rPr>
          <w:snapToGrid w:val="0"/>
        </w:rPr>
        <w:lastRenderedPageBreak/>
        <w:tab/>
        <w:t>(ii)</w:t>
      </w:r>
      <w:r>
        <w:rPr>
          <w:snapToGrid w:val="0"/>
        </w:rPr>
        <w:tab/>
        <w:t>the date of entry into force of the present Protocol;</w:t>
      </w:r>
    </w:p>
    <w:p>
      <w:pPr>
        <w:pStyle w:val="yIndenti0"/>
        <w:tabs>
          <w:tab w:val="clear" w:pos="2041"/>
          <w:tab w:val="clear" w:pos="2325"/>
          <w:tab w:val="right" w:pos="1710"/>
        </w:tabs>
        <w:ind w:left="1995" w:hanging="1995"/>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tabs>
          <w:tab w:val="clear" w:pos="1332"/>
          <w:tab w:val="clear" w:pos="1616"/>
          <w:tab w:val="right" w:pos="1026"/>
        </w:tabs>
        <w:ind w:left="1311" w:hanging="1311"/>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ind w:left="570" w:hanging="570"/>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outlineLvl w:val="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r>
        <w:rPr>
          <w:b/>
          <w:snapToGrid w:val="0"/>
        </w:rPr>
        <w:lastRenderedPageBreak/>
        <w:t>CHAPTER V</w:t>
      </w:r>
    </w:p>
    <w:p>
      <w:pPr>
        <w:pStyle w:val="yMiscellaneousHeading"/>
        <w:spacing w:before="140"/>
        <w:rPr>
          <w:snapToGrid w:val="0"/>
        </w:rPr>
      </w:pPr>
      <w:r>
        <w:rPr>
          <w:snapToGrid w:val="0"/>
        </w:rPr>
        <w:t>SAFETY OF NAVIGATION</w:t>
      </w:r>
    </w:p>
    <w:p>
      <w:pPr>
        <w:pStyle w:val="yMiscellaneousHeading"/>
        <w:spacing w:before="140"/>
        <w:rPr>
          <w:b/>
          <w:snapToGrid w:val="0"/>
        </w:rPr>
      </w:pPr>
      <w:r>
        <w:rPr>
          <w:b/>
          <w:snapToGrid w:val="0"/>
        </w:rPr>
        <w:t>Regulation 12</w:t>
      </w:r>
    </w:p>
    <w:p>
      <w:pPr>
        <w:pStyle w:val="yMiscellaneousHeading"/>
        <w:spacing w:before="140"/>
        <w:rPr>
          <w:i/>
          <w:snapToGrid w:val="0"/>
        </w:rPr>
      </w:pPr>
      <w:r>
        <w:rPr>
          <w:i/>
          <w:snapToGrid w:val="0"/>
        </w:rPr>
        <w:t>Shipborne Navigational Equipment</w:t>
      </w:r>
    </w:p>
    <w:p>
      <w:pPr>
        <w:pStyle w:val="yMiscellaneousBody"/>
        <w:spacing w:before="140"/>
        <w:rPr>
          <w:i/>
          <w:snapToGrid w:val="0"/>
        </w:rPr>
      </w:pPr>
      <w:r>
        <w:rPr>
          <w:i/>
          <w:snapToGrid w:val="0"/>
        </w:rPr>
        <w:t>The existing text of paragraph (</w:t>
      </w:r>
      <w:r>
        <w:rPr>
          <w:snapToGrid w:val="0"/>
        </w:rPr>
        <w:t>a)</w:t>
      </w:r>
      <w:r>
        <w:rPr>
          <w:i/>
          <w:snapToGrid w:val="0"/>
        </w:rPr>
        <w:t xml:space="preserve"> is replaced by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rPr>
          <w:b/>
          <w:bCs/>
        </w:rPr>
      </w:pPr>
      <w:r>
        <w:rPr>
          <w:b/>
          <w:bCs/>
        </w:rPr>
        <w:t>Regulation 19</w:t>
      </w:r>
    </w:p>
    <w:p>
      <w:pPr>
        <w:pStyle w:val="yMiscellaneousHeading"/>
        <w:spacing w:before="140"/>
        <w:rPr>
          <w:i/>
          <w:snapToGrid w:val="0"/>
        </w:rPr>
      </w:pPr>
      <w:r>
        <w:rPr>
          <w:i/>
          <w:snapToGrid w:val="0"/>
        </w:rPr>
        <w:t>Use of the Automatic Pilot</w:t>
      </w:r>
    </w:p>
    <w:p>
      <w:pPr>
        <w:pStyle w:val="yMiscellaneousBody"/>
        <w:spacing w:before="140"/>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rPr>
          <w:snapToGrid w:val="0"/>
        </w:rPr>
      </w:pPr>
      <w:r>
        <w:rPr>
          <w:b/>
          <w:bCs/>
        </w:rPr>
        <w:t>Regulation</w:t>
      </w:r>
      <w:r>
        <w:rPr>
          <w:b/>
          <w:snapToGrid w:val="0"/>
        </w:rPr>
        <w:t> 19</w:t>
      </w:r>
      <w:r>
        <w:rPr>
          <w:b/>
          <w:snapToGrid w:val="0"/>
        </w:rPr>
        <w:noBreakHyphen/>
        <w:t>1</w:t>
      </w:r>
    </w:p>
    <w:p>
      <w:pPr>
        <w:pStyle w:val="yMiscellaneousHeading"/>
        <w:spacing w:before="140"/>
        <w:rPr>
          <w:i/>
          <w:snapToGrid w:val="0"/>
        </w:rPr>
      </w:pPr>
      <w:r>
        <w:rPr>
          <w:i/>
          <w:snapToGrid w:val="0"/>
        </w:rPr>
        <w:t>Operation of Steering Gear</w:t>
      </w:r>
    </w:p>
    <w:p>
      <w:pPr>
        <w:pStyle w:val="yMiscellaneousBody"/>
        <w:spacing w:before="140"/>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rPr>
          <w:b/>
          <w:snapToGrid w:val="0"/>
        </w:rPr>
      </w:pPr>
      <w:r>
        <w:rPr>
          <w:b/>
          <w:bCs/>
        </w:rPr>
        <w:t>Regulations</w:t>
      </w:r>
      <w:r>
        <w:rPr>
          <w:b/>
          <w:snapToGrid w:val="0"/>
        </w:rPr>
        <w:t> 19</w:t>
      </w:r>
      <w:r>
        <w:rPr>
          <w:b/>
          <w:snapToGrid w:val="0"/>
        </w:rPr>
        <w:noBreakHyphen/>
        <w:t>2</w:t>
      </w:r>
    </w:p>
    <w:p>
      <w:pPr>
        <w:pStyle w:val="yMiscellaneousHeading"/>
        <w:spacing w:before="140"/>
        <w:rPr>
          <w:i/>
          <w:snapToGrid w:val="0"/>
        </w:rPr>
      </w:pPr>
      <w:r>
        <w:rPr>
          <w:i/>
          <w:snapToGrid w:val="0"/>
        </w:rPr>
        <w:t>Steering Gear — Testing and Drills</w:t>
      </w:r>
    </w:p>
    <w:p>
      <w:pPr>
        <w:pStyle w:val="yMiscellaneousBody"/>
        <w:spacing w:before="140"/>
        <w:ind w:left="570" w:hanging="570"/>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tabs>
          <w:tab w:val="clear" w:pos="1332"/>
          <w:tab w:val="clear" w:pos="1616"/>
          <w:tab w:val="right" w:pos="1026"/>
        </w:tabs>
        <w:ind w:left="1311" w:hanging="1311"/>
        <w:rPr>
          <w:snapToGrid w:val="0"/>
        </w:rPr>
      </w:pPr>
      <w:r>
        <w:rPr>
          <w:snapToGrid w:val="0"/>
        </w:rPr>
        <w:lastRenderedPageBreak/>
        <w:tab/>
        <w:t>(i)</w:t>
      </w:r>
      <w:r>
        <w:rPr>
          <w:snapToGrid w:val="0"/>
        </w:rPr>
        <w:tab/>
        <w:t>the main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the auxiliary steering gear;</w:t>
      </w:r>
    </w:p>
    <w:p>
      <w:pPr>
        <w:pStyle w:val="yIndenta"/>
        <w:tabs>
          <w:tab w:val="clear" w:pos="1332"/>
          <w:tab w:val="clear" w:pos="1616"/>
          <w:tab w:val="right" w:pos="1026"/>
        </w:tabs>
        <w:ind w:left="1311" w:hanging="1311"/>
        <w:rPr>
          <w:snapToGrid w:val="0"/>
        </w:rPr>
      </w:pPr>
      <w:r>
        <w:rPr>
          <w:snapToGrid w:val="0"/>
        </w:rPr>
        <w:tab/>
        <w:t>(iii)</w:t>
      </w:r>
      <w:r>
        <w:rPr>
          <w:snapToGrid w:val="0"/>
        </w:rPr>
        <w:tab/>
        <w:t>the remote steering gear control systems;</w:t>
      </w:r>
    </w:p>
    <w:p>
      <w:pPr>
        <w:pStyle w:val="yIndenta"/>
        <w:tabs>
          <w:tab w:val="clear" w:pos="1332"/>
          <w:tab w:val="clear" w:pos="1616"/>
          <w:tab w:val="right" w:pos="1026"/>
        </w:tabs>
        <w:ind w:left="1311" w:hanging="1311"/>
        <w:rPr>
          <w:snapToGrid w:val="0"/>
        </w:rPr>
      </w:pPr>
      <w:r>
        <w:rPr>
          <w:snapToGrid w:val="0"/>
        </w:rPr>
        <w:tab/>
        <w:t>(iv)</w:t>
      </w:r>
      <w:r>
        <w:rPr>
          <w:snapToGrid w:val="0"/>
        </w:rPr>
        <w:tab/>
        <w:t>he steering positions located on the navigating bridge;</w:t>
      </w:r>
    </w:p>
    <w:p>
      <w:pPr>
        <w:pStyle w:val="yIndenta"/>
        <w:tabs>
          <w:tab w:val="clear" w:pos="1332"/>
          <w:tab w:val="clear" w:pos="1616"/>
          <w:tab w:val="right" w:pos="1026"/>
        </w:tabs>
        <w:ind w:left="1311" w:hanging="1311"/>
        <w:rPr>
          <w:snapToGrid w:val="0"/>
        </w:rPr>
      </w:pPr>
      <w:r>
        <w:rPr>
          <w:snapToGrid w:val="0"/>
        </w:rPr>
        <w:tab/>
        <w:t>(v)</w:t>
      </w:r>
      <w:r>
        <w:rPr>
          <w:snapToGrid w:val="0"/>
        </w:rPr>
        <w:tab/>
        <w:t>the emergency power supply;</w:t>
      </w:r>
    </w:p>
    <w:p>
      <w:pPr>
        <w:pStyle w:val="yIndenta"/>
        <w:tabs>
          <w:tab w:val="clear" w:pos="1332"/>
          <w:tab w:val="clear" w:pos="1616"/>
          <w:tab w:val="right" w:pos="1026"/>
        </w:tabs>
        <w:ind w:left="1311" w:hanging="1311"/>
        <w:rPr>
          <w:snapToGrid w:val="0"/>
        </w:rPr>
      </w:pPr>
      <w:r>
        <w:rPr>
          <w:snapToGrid w:val="0"/>
        </w:rPr>
        <w:tab/>
        <w:t>(vi)</w:t>
      </w:r>
      <w:r>
        <w:rPr>
          <w:snapToGrid w:val="0"/>
        </w:rPr>
        <w:tab/>
        <w:t>the rudder angle indicators in relation to the actual position of the rudder;</w:t>
      </w:r>
    </w:p>
    <w:p>
      <w:pPr>
        <w:pStyle w:val="yIndenta"/>
        <w:tabs>
          <w:tab w:val="clear" w:pos="1332"/>
          <w:tab w:val="clear" w:pos="1616"/>
          <w:tab w:val="right" w:pos="1026"/>
        </w:tabs>
        <w:ind w:left="1311" w:hanging="1311"/>
        <w:rPr>
          <w:snapToGrid w:val="0"/>
        </w:rPr>
      </w:pPr>
      <w:r>
        <w:rPr>
          <w:snapToGrid w:val="0"/>
        </w:rPr>
        <w:tab/>
        <w:t>(vii)</w:t>
      </w:r>
      <w:r>
        <w:rPr>
          <w:snapToGrid w:val="0"/>
        </w:rPr>
        <w:tab/>
        <w:t>the remote steering gear control system power failure alarms; and</w:t>
      </w:r>
    </w:p>
    <w:p>
      <w:pPr>
        <w:pStyle w:val="yIndenta"/>
        <w:tabs>
          <w:tab w:val="clear" w:pos="1332"/>
          <w:tab w:val="clear" w:pos="1616"/>
          <w:tab w:val="right" w:pos="1026"/>
        </w:tabs>
        <w:ind w:left="1311" w:hanging="1311"/>
        <w:rPr>
          <w:snapToGrid w:val="0"/>
        </w:rPr>
      </w:pPr>
      <w:r>
        <w:rPr>
          <w:snapToGrid w:val="0"/>
        </w:rPr>
        <w:tab/>
        <w:t>(viii)</w:t>
      </w:r>
      <w:r>
        <w:rPr>
          <w:snapToGrid w:val="0"/>
        </w:rPr>
        <w:tab/>
        <w:t>the steering gear power unit failure alarms.</w:t>
      </w:r>
    </w:p>
    <w:p>
      <w:pPr>
        <w:pStyle w:val="yMiscellaneousBody"/>
        <w:ind w:left="570" w:hanging="570"/>
        <w:rPr>
          <w:snapToGrid w:val="0"/>
        </w:rPr>
      </w:pPr>
      <w:r>
        <w:rPr>
          <w:snapToGrid w:val="0"/>
        </w:rPr>
        <w:t>(b)</w:t>
      </w:r>
      <w:r>
        <w:rPr>
          <w:snapToGrid w:val="0"/>
        </w:rPr>
        <w:tab/>
        <w:t>The checks and tests shall include:</w:t>
      </w:r>
    </w:p>
    <w:p>
      <w:pPr>
        <w:pStyle w:val="yIndenta"/>
        <w:tabs>
          <w:tab w:val="clear" w:pos="1332"/>
          <w:tab w:val="clear" w:pos="1616"/>
          <w:tab w:val="right" w:pos="1026"/>
        </w:tabs>
        <w:ind w:left="1311" w:hanging="1311"/>
        <w:rPr>
          <w:snapToGrid w:val="0"/>
        </w:rPr>
      </w:pPr>
      <w:r>
        <w:rPr>
          <w:snapToGrid w:val="0"/>
        </w:rPr>
        <w:tab/>
        <w:t>(i)</w:t>
      </w:r>
      <w:r>
        <w:rPr>
          <w:snapToGrid w:val="0"/>
        </w:rPr>
        <w:tab/>
        <w:t>the full movement of the rudder according to the required capabilities of the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a visual inspection of the steering gear and its connecting linkage; and</w:t>
      </w:r>
    </w:p>
    <w:p>
      <w:pPr>
        <w:pStyle w:val="yIndenta"/>
        <w:tabs>
          <w:tab w:val="clear" w:pos="1332"/>
          <w:tab w:val="clear" w:pos="1616"/>
          <w:tab w:val="right" w:pos="1026"/>
        </w:tabs>
        <w:ind w:left="1311" w:hanging="1311"/>
        <w:rPr>
          <w:snapToGrid w:val="0"/>
        </w:rPr>
      </w:pPr>
      <w:r>
        <w:rPr>
          <w:snapToGrid w:val="0"/>
        </w:rPr>
        <w:tab/>
        <w:t>(iii)</w:t>
      </w:r>
      <w:r>
        <w:rPr>
          <w:snapToGrid w:val="0"/>
        </w:rPr>
        <w:tab/>
        <w:t>the operation of the means of communication between the navigating bridge and steering gear compartment.</w:t>
      </w:r>
    </w:p>
    <w:p>
      <w:pPr>
        <w:pStyle w:val="yIndenta"/>
        <w:tabs>
          <w:tab w:val="clear" w:pos="1332"/>
          <w:tab w:val="clear" w:pos="1616"/>
          <w:tab w:val="right" w:pos="1026"/>
        </w:tabs>
        <w:ind w:left="1311" w:hanging="1311"/>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tabs>
          <w:tab w:val="clear" w:pos="1332"/>
          <w:tab w:val="clear" w:pos="1616"/>
          <w:tab w:val="right" w:pos="1026"/>
        </w:tabs>
        <w:ind w:left="1311" w:hanging="1311"/>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ind w:left="570" w:hanging="570"/>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ind w:left="570" w:hanging="570"/>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w:t>
      </w:r>
      <w:r>
        <w:rPr>
          <w:snapToGrid w:val="0"/>
          <w:spacing w:val="-2"/>
        </w:rPr>
        <w:lastRenderedPageBreak/>
        <w:t>regularly ply on voyages of short duration. Such ships shall carry out these checks and tests at least once every week.</w:t>
      </w:r>
    </w:p>
    <w:p>
      <w:pPr>
        <w:pStyle w:val="yMiscellaneousBody"/>
        <w:ind w:left="570" w:hanging="570"/>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deleted: No. 24 of 2023 s. 100.]</w:t>
      </w:r>
    </w:p>
    <w:p>
      <w:pPr>
        <w:pStyle w:val="CentredBaseLine"/>
        <w:jc w:val="center"/>
      </w:pPr>
      <w:r>
        <w:rPr>
          <w:noProof/>
        </w:rPr>
        <w:drawing>
          <wp:inline distT="0" distB="0" distL="0" distR="0">
            <wp:extent cx="930275" cy="174625"/>
            <wp:effectExtent l="0" t="0" r="3175"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nHeading2"/>
      </w:pPr>
      <w:bookmarkStart w:id="543" w:name="_Toc153377377"/>
      <w:bookmarkStart w:id="544" w:name="_Toc153544924"/>
      <w:bookmarkStart w:id="545" w:name="_Toc153796527"/>
      <w:bookmarkStart w:id="546" w:name="_Toc153887675"/>
      <w:r>
        <w:lastRenderedPageBreak/>
        <w:t>Notes</w:t>
      </w:r>
      <w:bookmarkEnd w:id="543"/>
      <w:bookmarkEnd w:id="544"/>
      <w:bookmarkEnd w:id="545"/>
      <w:bookmarkEnd w:id="546"/>
    </w:p>
    <w:p>
      <w:pPr>
        <w:pStyle w:val="nStatement"/>
      </w:pPr>
      <w:r>
        <w:t xml:space="preserve">This is a compilation of the </w:t>
      </w:r>
      <w:r>
        <w:rPr>
          <w:i/>
          <w:noProof/>
        </w:rPr>
        <w:t>Western Australian Marine Act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47" w:name="_Toc153887676"/>
      <w:r>
        <w:t>Compilation table</w:t>
      </w:r>
      <w:bookmarkEnd w:id="547"/>
    </w:p>
    <w:tbl>
      <w:tblPr>
        <w:tblW w:w="7123" w:type="dxa"/>
        <w:tblInd w:w="28" w:type="dxa"/>
        <w:tblLayout w:type="fixed"/>
        <w:tblCellMar>
          <w:left w:w="56" w:type="dxa"/>
          <w:right w:w="56" w:type="dxa"/>
        </w:tblCellMar>
        <w:tblLook w:val="0000" w:firstRow="0" w:lastRow="0" w:firstColumn="0" w:lastColumn="0" w:noHBand="0" w:noVBand="0"/>
      </w:tblPr>
      <w:tblGrid>
        <w:gridCol w:w="21"/>
        <w:gridCol w:w="12"/>
        <w:gridCol w:w="2234"/>
        <w:gridCol w:w="22"/>
        <w:gridCol w:w="11"/>
        <w:gridCol w:w="1101"/>
        <w:gridCol w:w="22"/>
        <w:gridCol w:w="11"/>
        <w:gridCol w:w="1104"/>
        <w:gridCol w:w="21"/>
        <w:gridCol w:w="11"/>
        <w:gridCol w:w="2520"/>
        <w:gridCol w:w="20"/>
        <w:gridCol w:w="13"/>
      </w:tblGrid>
      <w:tr>
        <w:trPr>
          <w:gridBefore w:val="1"/>
          <w:gridAfter w:val="1"/>
          <w:wBefore w:w="21" w:type="dxa"/>
          <w:wAfter w:w="13" w:type="dxa"/>
          <w:cantSplit/>
          <w:tblHeader/>
        </w:trPr>
        <w:tc>
          <w:tcPr>
            <w:tcW w:w="2268" w:type="dxa"/>
            <w:gridSpan w:val="3"/>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before="60" w:after="60"/>
              <w:rPr>
                <w:b/>
              </w:rPr>
            </w:pPr>
            <w:r>
              <w:rPr>
                <w:b/>
              </w:rPr>
              <w:t>Commencement</w:t>
            </w:r>
          </w:p>
        </w:tc>
      </w:tr>
      <w:tr>
        <w:trPr>
          <w:gridBefore w:val="1"/>
          <w:gridAfter w:val="1"/>
          <w:wBefore w:w="21" w:type="dxa"/>
          <w:wAfter w:w="13" w:type="dxa"/>
          <w:cantSplit/>
        </w:trPr>
        <w:tc>
          <w:tcPr>
            <w:tcW w:w="2268" w:type="dxa"/>
            <w:gridSpan w:val="3"/>
            <w:tcBorders>
              <w:top w:val="single" w:sz="8" w:space="0" w:color="auto"/>
            </w:tcBorders>
          </w:tcPr>
          <w:p>
            <w:pPr>
              <w:pStyle w:val="nTable"/>
              <w:spacing w:before="60" w:after="60"/>
              <w:ind w:right="113"/>
              <w:rPr>
                <w:iCs/>
              </w:rPr>
            </w:pPr>
            <w:r>
              <w:rPr>
                <w:i/>
              </w:rPr>
              <w:t>Western Australian Marine Act 1982</w:t>
            </w:r>
            <w:r>
              <w:rPr>
                <w:iCs/>
                <w:vertAlign w:val="superscript"/>
              </w:rPr>
              <w:t> 3, 4</w:t>
            </w:r>
          </w:p>
        </w:tc>
        <w:tc>
          <w:tcPr>
            <w:tcW w:w="1134" w:type="dxa"/>
            <w:gridSpan w:val="3"/>
            <w:tcBorders>
              <w:top w:val="single" w:sz="8" w:space="0" w:color="auto"/>
            </w:tcBorders>
          </w:tcPr>
          <w:p>
            <w:pPr>
              <w:pStyle w:val="nTable"/>
              <w:spacing w:before="60" w:after="60"/>
            </w:pPr>
            <w:r>
              <w:t>55 of 1982</w:t>
            </w:r>
          </w:p>
        </w:tc>
        <w:tc>
          <w:tcPr>
            <w:tcW w:w="1136" w:type="dxa"/>
            <w:gridSpan w:val="3"/>
            <w:tcBorders>
              <w:top w:val="single" w:sz="8" w:space="0" w:color="auto"/>
            </w:tcBorders>
          </w:tcPr>
          <w:p>
            <w:pPr>
              <w:pStyle w:val="nTable"/>
              <w:spacing w:before="60" w:after="60"/>
            </w:pPr>
            <w:r>
              <w:t>5 Nov 1982</w:t>
            </w:r>
          </w:p>
        </w:tc>
        <w:tc>
          <w:tcPr>
            <w:tcW w:w="2551" w:type="dxa"/>
            <w:gridSpan w:val="3"/>
            <w:tcBorders>
              <w:top w:val="single" w:sz="8" w:space="0" w:color="auto"/>
            </w:tcBorders>
          </w:tcPr>
          <w:p>
            <w:pPr>
              <w:pStyle w:val="nTable"/>
              <w:spacing w:before="60" w:after="60"/>
            </w:pPr>
            <w:r>
              <w:t xml:space="preserve">1 Jul 1983 (see s. 2 and </w:t>
            </w:r>
            <w:r>
              <w:rPr>
                <w:i/>
              </w:rPr>
              <w:t>Gazette</w:t>
            </w:r>
            <w:r>
              <w:t xml:space="preserve"> 24 Jun 1983 p. 1977)</w:t>
            </w:r>
          </w:p>
        </w:tc>
      </w:tr>
      <w:tr>
        <w:trPr>
          <w:gridBefore w:val="1"/>
          <w:gridAfter w:val="1"/>
          <w:wBefore w:w="21" w:type="dxa"/>
          <w:wAfter w:w="13" w:type="dxa"/>
          <w:cantSplit/>
        </w:trPr>
        <w:tc>
          <w:tcPr>
            <w:tcW w:w="2268" w:type="dxa"/>
            <w:gridSpan w:val="3"/>
          </w:tcPr>
          <w:p>
            <w:pPr>
              <w:pStyle w:val="nTable"/>
              <w:spacing w:before="60" w:after="60"/>
              <w:ind w:right="113"/>
            </w:pPr>
            <w:r>
              <w:rPr>
                <w:i/>
              </w:rPr>
              <w:t>Western Australian Marine Amendment Act 1990</w:t>
            </w:r>
          </w:p>
        </w:tc>
        <w:tc>
          <w:tcPr>
            <w:tcW w:w="1134" w:type="dxa"/>
            <w:gridSpan w:val="3"/>
          </w:tcPr>
          <w:p>
            <w:pPr>
              <w:pStyle w:val="nTable"/>
              <w:spacing w:before="60" w:after="60"/>
            </w:pPr>
            <w:r>
              <w:t>35 of 1990</w:t>
            </w:r>
          </w:p>
        </w:tc>
        <w:tc>
          <w:tcPr>
            <w:tcW w:w="1136" w:type="dxa"/>
            <w:gridSpan w:val="3"/>
          </w:tcPr>
          <w:p>
            <w:pPr>
              <w:pStyle w:val="nTable"/>
              <w:spacing w:before="60" w:after="60"/>
            </w:pPr>
            <w:r>
              <w:t>9 Oct 1990</w:t>
            </w:r>
          </w:p>
        </w:tc>
        <w:tc>
          <w:tcPr>
            <w:tcW w:w="2551" w:type="dxa"/>
            <w:gridSpan w:val="3"/>
          </w:tcPr>
          <w:p>
            <w:pPr>
              <w:pStyle w:val="nTable"/>
              <w:spacing w:before="60" w:after="60"/>
            </w:pPr>
            <w:r>
              <w:t>Act other than s. 4(b) and (d), 6</w:t>
            </w:r>
            <w:r>
              <w:noBreakHyphen/>
              <w:t xml:space="preserve">9, 12 and 21: 9 Jun 1992 (see s. 2 and </w:t>
            </w:r>
            <w:r>
              <w:rPr>
                <w:i/>
              </w:rPr>
              <w:t>Gazette</w:t>
            </w:r>
            <w:r>
              <w:t xml:space="preserve"> 9 Jun 1992 p. 2379); </w:t>
            </w:r>
            <w:r>
              <w:br/>
              <w:t xml:space="preserve">s. 4(b) and 21: 1 Jan 1994 (see s. 2 and </w:t>
            </w:r>
            <w:r>
              <w:rPr>
                <w:i/>
              </w:rPr>
              <w:t>Gazette</w:t>
            </w:r>
            <w:r>
              <w:t xml:space="preserve"> 31 Dec 1993 p. 6861) </w:t>
            </w:r>
          </w:p>
        </w:tc>
      </w:tr>
      <w:tr>
        <w:trPr>
          <w:gridBefore w:val="1"/>
          <w:gridAfter w:val="1"/>
          <w:wBefore w:w="21" w:type="dxa"/>
          <w:wAfter w:w="13" w:type="dxa"/>
          <w:cantSplit/>
        </w:trPr>
        <w:tc>
          <w:tcPr>
            <w:tcW w:w="2268" w:type="dxa"/>
            <w:gridSpan w:val="3"/>
          </w:tcPr>
          <w:p>
            <w:pPr>
              <w:pStyle w:val="nTable"/>
              <w:spacing w:before="60" w:after="60"/>
              <w:ind w:right="113"/>
            </w:pPr>
            <w:r>
              <w:rPr>
                <w:i/>
              </w:rPr>
              <w:t>Financial Administration Legislation Amendment Act 1993</w:t>
            </w:r>
            <w:r>
              <w:t xml:space="preserve"> s. 11</w:t>
            </w:r>
          </w:p>
        </w:tc>
        <w:tc>
          <w:tcPr>
            <w:tcW w:w="1134" w:type="dxa"/>
            <w:gridSpan w:val="3"/>
          </w:tcPr>
          <w:p>
            <w:pPr>
              <w:pStyle w:val="nTable"/>
              <w:spacing w:before="60" w:after="60"/>
            </w:pPr>
            <w:r>
              <w:t>6 of 1993</w:t>
            </w:r>
          </w:p>
        </w:tc>
        <w:tc>
          <w:tcPr>
            <w:tcW w:w="1136" w:type="dxa"/>
            <w:gridSpan w:val="3"/>
          </w:tcPr>
          <w:p>
            <w:pPr>
              <w:pStyle w:val="nTable"/>
              <w:spacing w:before="60" w:after="60"/>
            </w:pPr>
            <w:r>
              <w:t>27 Aug 1993</w:t>
            </w:r>
          </w:p>
        </w:tc>
        <w:tc>
          <w:tcPr>
            <w:tcW w:w="2551" w:type="dxa"/>
            <w:gridSpan w:val="3"/>
          </w:tcPr>
          <w:p>
            <w:pPr>
              <w:pStyle w:val="nTable"/>
              <w:spacing w:before="60" w:after="60"/>
            </w:pPr>
            <w:r>
              <w:t>1 Jul 1993 (see s. 2(1))</w:t>
            </w:r>
          </w:p>
        </w:tc>
      </w:tr>
      <w:tr>
        <w:trPr>
          <w:gridBefore w:val="1"/>
          <w:gridAfter w:val="1"/>
          <w:wBefore w:w="21" w:type="dxa"/>
          <w:wAfter w:w="13" w:type="dxa"/>
          <w:cantSplit/>
        </w:trPr>
        <w:tc>
          <w:tcPr>
            <w:tcW w:w="2268" w:type="dxa"/>
            <w:gridSpan w:val="3"/>
          </w:tcPr>
          <w:p>
            <w:pPr>
              <w:pStyle w:val="nTable"/>
              <w:spacing w:before="60" w:after="60"/>
              <w:ind w:right="113"/>
            </w:pPr>
            <w:r>
              <w:rPr>
                <w:i/>
              </w:rPr>
              <w:t>Acts Amendment (Department of Transport) Act 1993</w:t>
            </w:r>
            <w:r>
              <w:t xml:space="preserve"> Pt. 15</w:t>
            </w:r>
          </w:p>
        </w:tc>
        <w:tc>
          <w:tcPr>
            <w:tcW w:w="1134" w:type="dxa"/>
            <w:gridSpan w:val="3"/>
          </w:tcPr>
          <w:p>
            <w:pPr>
              <w:pStyle w:val="nTable"/>
              <w:spacing w:before="60" w:after="60"/>
            </w:pPr>
            <w:r>
              <w:t>47 of 1993</w:t>
            </w:r>
          </w:p>
        </w:tc>
        <w:tc>
          <w:tcPr>
            <w:tcW w:w="1136" w:type="dxa"/>
            <w:gridSpan w:val="3"/>
          </w:tcPr>
          <w:p>
            <w:pPr>
              <w:pStyle w:val="nTable"/>
              <w:spacing w:before="60" w:after="60"/>
            </w:pPr>
            <w:r>
              <w:t>20 Dec 1993</w:t>
            </w:r>
          </w:p>
        </w:tc>
        <w:tc>
          <w:tcPr>
            <w:tcW w:w="2551" w:type="dxa"/>
            <w:gridSpan w:val="3"/>
          </w:tcPr>
          <w:p>
            <w:pPr>
              <w:pStyle w:val="nTable"/>
              <w:spacing w:before="60" w:after="60"/>
            </w:pPr>
            <w:r>
              <w:t xml:space="preserve">1 Jan 1994 (see s. 2 and </w:t>
            </w:r>
            <w:r>
              <w:rPr>
                <w:i/>
              </w:rPr>
              <w:t>Gazette</w:t>
            </w:r>
            <w:r>
              <w:t xml:space="preserve"> 31 Dec 1993 p. 6861)</w:t>
            </w:r>
          </w:p>
        </w:tc>
      </w:tr>
      <w:tr>
        <w:trPr>
          <w:gridBefore w:val="1"/>
          <w:gridAfter w:val="1"/>
          <w:wBefore w:w="21" w:type="dxa"/>
          <w:wAfter w:w="13" w:type="dxa"/>
          <w:cantSplit/>
        </w:trPr>
        <w:tc>
          <w:tcPr>
            <w:tcW w:w="2268" w:type="dxa"/>
            <w:gridSpan w:val="3"/>
          </w:tcPr>
          <w:p>
            <w:pPr>
              <w:pStyle w:val="nTable"/>
              <w:spacing w:before="60" w:after="60"/>
              <w:ind w:right="113"/>
            </w:pPr>
            <w:r>
              <w:rPr>
                <w:i/>
              </w:rPr>
              <w:t>Acts Amendment (Public Sector Management) Act 1994</w:t>
            </w:r>
            <w:r>
              <w:t xml:space="preserve"> s. 19</w:t>
            </w:r>
          </w:p>
        </w:tc>
        <w:tc>
          <w:tcPr>
            <w:tcW w:w="1134" w:type="dxa"/>
            <w:gridSpan w:val="3"/>
          </w:tcPr>
          <w:p>
            <w:pPr>
              <w:pStyle w:val="nTable"/>
              <w:keepNext/>
              <w:spacing w:before="60" w:after="60"/>
            </w:pPr>
            <w:r>
              <w:t>32 of 1994</w:t>
            </w:r>
          </w:p>
        </w:tc>
        <w:tc>
          <w:tcPr>
            <w:tcW w:w="1136" w:type="dxa"/>
            <w:gridSpan w:val="3"/>
          </w:tcPr>
          <w:p>
            <w:pPr>
              <w:pStyle w:val="nTable"/>
              <w:keepNext/>
              <w:spacing w:before="60" w:after="60"/>
            </w:pPr>
            <w:r>
              <w:t>29 Jun 1994</w:t>
            </w:r>
          </w:p>
        </w:tc>
        <w:tc>
          <w:tcPr>
            <w:tcW w:w="2551" w:type="dxa"/>
            <w:gridSpan w:val="3"/>
          </w:tcPr>
          <w:p>
            <w:pPr>
              <w:pStyle w:val="nTable"/>
              <w:keepNext/>
              <w:spacing w:before="60" w:after="60"/>
            </w:pPr>
            <w:r>
              <w:t xml:space="preserve">1 Oct 1994 (see s. 2 and </w:t>
            </w:r>
            <w:r>
              <w:rPr>
                <w:i/>
              </w:rPr>
              <w:t>Gazette</w:t>
            </w:r>
            <w:r>
              <w:t xml:space="preserve"> 30 Sep 1994 p. 4948)</w:t>
            </w:r>
          </w:p>
        </w:tc>
      </w:tr>
      <w:tr>
        <w:trPr>
          <w:gridBefore w:val="1"/>
          <w:gridAfter w:val="1"/>
          <w:wBefore w:w="21" w:type="dxa"/>
          <w:wAfter w:w="13" w:type="dxa"/>
          <w:cantSplit/>
        </w:trPr>
        <w:tc>
          <w:tcPr>
            <w:tcW w:w="2268" w:type="dxa"/>
            <w:gridSpan w:val="3"/>
          </w:tcPr>
          <w:p>
            <w:pPr>
              <w:pStyle w:val="nTable"/>
              <w:spacing w:before="60" w:after="60"/>
              <w:ind w:right="113"/>
            </w:pPr>
            <w:r>
              <w:rPr>
                <w:i/>
              </w:rPr>
              <w:t>Acts Amendment (Fines, Penalties and Infringement Notices) Act 1994</w:t>
            </w:r>
            <w:r>
              <w:t xml:space="preserve"> Pt. 21</w:t>
            </w:r>
          </w:p>
        </w:tc>
        <w:tc>
          <w:tcPr>
            <w:tcW w:w="1134" w:type="dxa"/>
            <w:gridSpan w:val="3"/>
          </w:tcPr>
          <w:p>
            <w:pPr>
              <w:pStyle w:val="nTable"/>
              <w:spacing w:before="60" w:after="60"/>
            </w:pPr>
            <w:r>
              <w:t>92 of 1994</w:t>
            </w:r>
          </w:p>
        </w:tc>
        <w:tc>
          <w:tcPr>
            <w:tcW w:w="1136" w:type="dxa"/>
            <w:gridSpan w:val="3"/>
          </w:tcPr>
          <w:p>
            <w:pPr>
              <w:pStyle w:val="nTable"/>
              <w:spacing w:before="60" w:after="60"/>
            </w:pPr>
            <w:r>
              <w:t>23 Dec 1994</w:t>
            </w:r>
          </w:p>
        </w:tc>
        <w:tc>
          <w:tcPr>
            <w:tcW w:w="2551" w:type="dxa"/>
            <w:gridSpan w:val="3"/>
          </w:tcPr>
          <w:p>
            <w:pPr>
              <w:pStyle w:val="nTable"/>
              <w:spacing w:before="60" w:after="60"/>
            </w:pPr>
            <w:r>
              <w:t xml:space="preserve">1 Jan 1995 (see s. 2(1) and </w:t>
            </w:r>
            <w:r>
              <w:rPr>
                <w:i/>
                <w:iCs/>
              </w:rPr>
              <w:t>Gazette</w:t>
            </w:r>
            <w:r>
              <w:t xml:space="preserve"> 30 Dec 1994 p. 7211)</w:t>
            </w:r>
          </w:p>
        </w:tc>
      </w:tr>
      <w:tr>
        <w:trPr>
          <w:gridBefore w:val="1"/>
          <w:gridAfter w:val="1"/>
          <w:wBefore w:w="21" w:type="dxa"/>
          <w:wAfter w:w="13" w:type="dxa"/>
          <w:cantSplit/>
        </w:trPr>
        <w:tc>
          <w:tcPr>
            <w:tcW w:w="2268" w:type="dxa"/>
            <w:gridSpan w:val="3"/>
          </w:tcPr>
          <w:p>
            <w:pPr>
              <w:pStyle w:val="nTable"/>
              <w:spacing w:before="60" w:after="60"/>
              <w:ind w:right="113"/>
            </w:pPr>
            <w:r>
              <w:rPr>
                <w:i/>
              </w:rPr>
              <w:t>Sentencing (Consequential Provisions) Act 1995</w:t>
            </w:r>
            <w:r>
              <w:t xml:space="preserve"> Pt. 83 and s. 147</w:t>
            </w:r>
          </w:p>
        </w:tc>
        <w:tc>
          <w:tcPr>
            <w:tcW w:w="1134" w:type="dxa"/>
            <w:gridSpan w:val="3"/>
          </w:tcPr>
          <w:p>
            <w:pPr>
              <w:pStyle w:val="nTable"/>
              <w:spacing w:before="60" w:after="60"/>
            </w:pPr>
            <w:r>
              <w:t>78 of 1995</w:t>
            </w:r>
          </w:p>
        </w:tc>
        <w:tc>
          <w:tcPr>
            <w:tcW w:w="1136" w:type="dxa"/>
            <w:gridSpan w:val="3"/>
          </w:tcPr>
          <w:p>
            <w:pPr>
              <w:pStyle w:val="nTable"/>
              <w:spacing w:before="60" w:after="60"/>
            </w:pPr>
            <w:r>
              <w:t>16 Jan 1996</w:t>
            </w:r>
          </w:p>
        </w:tc>
        <w:tc>
          <w:tcPr>
            <w:tcW w:w="2551" w:type="dxa"/>
            <w:gridSpan w:val="3"/>
          </w:tcPr>
          <w:p>
            <w:pPr>
              <w:pStyle w:val="nTable"/>
              <w:spacing w:before="60" w:after="60"/>
            </w:pPr>
            <w:r>
              <w:t xml:space="preserve">4 Nov 1996 (see s. 2 and </w:t>
            </w:r>
            <w:r>
              <w:rPr>
                <w:i/>
              </w:rPr>
              <w:t>Gazette</w:t>
            </w:r>
            <w:r>
              <w:t xml:space="preserve"> 25 Oct 1996 p. 5632)</w:t>
            </w:r>
          </w:p>
        </w:tc>
      </w:tr>
      <w:tr>
        <w:trPr>
          <w:gridBefore w:val="1"/>
          <w:gridAfter w:val="1"/>
          <w:wBefore w:w="21" w:type="dxa"/>
          <w:wAfter w:w="13" w:type="dxa"/>
          <w:cantSplit/>
        </w:trPr>
        <w:tc>
          <w:tcPr>
            <w:tcW w:w="2268" w:type="dxa"/>
            <w:gridSpan w:val="3"/>
          </w:tcPr>
          <w:p>
            <w:pPr>
              <w:pStyle w:val="nTable"/>
              <w:spacing w:before="60" w:after="60"/>
              <w:ind w:right="113"/>
            </w:pPr>
            <w:r>
              <w:rPr>
                <w:i/>
              </w:rPr>
              <w:t>Financial Legislation Amendment Act 1996</w:t>
            </w:r>
            <w:r>
              <w:t xml:space="preserve"> s. 64</w:t>
            </w:r>
          </w:p>
        </w:tc>
        <w:tc>
          <w:tcPr>
            <w:tcW w:w="1134" w:type="dxa"/>
            <w:gridSpan w:val="3"/>
          </w:tcPr>
          <w:p>
            <w:pPr>
              <w:pStyle w:val="nTable"/>
              <w:spacing w:before="60" w:after="60"/>
            </w:pPr>
            <w:r>
              <w:t>49 of 1996</w:t>
            </w:r>
          </w:p>
        </w:tc>
        <w:tc>
          <w:tcPr>
            <w:tcW w:w="1136" w:type="dxa"/>
            <w:gridSpan w:val="3"/>
          </w:tcPr>
          <w:p>
            <w:pPr>
              <w:pStyle w:val="nTable"/>
              <w:spacing w:before="60" w:after="60"/>
            </w:pPr>
            <w:r>
              <w:t>25 Oct 1996</w:t>
            </w:r>
          </w:p>
        </w:tc>
        <w:tc>
          <w:tcPr>
            <w:tcW w:w="2551" w:type="dxa"/>
            <w:gridSpan w:val="3"/>
          </w:tcPr>
          <w:p>
            <w:pPr>
              <w:pStyle w:val="nTable"/>
              <w:spacing w:before="60" w:after="60"/>
            </w:pPr>
            <w:r>
              <w:t>25 Oct 1996 (see s. 2(1))</w:t>
            </w:r>
          </w:p>
        </w:tc>
      </w:tr>
      <w:tr>
        <w:trPr>
          <w:gridBefore w:val="1"/>
          <w:gridAfter w:val="1"/>
          <w:wBefore w:w="21" w:type="dxa"/>
          <w:wAfter w:w="13" w:type="dxa"/>
          <w:cantSplit/>
        </w:trPr>
        <w:tc>
          <w:tcPr>
            <w:tcW w:w="2268" w:type="dxa"/>
            <w:gridSpan w:val="3"/>
          </w:tcPr>
          <w:p>
            <w:pPr>
              <w:pStyle w:val="nTable"/>
              <w:spacing w:before="60" w:after="60"/>
              <w:ind w:right="113"/>
            </w:pPr>
            <w:r>
              <w:rPr>
                <w:i/>
              </w:rPr>
              <w:lastRenderedPageBreak/>
              <w:t>Statutes (Repeals and Minor Amendments) Act 1997</w:t>
            </w:r>
            <w:r>
              <w:t xml:space="preserve"> s. 130</w:t>
            </w:r>
          </w:p>
        </w:tc>
        <w:tc>
          <w:tcPr>
            <w:tcW w:w="1134" w:type="dxa"/>
            <w:gridSpan w:val="3"/>
          </w:tcPr>
          <w:p>
            <w:pPr>
              <w:pStyle w:val="nTable"/>
              <w:spacing w:before="60" w:after="60"/>
            </w:pPr>
            <w:r>
              <w:t>57 of 1997</w:t>
            </w:r>
          </w:p>
        </w:tc>
        <w:tc>
          <w:tcPr>
            <w:tcW w:w="1136" w:type="dxa"/>
            <w:gridSpan w:val="3"/>
          </w:tcPr>
          <w:p>
            <w:pPr>
              <w:pStyle w:val="nTable"/>
              <w:spacing w:before="60" w:after="60"/>
            </w:pPr>
            <w:r>
              <w:t>15 Dec 1997</w:t>
            </w:r>
          </w:p>
        </w:tc>
        <w:tc>
          <w:tcPr>
            <w:tcW w:w="2551" w:type="dxa"/>
            <w:gridSpan w:val="3"/>
          </w:tcPr>
          <w:p>
            <w:pPr>
              <w:pStyle w:val="nTable"/>
              <w:spacing w:before="60" w:after="60"/>
            </w:pPr>
            <w:r>
              <w:t>15 Dec 1997 (see s. 2(1))</w:t>
            </w:r>
          </w:p>
        </w:tc>
      </w:tr>
      <w:tr>
        <w:trPr>
          <w:gridBefore w:val="1"/>
          <w:gridAfter w:val="1"/>
          <w:wBefore w:w="21" w:type="dxa"/>
          <w:wAfter w:w="13" w:type="dxa"/>
          <w:cantSplit/>
        </w:trPr>
        <w:tc>
          <w:tcPr>
            <w:tcW w:w="7089" w:type="dxa"/>
            <w:gridSpan w:val="12"/>
          </w:tcPr>
          <w:p>
            <w:pPr>
              <w:pStyle w:val="nTable"/>
              <w:spacing w:before="60" w:after="60"/>
            </w:pPr>
            <w:r>
              <w:rPr>
                <w:b/>
                <w:bCs/>
              </w:rPr>
              <w:t xml:space="preserve">Reprint of the </w:t>
            </w:r>
            <w:r>
              <w:rPr>
                <w:b/>
                <w:bCs/>
                <w:i/>
              </w:rPr>
              <w:t>Western Australian Marine Act 1982</w:t>
            </w:r>
            <w:r>
              <w:rPr>
                <w:b/>
                <w:bCs/>
              </w:rPr>
              <w:t xml:space="preserve"> as at 28 Jan 2000</w:t>
            </w:r>
            <w:r>
              <w:t xml:space="preserve"> (includes amendments listed above) </w:t>
            </w:r>
          </w:p>
        </w:tc>
      </w:tr>
      <w:tr>
        <w:trPr>
          <w:gridBefore w:val="1"/>
          <w:gridAfter w:val="1"/>
          <w:wBefore w:w="21" w:type="dxa"/>
          <w:wAfter w:w="13" w:type="dxa"/>
          <w:cantSplit/>
        </w:trPr>
        <w:tc>
          <w:tcPr>
            <w:tcW w:w="2268" w:type="dxa"/>
            <w:gridSpan w:val="3"/>
          </w:tcPr>
          <w:p>
            <w:pPr>
              <w:pStyle w:val="nTable"/>
              <w:spacing w:before="60" w:after="60"/>
              <w:ind w:right="113"/>
            </w:pPr>
            <w:r>
              <w:rPr>
                <w:i/>
              </w:rPr>
              <w:t>Statutes (Repeals and Minor Amendments) Act 2003</w:t>
            </w:r>
            <w:r>
              <w:t xml:space="preserve"> s. 130</w:t>
            </w:r>
          </w:p>
        </w:tc>
        <w:tc>
          <w:tcPr>
            <w:tcW w:w="1134" w:type="dxa"/>
            <w:gridSpan w:val="3"/>
          </w:tcPr>
          <w:p>
            <w:pPr>
              <w:pStyle w:val="nTable"/>
              <w:spacing w:before="60" w:after="60"/>
            </w:pPr>
            <w:r>
              <w:t>74 of 2003</w:t>
            </w:r>
          </w:p>
        </w:tc>
        <w:tc>
          <w:tcPr>
            <w:tcW w:w="1136" w:type="dxa"/>
            <w:gridSpan w:val="3"/>
          </w:tcPr>
          <w:p>
            <w:pPr>
              <w:pStyle w:val="nTable"/>
              <w:spacing w:before="60" w:after="60"/>
            </w:pPr>
            <w:r>
              <w:t>15 Dec 2003</w:t>
            </w:r>
          </w:p>
        </w:tc>
        <w:tc>
          <w:tcPr>
            <w:tcW w:w="2551" w:type="dxa"/>
            <w:gridSpan w:val="3"/>
          </w:tcPr>
          <w:p>
            <w:pPr>
              <w:pStyle w:val="nTable"/>
              <w:spacing w:before="60" w:after="60"/>
            </w:pPr>
            <w:r>
              <w:rPr>
                <w:spacing w:val="-2"/>
              </w:rPr>
              <w:t>15 Dec 2003 (see s. 2)</w:t>
            </w:r>
          </w:p>
        </w:tc>
      </w:tr>
      <w:tr>
        <w:trPr>
          <w:gridBefore w:val="1"/>
          <w:gridAfter w:val="1"/>
          <w:wBefore w:w="21" w:type="dxa"/>
          <w:wAfter w:w="13" w:type="dxa"/>
          <w:cantSplit/>
        </w:trPr>
        <w:tc>
          <w:tcPr>
            <w:tcW w:w="2268" w:type="dxa"/>
            <w:gridSpan w:val="3"/>
          </w:tcPr>
          <w:p>
            <w:pPr>
              <w:pStyle w:val="nTable"/>
              <w:spacing w:before="60" w:after="60"/>
              <w:ind w:right="113"/>
              <w:rPr>
                <w:i/>
              </w:rPr>
            </w:pPr>
            <w:r>
              <w:rPr>
                <w:bCs/>
                <w:i/>
                <w:iCs/>
              </w:rPr>
              <w:t>Dangerous Goods Safety Act 2004</w:t>
            </w:r>
            <w:r>
              <w:rPr>
                <w:bCs/>
                <w:iCs/>
              </w:rPr>
              <w:t xml:space="preserve"> s. 70</w:t>
            </w:r>
          </w:p>
        </w:tc>
        <w:tc>
          <w:tcPr>
            <w:tcW w:w="1134" w:type="dxa"/>
            <w:gridSpan w:val="3"/>
          </w:tcPr>
          <w:p>
            <w:pPr>
              <w:pStyle w:val="nTable"/>
              <w:spacing w:before="60" w:after="60"/>
            </w:pPr>
            <w:r>
              <w:rPr>
                <w:bCs/>
              </w:rPr>
              <w:t>7 of 2004</w:t>
            </w:r>
          </w:p>
        </w:tc>
        <w:tc>
          <w:tcPr>
            <w:tcW w:w="1136" w:type="dxa"/>
            <w:gridSpan w:val="3"/>
          </w:tcPr>
          <w:p>
            <w:pPr>
              <w:pStyle w:val="nTable"/>
              <w:spacing w:before="60" w:after="60"/>
            </w:pPr>
            <w:r>
              <w:rPr>
                <w:bCs/>
              </w:rPr>
              <w:t>10 Jun 2004</w:t>
            </w:r>
          </w:p>
        </w:tc>
        <w:tc>
          <w:tcPr>
            <w:tcW w:w="2551" w:type="dxa"/>
            <w:gridSpan w:val="3"/>
          </w:tcPr>
          <w:p>
            <w:pPr>
              <w:pStyle w:val="nTable"/>
              <w:spacing w:before="60" w:after="60"/>
              <w:rPr>
                <w:spacing w:val="-2"/>
              </w:rPr>
            </w:pPr>
            <w:r>
              <w:rPr>
                <w:bCs/>
                <w:spacing w:val="-2"/>
              </w:rPr>
              <w:t xml:space="preserve">1 Mar 2008 (see s. 2 and </w:t>
            </w:r>
            <w:r>
              <w:rPr>
                <w:bCs/>
                <w:i/>
                <w:iCs/>
                <w:spacing w:val="-2"/>
              </w:rPr>
              <w:t>Gazette</w:t>
            </w:r>
            <w:r>
              <w:rPr>
                <w:bCs/>
                <w:spacing w:val="-2"/>
              </w:rPr>
              <w:t xml:space="preserve"> 29 Feb 2008 p. 669)</w:t>
            </w:r>
          </w:p>
        </w:tc>
      </w:tr>
      <w:tr>
        <w:trPr>
          <w:gridBefore w:val="1"/>
          <w:gridAfter w:val="1"/>
          <w:wBefore w:w="21" w:type="dxa"/>
          <w:wAfter w:w="13" w:type="dxa"/>
          <w:cantSplit/>
        </w:trPr>
        <w:tc>
          <w:tcPr>
            <w:tcW w:w="2268" w:type="dxa"/>
            <w:gridSpan w:val="3"/>
          </w:tcPr>
          <w:p>
            <w:pPr>
              <w:pStyle w:val="nTable"/>
              <w:spacing w:before="60" w:after="60"/>
              <w:ind w:right="113"/>
              <w:rPr>
                <w:i/>
              </w:rPr>
            </w:pPr>
            <w:r>
              <w:rPr>
                <w:i/>
              </w:rPr>
              <w:t xml:space="preserve">Courts Legislation Amendment and Repeal Act 2004 </w:t>
            </w:r>
            <w:r>
              <w:rPr>
                <w:iCs/>
              </w:rPr>
              <w:t>s. 141</w:t>
            </w:r>
          </w:p>
        </w:tc>
        <w:tc>
          <w:tcPr>
            <w:tcW w:w="1134" w:type="dxa"/>
            <w:gridSpan w:val="3"/>
          </w:tcPr>
          <w:p>
            <w:pPr>
              <w:pStyle w:val="nTable"/>
              <w:spacing w:before="60" w:after="60"/>
            </w:pPr>
            <w:r>
              <w:t>59 of 2004</w:t>
            </w:r>
          </w:p>
        </w:tc>
        <w:tc>
          <w:tcPr>
            <w:tcW w:w="1136" w:type="dxa"/>
            <w:gridSpan w:val="3"/>
          </w:tcPr>
          <w:p>
            <w:pPr>
              <w:pStyle w:val="nTable"/>
              <w:spacing w:before="60" w:after="60"/>
            </w:pPr>
            <w:r>
              <w:t>23 Nov 2004</w:t>
            </w:r>
          </w:p>
        </w:tc>
        <w:tc>
          <w:tcPr>
            <w:tcW w:w="2551" w:type="dxa"/>
            <w:gridSpan w:val="3"/>
          </w:tcPr>
          <w:p>
            <w:pPr>
              <w:pStyle w:val="nTable"/>
              <w:spacing w:before="60" w:after="60"/>
              <w:rPr>
                <w:spacing w:val="-2"/>
              </w:rPr>
            </w:pPr>
            <w:r>
              <w:t xml:space="preserve">1 May 2005 (see s. 2 and </w:t>
            </w:r>
            <w:r>
              <w:rPr>
                <w:i/>
                <w:iCs/>
              </w:rPr>
              <w:t>Gazette</w:t>
            </w:r>
            <w:r>
              <w:t xml:space="preserve"> 31 Dec 2004 p. 7128)</w:t>
            </w:r>
          </w:p>
        </w:tc>
      </w:tr>
      <w:tr>
        <w:trPr>
          <w:gridBefore w:val="1"/>
          <w:gridAfter w:val="1"/>
          <w:wBefore w:w="21" w:type="dxa"/>
          <w:wAfter w:w="13" w:type="dxa"/>
          <w:cantSplit/>
        </w:trPr>
        <w:tc>
          <w:tcPr>
            <w:tcW w:w="2268" w:type="dxa"/>
            <w:gridSpan w:val="3"/>
          </w:tcPr>
          <w:p>
            <w:pPr>
              <w:pStyle w:val="nTable"/>
              <w:spacing w:before="60" w:after="60"/>
              <w:ind w:right="113"/>
              <w:rPr>
                <w:i/>
                <w:vertAlign w:val="superscript"/>
              </w:rPr>
            </w:pPr>
            <w:r>
              <w:rPr>
                <w:i/>
              </w:rPr>
              <w:t>State Administrative Tribunal (Conferral of Jurisdiction) Amendment and Repeal Act 2004</w:t>
            </w:r>
            <w:r>
              <w:rPr>
                <w:i/>
                <w:iCs/>
              </w:rPr>
              <w:t xml:space="preserve"> </w:t>
            </w:r>
            <w:r>
              <w:t>Pt. 2 Div. 135</w:t>
            </w:r>
            <w:r>
              <w:rPr>
                <w:vertAlign w:val="superscript"/>
              </w:rPr>
              <w:t> 2</w:t>
            </w:r>
          </w:p>
        </w:tc>
        <w:tc>
          <w:tcPr>
            <w:tcW w:w="1134" w:type="dxa"/>
            <w:gridSpan w:val="3"/>
          </w:tcPr>
          <w:p>
            <w:pPr>
              <w:pStyle w:val="nTable"/>
              <w:spacing w:before="60" w:after="60"/>
            </w:pPr>
            <w:r>
              <w:t>55 of 2004</w:t>
            </w:r>
          </w:p>
        </w:tc>
        <w:tc>
          <w:tcPr>
            <w:tcW w:w="1136" w:type="dxa"/>
            <w:gridSpan w:val="3"/>
          </w:tcPr>
          <w:p>
            <w:pPr>
              <w:pStyle w:val="nTable"/>
              <w:spacing w:before="60" w:after="60"/>
            </w:pPr>
            <w:r>
              <w:t>24 Nov 2004</w:t>
            </w:r>
          </w:p>
        </w:tc>
        <w:tc>
          <w:tcPr>
            <w:tcW w:w="2551" w:type="dxa"/>
            <w:gridSpan w:val="3"/>
          </w:tcPr>
          <w:p>
            <w:pPr>
              <w:pStyle w:val="nTable"/>
              <w:spacing w:before="60" w:after="60"/>
              <w:rPr>
                <w:spacing w:val="-2"/>
              </w:rPr>
            </w:pPr>
            <w:r>
              <w:rPr>
                <w:spacing w:val="-2"/>
              </w:rPr>
              <w:t xml:space="preserve">1 Jan 2005 (see s. 2 and </w:t>
            </w:r>
            <w:r>
              <w:rPr>
                <w:i/>
                <w:iCs/>
                <w:spacing w:val="-2"/>
              </w:rPr>
              <w:t>Gazette</w:t>
            </w:r>
            <w:r>
              <w:rPr>
                <w:spacing w:val="-2"/>
              </w:rPr>
              <w:t xml:space="preserve"> 31 Dec 2004 p. 7130)</w:t>
            </w:r>
          </w:p>
        </w:tc>
      </w:tr>
      <w:tr>
        <w:trPr>
          <w:gridBefore w:val="1"/>
          <w:gridAfter w:val="1"/>
          <w:wBefore w:w="21" w:type="dxa"/>
          <w:wAfter w:w="13" w:type="dxa"/>
          <w:cantSplit/>
        </w:trPr>
        <w:tc>
          <w:tcPr>
            <w:tcW w:w="2268" w:type="dxa"/>
            <w:gridSpan w:val="3"/>
          </w:tcPr>
          <w:p>
            <w:pPr>
              <w:pStyle w:val="nTable"/>
              <w:spacing w:before="60" w:after="60"/>
              <w:ind w:right="113"/>
              <w:rPr>
                <w:i/>
              </w:rPr>
            </w:pPr>
            <w:r>
              <w:rPr>
                <w:i/>
                <w:iCs/>
                <w:snapToGrid w:val="0"/>
              </w:rPr>
              <w:t>Criminal Procedure and Appeals (Consequential and Other Provisions) Act 2004</w:t>
            </w:r>
            <w:r>
              <w:rPr>
                <w:snapToGrid w:val="0"/>
              </w:rPr>
              <w:t xml:space="preserve"> s. 80</w:t>
            </w:r>
          </w:p>
        </w:tc>
        <w:tc>
          <w:tcPr>
            <w:tcW w:w="1134" w:type="dxa"/>
            <w:gridSpan w:val="3"/>
          </w:tcPr>
          <w:p>
            <w:pPr>
              <w:pStyle w:val="nTable"/>
              <w:spacing w:before="60" w:after="60"/>
            </w:pPr>
            <w:r>
              <w:rPr>
                <w:snapToGrid w:val="0"/>
              </w:rPr>
              <w:t>84 of 2004</w:t>
            </w:r>
          </w:p>
        </w:tc>
        <w:tc>
          <w:tcPr>
            <w:tcW w:w="1136" w:type="dxa"/>
            <w:gridSpan w:val="3"/>
          </w:tcPr>
          <w:p>
            <w:pPr>
              <w:pStyle w:val="nTable"/>
              <w:spacing w:before="60" w:after="60"/>
            </w:pPr>
            <w:r>
              <w:t>16 Dec 2004</w:t>
            </w:r>
          </w:p>
        </w:tc>
        <w:tc>
          <w:tcPr>
            <w:tcW w:w="2551" w:type="dxa"/>
            <w:gridSpan w:val="3"/>
          </w:tcPr>
          <w:p>
            <w:pPr>
              <w:pStyle w:val="nTable"/>
              <w:spacing w:before="60" w:after="60"/>
            </w:pPr>
            <w:r>
              <w:t xml:space="preserve">2 May 2005 (see s. 2 and </w:t>
            </w:r>
            <w:r>
              <w:rPr>
                <w:i/>
                <w:iCs/>
              </w:rPr>
              <w:t>Gazette</w:t>
            </w:r>
            <w:r>
              <w:t xml:space="preserve"> 31 Dec 2004 p. 7129 (correction in </w:t>
            </w:r>
            <w:r>
              <w:rPr>
                <w:i/>
                <w:iCs/>
              </w:rPr>
              <w:t>Gazette</w:t>
            </w:r>
            <w:r>
              <w:t xml:space="preserve"> 7 Jan 2005 p. 53))</w:t>
            </w:r>
          </w:p>
        </w:tc>
      </w:tr>
      <w:tr>
        <w:trPr>
          <w:gridBefore w:val="1"/>
          <w:gridAfter w:val="1"/>
          <w:wBefore w:w="21" w:type="dxa"/>
          <w:wAfter w:w="13" w:type="dxa"/>
          <w:cantSplit/>
        </w:trPr>
        <w:tc>
          <w:tcPr>
            <w:tcW w:w="7089" w:type="dxa"/>
            <w:gridSpan w:val="12"/>
          </w:tcPr>
          <w:p>
            <w:pPr>
              <w:pStyle w:val="nTable"/>
              <w:spacing w:before="60" w:after="60"/>
            </w:pPr>
            <w:r>
              <w:rPr>
                <w:b/>
                <w:bCs/>
              </w:rPr>
              <w:t xml:space="preserve">Reprint 2: The </w:t>
            </w:r>
            <w:r>
              <w:rPr>
                <w:b/>
                <w:bCs/>
                <w:i/>
              </w:rPr>
              <w:t>Western Australian Marine Act 1982</w:t>
            </w:r>
            <w:r>
              <w:rPr>
                <w:b/>
                <w:bCs/>
              </w:rPr>
              <w:t xml:space="preserve"> as at 2 Dec 2005</w:t>
            </w:r>
            <w:r>
              <w:t xml:space="preserve"> (includes amendments listed above except those in the </w:t>
            </w:r>
            <w:r>
              <w:rPr>
                <w:bCs/>
                <w:i/>
                <w:iCs/>
              </w:rPr>
              <w:t>Dangerous Goods Safety Act 2004</w:t>
            </w:r>
            <w:r>
              <w:t>)</w:t>
            </w:r>
          </w:p>
        </w:tc>
      </w:tr>
      <w:tr>
        <w:trPr>
          <w:gridBefore w:val="1"/>
          <w:gridAfter w:val="1"/>
          <w:wBefore w:w="21" w:type="dxa"/>
          <w:wAfter w:w="13" w:type="dxa"/>
          <w:cantSplit/>
        </w:trPr>
        <w:tc>
          <w:tcPr>
            <w:tcW w:w="2268" w:type="dxa"/>
            <w:gridSpan w:val="3"/>
          </w:tcPr>
          <w:p>
            <w:pPr>
              <w:pStyle w:val="nTable"/>
              <w:spacing w:before="60" w:after="60"/>
              <w:ind w:right="113"/>
              <w:rPr>
                <w:i/>
              </w:rPr>
            </w:pPr>
            <w:r>
              <w:rPr>
                <w:i/>
              </w:rPr>
              <w:t>Financial Legislation Amendment and Repeal Act 2006</w:t>
            </w:r>
            <w:r>
              <w:rPr>
                <w:iCs/>
              </w:rPr>
              <w:t xml:space="preserve"> s. 4</w:t>
            </w:r>
          </w:p>
        </w:tc>
        <w:tc>
          <w:tcPr>
            <w:tcW w:w="1134" w:type="dxa"/>
            <w:gridSpan w:val="3"/>
          </w:tcPr>
          <w:p>
            <w:pPr>
              <w:pStyle w:val="nTable"/>
              <w:spacing w:before="60" w:after="60"/>
            </w:pPr>
            <w:r>
              <w:t>77 of 2006</w:t>
            </w:r>
          </w:p>
        </w:tc>
        <w:tc>
          <w:tcPr>
            <w:tcW w:w="1136" w:type="dxa"/>
            <w:gridSpan w:val="3"/>
          </w:tcPr>
          <w:p>
            <w:pPr>
              <w:pStyle w:val="nTable"/>
              <w:spacing w:before="60" w:after="60"/>
            </w:pPr>
            <w:r>
              <w:t>21 Dec 2006</w:t>
            </w:r>
          </w:p>
        </w:tc>
        <w:tc>
          <w:tcPr>
            <w:tcW w:w="2551" w:type="dxa"/>
            <w:gridSpan w:val="3"/>
          </w:tcPr>
          <w:p>
            <w:pPr>
              <w:pStyle w:val="nTable"/>
              <w:spacing w:before="60" w:after="60"/>
            </w:pPr>
            <w:r>
              <w:t xml:space="preserve">1 Feb 2007 (see s. 2(1) and </w:t>
            </w:r>
            <w:r>
              <w:rPr>
                <w:i/>
                <w:iCs/>
              </w:rPr>
              <w:t>Gazette</w:t>
            </w:r>
            <w:r>
              <w:t xml:space="preserve"> 19 Jan 2007 p. 137)</w:t>
            </w:r>
          </w:p>
        </w:tc>
      </w:tr>
      <w:tr>
        <w:trPr>
          <w:gridBefore w:val="2"/>
          <w:wBefore w:w="33" w:type="dxa"/>
          <w:cantSplit/>
        </w:trPr>
        <w:tc>
          <w:tcPr>
            <w:tcW w:w="2267" w:type="dxa"/>
            <w:gridSpan w:val="3"/>
          </w:tcPr>
          <w:p>
            <w:pPr>
              <w:pStyle w:val="nTable"/>
              <w:spacing w:before="60" w:after="60"/>
              <w:ind w:right="113"/>
              <w:rPr>
                <w:iCs/>
              </w:rPr>
            </w:pPr>
            <w:r>
              <w:rPr>
                <w:i/>
              </w:rPr>
              <w:t>Statutes (Repeals and Miscellaneous Amendments) Act 2009</w:t>
            </w:r>
            <w:r>
              <w:rPr>
                <w:iCs/>
              </w:rPr>
              <w:t xml:space="preserve"> s. 137</w:t>
            </w:r>
          </w:p>
        </w:tc>
        <w:tc>
          <w:tcPr>
            <w:tcW w:w="1134" w:type="dxa"/>
            <w:gridSpan w:val="3"/>
          </w:tcPr>
          <w:p>
            <w:pPr>
              <w:pStyle w:val="nTable"/>
              <w:spacing w:before="60" w:after="60"/>
            </w:pPr>
            <w:r>
              <w:t xml:space="preserve">8 of 2009 </w:t>
            </w:r>
          </w:p>
        </w:tc>
        <w:tc>
          <w:tcPr>
            <w:tcW w:w="1136" w:type="dxa"/>
            <w:gridSpan w:val="3"/>
          </w:tcPr>
          <w:p>
            <w:pPr>
              <w:pStyle w:val="nTable"/>
              <w:spacing w:before="60" w:after="60"/>
            </w:pPr>
            <w:r>
              <w:t>21 May 2009</w:t>
            </w:r>
          </w:p>
        </w:tc>
        <w:tc>
          <w:tcPr>
            <w:tcW w:w="2553" w:type="dxa"/>
            <w:gridSpan w:val="3"/>
          </w:tcPr>
          <w:p>
            <w:pPr>
              <w:pStyle w:val="nTable"/>
              <w:spacing w:before="60" w:after="60"/>
            </w:pPr>
            <w:r>
              <w:t>22 May 2009 (see s. 2(b))</w:t>
            </w:r>
          </w:p>
        </w:tc>
      </w:tr>
      <w:tr>
        <w:trPr>
          <w:gridBefore w:val="1"/>
          <w:gridAfter w:val="1"/>
          <w:wBefore w:w="21" w:type="dxa"/>
          <w:wAfter w:w="13" w:type="dxa"/>
          <w:cantSplit/>
        </w:trPr>
        <w:tc>
          <w:tcPr>
            <w:tcW w:w="2268" w:type="dxa"/>
            <w:gridSpan w:val="3"/>
          </w:tcPr>
          <w:p>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before="60" w:after="60"/>
              <w:rPr>
                <w:snapToGrid w:val="0"/>
              </w:rPr>
            </w:pPr>
            <w:r>
              <w:rPr>
                <w:snapToGrid w:val="0"/>
              </w:rPr>
              <w:t>19 of 2010</w:t>
            </w:r>
          </w:p>
        </w:tc>
        <w:tc>
          <w:tcPr>
            <w:tcW w:w="1136" w:type="dxa"/>
            <w:gridSpan w:val="3"/>
          </w:tcPr>
          <w:p>
            <w:pPr>
              <w:pStyle w:val="nTable"/>
              <w:spacing w:before="60" w:after="60"/>
              <w:rPr>
                <w:snapToGrid w:val="0"/>
              </w:rPr>
            </w:pPr>
            <w:r>
              <w:rPr>
                <w:snapToGrid w:val="0"/>
              </w:rPr>
              <w:t>28 Jun 2010</w:t>
            </w:r>
          </w:p>
        </w:tc>
        <w:tc>
          <w:tcPr>
            <w:tcW w:w="2551" w:type="dxa"/>
            <w:gridSpan w:val="3"/>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21" w:type="dxa"/>
          <w:wAfter w:w="13" w:type="dxa"/>
          <w:cantSplit/>
        </w:trPr>
        <w:tc>
          <w:tcPr>
            <w:tcW w:w="2268" w:type="dxa"/>
            <w:gridSpan w:val="3"/>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12 Div. 7</w:t>
            </w:r>
          </w:p>
        </w:tc>
        <w:tc>
          <w:tcPr>
            <w:tcW w:w="1134" w:type="dxa"/>
            <w:gridSpan w:val="3"/>
            <w:shd w:val="clear" w:color="auto" w:fill="auto"/>
          </w:tcPr>
          <w:p>
            <w:pPr>
              <w:pStyle w:val="nTable"/>
              <w:spacing w:before="60" w:after="60"/>
              <w:rPr>
                <w:snapToGrid w:val="0"/>
              </w:rPr>
            </w:pPr>
            <w:r>
              <w:rPr>
                <w:snapToGrid w:val="0"/>
              </w:rPr>
              <w:t>42 of 2011</w:t>
            </w:r>
          </w:p>
        </w:tc>
        <w:tc>
          <w:tcPr>
            <w:tcW w:w="1136" w:type="dxa"/>
            <w:gridSpan w:val="3"/>
            <w:shd w:val="clear" w:color="auto" w:fill="auto"/>
          </w:tcPr>
          <w:p>
            <w:pPr>
              <w:pStyle w:val="nTable"/>
              <w:spacing w:before="60" w:after="60"/>
              <w:rPr>
                <w:snapToGrid w:val="0"/>
              </w:rPr>
            </w:pPr>
            <w:r>
              <w:t>4 Oct 2011</w:t>
            </w:r>
          </w:p>
        </w:tc>
        <w:tc>
          <w:tcPr>
            <w:tcW w:w="2551" w:type="dxa"/>
            <w:gridSpan w:val="3"/>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rPr>
          <w:gridBefore w:val="1"/>
          <w:gridAfter w:val="1"/>
          <w:wBefore w:w="21" w:type="dxa"/>
          <w:wAfter w:w="13" w:type="dxa"/>
          <w:cantSplit/>
        </w:trPr>
        <w:tc>
          <w:tcPr>
            <w:tcW w:w="7089" w:type="dxa"/>
            <w:gridSpan w:val="12"/>
            <w:shd w:val="clear" w:color="auto" w:fill="auto"/>
          </w:tcPr>
          <w:p>
            <w:pPr>
              <w:pStyle w:val="nTable"/>
              <w:spacing w:before="60" w:after="60"/>
              <w:rPr>
                <w:snapToGrid w:val="0"/>
              </w:rPr>
            </w:pPr>
            <w:r>
              <w:rPr>
                <w:b/>
                <w:bCs/>
              </w:rPr>
              <w:lastRenderedPageBreak/>
              <w:t xml:space="preserve">Reprint 3: The </w:t>
            </w:r>
            <w:r>
              <w:rPr>
                <w:b/>
                <w:bCs/>
                <w:i/>
              </w:rPr>
              <w:t>Western Australian Marine Act 1982</w:t>
            </w:r>
            <w:r>
              <w:rPr>
                <w:b/>
                <w:bCs/>
              </w:rPr>
              <w:t xml:space="preserve"> as at 27 Jul 2012</w:t>
            </w:r>
            <w:r>
              <w:t xml:space="preserve"> (includes amendments listed above) Correction in </w:t>
            </w:r>
            <w:r>
              <w:rPr>
                <w:i/>
              </w:rPr>
              <w:t>Gazette</w:t>
            </w:r>
            <w:r>
              <w:t xml:space="preserve"> 26 Jul 2013 p. 3354</w:t>
            </w:r>
          </w:p>
        </w:tc>
      </w:tr>
      <w:tr>
        <w:trPr>
          <w:gridBefore w:val="1"/>
          <w:gridAfter w:val="1"/>
          <w:wBefore w:w="21" w:type="dxa"/>
          <w:wAfter w:w="13" w:type="dxa"/>
          <w:cantSplit/>
        </w:trPr>
        <w:tc>
          <w:tcPr>
            <w:tcW w:w="2268" w:type="dxa"/>
            <w:gridSpan w:val="3"/>
          </w:tcPr>
          <w:p>
            <w:pPr>
              <w:pStyle w:val="nTable"/>
              <w:spacing w:before="60" w:after="60"/>
              <w:ind w:right="113"/>
              <w:rPr>
                <w:iCs/>
                <w:snapToGrid w:val="0"/>
              </w:rPr>
            </w:pPr>
            <w:r>
              <w:rPr>
                <w:i/>
              </w:rPr>
              <w:t xml:space="preserve">Ports Legislation Amendment Act 2019 </w:t>
            </w:r>
            <w:r>
              <w:t>Pt 8</w:t>
            </w:r>
          </w:p>
        </w:tc>
        <w:tc>
          <w:tcPr>
            <w:tcW w:w="1134" w:type="dxa"/>
            <w:gridSpan w:val="3"/>
          </w:tcPr>
          <w:p>
            <w:pPr>
              <w:pStyle w:val="nTable"/>
              <w:spacing w:before="60" w:after="60"/>
              <w:rPr>
                <w:snapToGrid w:val="0"/>
              </w:rPr>
            </w:pPr>
            <w:r>
              <w:rPr>
                <w:snapToGrid w:val="0"/>
              </w:rPr>
              <w:t>2 of 2019</w:t>
            </w:r>
          </w:p>
        </w:tc>
        <w:tc>
          <w:tcPr>
            <w:tcW w:w="1136" w:type="dxa"/>
            <w:gridSpan w:val="3"/>
          </w:tcPr>
          <w:p>
            <w:pPr>
              <w:pStyle w:val="nTable"/>
              <w:spacing w:before="60" w:after="60"/>
              <w:rPr>
                <w:snapToGrid w:val="0"/>
              </w:rPr>
            </w:pPr>
            <w:r>
              <w:rPr>
                <w:snapToGrid w:val="0"/>
              </w:rPr>
              <w:t>26 Feb 2019</w:t>
            </w:r>
          </w:p>
        </w:tc>
        <w:tc>
          <w:tcPr>
            <w:tcW w:w="2551" w:type="dxa"/>
            <w:gridSpan w:val="3"/>
          </w:tcPr>
          <w:p>
            <w:pPr>
              <w:pStyle w:val="nTable"/>
              <w:spacing w:before="60" w:after="60"/>
              <w:rPr>
                <w:snapToGrid w:val="0"/>
              </w:rPr>
            </w:pPr>
            <w:r>
              <w:rPr>
                <w:snapToGrid w:val="0"/>
              </w:rPr>
              <w:t>27 Feb 2019 (see s. 2(b))</w:t>
            </w:r>
          </w:p>
        </w:tc>
      </w:tr>
      <w:tr>
        <w:trPr>
          <w:gridAfter w:val="2"/>
          <w:wAfter w:w="33" w:type="dxa"/>
          <w:cantSplit/>
        </w:trPr>
        <w:tc>
          <w:tcPr>
            <w:tcW w:w="2267" w:type="dxa"/>
            <w:gridSpan w:val="3"/>
            <w:shd w:val="clear" w:color="auto" w:fill="auto"/>
          </w:tcPr>
          <w:p>
            <w:pPr>
              <w:pStyle w:val="nTable"/>
              <w:spacing w:after="40"/>
              <w:ind w:right="113"/>
              <w:rPr>
                <w:iCs/>
                <w:snapToGrid w:val="0"/>
              </w:rPr>
            </w:pPr>
            <w:r>
              <w:rPr>
                <w:i/>
                <w:snapToGrid w:val="0"/>
              </w:rPr>
              <w:t>Marine Safety (Domestic Commercial Vessel National Law Application) Act 2023</w:t>
            </w:r>
            <w:r>
              <w:rPr>
                <w:iCs/>
                <w:snapToGrid w:val="0"/>
              </w:rPr>
              <w:t xml:space="preserve"> Pt. 9 (other than s. 39(1), </w:t>
            </w:r>
            <w:r>
              <w:t>44, 46, 54, 56, 69, 70, 72 to 74, 76, 78 to 80, 85, 86, 90 and 95)</w:t>
            </w:r>
          </w:p>
        </w:tc>
        <w:tc>
          <w:tcPr>
            <w:tcW w:w="1134" w:type="dxa"/>
            <w:gridSpan w:val="3"/>
            <w:shd w:val="clear" w:color="auto" w:fill="auto"/>
          </w:tcPr>
          <w:p>
            <w:pPr>
              <w:pStyle w:val="nTable"/>
              <w:keepNext/>
              <w:spacing w:after="40"/>
            </w:pPr>
            <w:r>
              <w:t>24 of 2023</w:t>
            </w:r>
          </w:p>
        </w:tc>
        <w:tc>
          <w:tcPr>
            <w:tcW w:w="1137" w:type="dxa"/>
            <w:gridSpan w:val="3"/>
            <w:shd w:val="clear" w:color="auto" w:fill="auto"/>
          </w:tcPr>
          <w:p>
            <w:pPr>
              <w:pStyle w:val="nTable"/>
              <w:keepNext/>
              <w:spacing w:after="40"/>
              <w:rPr>
                <w:highlight w:val="yellow"/>
              </w:rPr>
            </w:pPr>
            <w:r>
              <w:t>24 Oct 2023</w:t>
            </w:r>
          </w:p>
        </w:tc>
        <w:tc>
          <w:tcPr>
            <w:tcW w:w="2552" w:type="dxa"/>
            <w:gridSpan w:val="3"/>
            <w:shd w:val="clear" w:color="auto" w:fill="auto"/>
          </w:tcPr>
          <w:p>
            <w:pPr>
              <w:pStyle w:val="nTable"/>
              <w:keepNext/>
              <w:spacing w:after="40"/>
              <w:rPr>
                <w:snapToGrid w:val="0"/>
              </w:rPr>
            </w:pPr>
            <w:r>
              <w:rPr>
                <w:snapToGrid w:val="0"/>
              </w:rPr>
              <w:t>21 Dec 2023 (see s. 2(b) and SL 2023/203 cl. 2(a))</w:t>
            </w:r>
          </w:p>
        </w:tc>
      </w:tr>
      <w:tr>
        <w:trPr>
          <w:gridBefore w:val="1"/>
          <w:gridAfter w:val="1"/>
          <w:wBefore w:w="21" w:type="dxa"/>
          <w:wAfter w:w="13" w:type="dxa"/>
          <w:cantSplit/>
        </w:trPr>
        <w:tc>
          <w:tcPr>
            <w:tcW w:w="2268" w:type="dxa"/>
            <w:gridSpan w:val="3"/>
            <w:tcBorders>
              <w:bottom w:val="single" w:sz="8" w:space="0" w:color="auto"/>
            </w:tcBorders>
          </w:tcPr>
          <w:p>
            <w:pPr>
              <w:pStyle w:val="nTable"/>
              <w:spacing w:before="60" w:after="60"/>
              <w:ind w:right="113"/>
              <w:rPr>
                <w:iCs/>
              </w:rPr>
            </w:pPr>
            <w:r>
              <w:rPr>
                <w:i/>
              </w:rPr>
              <w:t xml:space="preserve">Western Australian Marine Amendment Act 2023 </w:t>
            </w:r>
            <w:r>
              <w:rPr>
                <w:iCs/>
              </w:rPr>
              <w:t>Pt. 2 (s. 3</w:t>
            </w:r>
            <w:r>
              <w:rPr>
                <w:iCs/>
              </w:rPr>
              <w:noBreakHyphen/>
              <w:t>6, 9</w:t>
            </w:r>
            <w:r>
              <w:rPr>
                <w:iCs/>
              </w:rPr>
              <w:noBreakHyphen/>
              <w:t>13, 14(1), 23(1) and (3), 24(2), 25 and 27)</w:t>
            </w:r>
          </w:p>
        </w:tc>
        <w:tc>
          <w:tcPr>
            <w:tcW w:w="1134" w:type="dxa"/>
            <w:gridSpan w:val="3"/>
            <w:tcBorders>
              <w:bottom w:val="single" w:sz="8" w:space="0" w:color="auto"/>
            </w:tcBorders>
          </w:tcPr>
          <w:p>
            <w:pPr>
              <w:pStyle w:val="nTable"/>
              <w:spacing w:before="60" w:after="60"/>
              <w:rPr>
                <w:snapToGrid w:val="0"/>
              </w:rPr>
            </w:pPr>
            <w:r>
              <w:rPr>
                <w:snapToGrid w:val="0"/>
              </w:rPr>
              <w:t>31 of 2023</w:t>
            </w:r>
          </w:p>
        </w:tc>
        <w:tc>
          <w:tcPr>
            <w:tcW w:w="1136" w:type="dxa"/>
            <w:gridSpan w:val="3"/>
            <w:tcBorders>
              <w:bottom w:val="single" w:sz="8" w:space="0" w:color="auto"/>
            </w:tcBorders>
          </w:tcPr>
          <w:p>
            <w:pPr>
              <w:pStyle w:val="nTable"/>
              <w:spacing w:before="60" w:after="60"/>
              <w:rPr>
                <w:snapToGrid w:val="0"/>
              </w:rPr>
            </w:pPr>
            <w:r>
              <w:rPr>
                <w:snapToGrid w:val="0"/>
              </w:rPr>
              <w:t>11 Dec 2023</w:t>
            </w:r>
          </w:p>
        </w:tc>
        <w:tc>
          <w:tcPr>
            <w:tcW w:w="2551" w:type="dxa"/>
            <w:gridSpan w:val="3"/>
            <w:tcBorders>
              <w:bottom w:val="single" w:sz="8" w:space="0" w:color="auto"/>
            </w:tcBorders>
          </w:tcPr>
          <w:p>
            <w:pPr>
              <w:pStyle w:val="nTable"/>
              <w:spacing w:before="60" w:after="60"/>
              <w:rPr>
                <w:snapToGrid w:val="0"/>
              </w:rPr>
            </w:pPr>
            <w:r>
              <w:rPr>
                <w:snapToGrid w:val="0"/>
              </w:rPr>
              <w:t>21 Dec 2023 (see s. 2(c) and SL 2023/202 cl. 2 and SL 2023/203 cl. 2(a))</w:t>
            </w:r>
          </w:p>
        </w:tc>
      </w:tr>
    </w:tbl>
    <w:p>
      <w:pPr>
        <w:pStyle w:val="nHeading3"/>
      </w:pPr>
      <w:bookmarkStart w:id="548" w:name="_Toc153887677"/>
      <w:r>
        <w:t>Uncommenced provisions table</w:t>
      </w:r>
      <w:bookmarkEnd w:id="548"/>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Layout w:type="fixed"/>
        <w:tblCellMar>
          <w:left w:w="56" w:type="dxa"/>
          <w:right w:w="56" w:type="dxa"/>
        </w:tblCellMar>
        <w:tblLook w:val="0000" w:firstRow="0" w:lastRow="0" w:firstColumn="0" w:lastColumn="0" w:noHBand="0" w:noVBand="0"/>
      </w:tblPr>
      <w:tblGrid>
        <w:gridCol w:w="2267"/>
        <w:gridCol w:w="1134"/>
        <w:gridCol w:w="1137"/>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shd w:val="clear" w:color="auto" w:fill="auto"/>
          </w:tcPr>
          <w:p>
            <w:pPr>
              <w:pStyle w:val="nTable"/>
              <w:spacing w:after="40"/>
              <w:ind w:right="113"/>
              <w:rPr>
                <w:i/>
                <w:snapToGrid w:val="0"/>
              </w:rPr>
            </w:pPr>
            <w:r>
              <w:rPr>
                <w:i/>
                <w:snapToGrid w:val="0"/>
              </w:rPr>
              <w:t>Aquatic Resources Management Act 2016</w:t>
            </w:r>
            <w:r>
              <w:rPr>
                <w:snapToGrid w:val="0"/>
              </w:rPr>
              <w:t xml:space="preserve"> s. 376</w:t>
            </w:r>
          </w:p>
        </w:tc>
        <w:tc>
          <w:tcPr>
            <w:tcW w:w="1134" w:type="dxa"/>
            <w:shd w:val="clear" w:color="auto" w:fill="auto"/>
          </w:tcPr>
          <w:p>
            <w:pPr>
              <w:pStyle w:val="nTable"/>
              <w:keepNext/>
              <w:spacing w:after="40"/>
            </w:pPr>
            <w:r>
              <w:t>53 of 2016</w:t>
            </w:r>
          </w:p>
        </w:tc>
        <w:tc>
          <w:tcPr>
            <w:tcW w:w="1137" w:type="dxa"/>
            <w:shd w:val="clear" w:color="auto" w:fill="auto"/>
          </w:tcPr>
          <w:p>
            <w:pPr>
              <w:pStyle w:val="nTable"/>
              <w:keepNext/>
              <w:spacing w:after="40"/>
            </w:pPr>
            <w:r>
              <w:t>29 Nov 2016</w:t>
            </w:r>
          </w:p>
        </w:tc>
        <w:tc>
          <w:tcPr>
            <w:tcW w:w="2552" w:type="dxa"/>
            <w:shd w:val="clear" w:color="auto" w:fill="auto"/>
          </w:tcPr>
          <w:p>
            <w:pPr>
              <w:pStyle w:val="nTable"/>
              <w:keepNext/>
              <w:spacing w:after="40"/>
            </w:pPr>
            <w:r>
              <w:rPr>
                <w:snapToGrid w:val="0"/>
              </w:rPr>
              <w:t>To be proclaimed (see s. 2(b))</w:t>
            </w:r>
          </w:p>
        </w:tc>
      </w:tr>
      <w:tr>
        <w:trPr>
          <w:cantSplit/>
        </w:trPr>
        <w:tc>
          <w:tcPr>
            <w:tcW w:w="2267" w:type="dxa"/>
            <w:shd w:val="clear" w:color="auto" w:fill="auto"/>
          </w:tcPr>
          <w:p>
            <w:pPr>
              <w:pStyle w:val="nTable"/>
              <w:spacing w:after="40"/>
              <w:ind w:right="113"/>
              <w:rPr>
                <w:iCs/>
                <w:snapToGrid w:val="0"/>
              </w:rPr>
            </w:pPr>
            <w:r>
              <w:rPr>
                <w:i/>
                <w:snapToGrid w:val="0"/>
              </w:rPr>
              <w:t>Marine Safety (Domestic Commercial Vessel National Law Application) Act 2023</w:t>
            </w:r>
            <w:r>
              <w:rPr>
                <w:iCs/>
                <w:snapToGrid w:val="0"/>
              </w:rPr>
              <w:t xml:space="preserve"> s. 39(1), </w:t>
            </w:r>
            <w:r>
              <w:t>44, 46, 54, 56, 69, 70, 72 to 74, 76, 78 to 80, 85, 86, 90 and 95</w:t>
            </w:r>
          </w:p>
        </w:tc>
        <w:tc>
          <w:tcPr>
            <w:tcW w:w="1134" w:type="dxa"/>
            <w:shd w:val="clear" w:color="auto" w:fill="auto"/>
          </w:tcPr>
          <w:p>
            <w:pPr>
              <w:pStyle w:val="nTable"/>
              <w:keepNext/>
              <w:spacing w:after="40"/>
            </w:pPr>
            <w:r>
              <w:t>24 of 2023</w:t>
            </w:r>
          </w:p>
        </w:tc>
        <w:tc>
          <w:tcPr>
            <w:tcW w:w="1137" w:type="dxa"/>
            <w:shd w:val="clear" w:color="auto" w:fill="auto"/>
          </w:tcPr>
          <w:p>
            <w:pPr>
              <w:pStyle w:val="nTable"/>
              <w:keepNext/>
              <w:spacing w:after="40"/>
              <w:rPr>
                <w:highlight w:val="yellow"/>
              </w:rPr>
            </w:pPr>
            <w:r>
              <w:t>24 Oct 2023</w:t>
            </w:r>
          </w:p>
        </w:tc>
        <w:tc>
          <w:tcPr>
            <w:tcW w:w="2552" w:type="dxa"/>
            <w:shd w:val="clear" w:color="auto" w:fill="auto"/>
          </w:tcPr>
          <w:p>
            <w:pPr>
              <w:pStyle w:val="nTable"/>
              <w:keepNext/>
              <w:spacing w:after="40"/>
              <w:rPr>
                <w:snapToGrid w:val="0"/>
              </w:rPr>
            </w:pPr>
            <w:r>
              <w:rPr>
                <w:snapToGrid w:val="0"/>
              </w:rPr>
              <w:t>To be proclaimed (see s. 2(b))</w:t>
            </w:r>
          </w:p>
        </w:tc>
      </w:tr>
      <w:tr>
        <w:trPr>
          <w:cantSplit/>
        </w:trPr>
        <w:tc>
          <w:tcPr>
            <w:tcW w:w="2267" w:type="dxa"/>
            <w:tcBorders>
              <w:bottom w:val="single" w:sz="8" w:space="0" w:color="auto"/>
            </w:tcBorders>
            <w:shd w:val="clear" w:color="auto" w:fill="auto"/>
          </w:tcPr>
          <w:p>
            <w:pPr>
              <w:pStyle w:val="nTable"/>
              <w:spacing w:after="40"/>
              <w:ind w:right="113"/>
              <w:rPr>
                <w:iCs/>
                <w:snapToGrid w:val="0"/>
              </w:rPr>
            </w:pPr>
            <w:r>
              <w:rPr>
                <w:i/>
                <w:snapToGrid w:val="0"/>
              </w:rPr>
              <w:t>Western Australian Marine Amendment Act 2023</w:t>
            </w:r>
            <w:r>
              <w:rPr>
                <w:iCs/>
                <w:snapToGrid w:val="0"/>
              </w:rPr>
              <w:t xml:space="preserve"> Pt. 2 (other than </w:t>
            </w:r>
            <w:r>
              <w:rPr>
                <w:iCs/>
              </w:rPr>
              <w:t>s. 3</w:t>
            </w:r>
            <w:r>
              <w:rPr>
                <w:iCs/>
              </w:rPr>
              <w:noBreakHyphen/>
              <w:t>6, 9</w:t>
            </w:r>
            <w:r>
              <w:rPr>
                <w:iCs/>
              </w:rPr>
              <w:noBreakHyphen/>
              <w:t>13, 14(1), 23(1) and (3), 24(2), 25 and 27)</w:t>
            </w:r>
          </w:p>
        </w:tc>
        <w:tc>
          <w:tcPr>
            <w:tcW w:w="1134" w:type="dxa"/>
            <w:tcBorders>
              <w:bottom w:val="single" w:sz="8" w:space="0" w:color="auto"/>
            </w:tcBorders>
            <w:shd w:val="clear" w:color="auto" w:fill="auto"/>
          </w:tcPr>
          <w:p>
            <w:pPr>
              <w:pStyle w:val="nTable"/>
              <w:keepNext/>
              <w:spacing w:after="40"/>
            </w:pPr>
            <w:r>
              <w:t>31 of 2023</w:t>
            </w:r>
          </w:p>
        </w:tc>
        <w:tc>
          <w:tcPr>
            <w:tcW w:w="1137" w:type="dxa"/>
            <w:tcBorders>
              <w:bottom w:val="single" w:sz="8" w:space="0" w:color="auto"/>
            </w:tcBorders>
            <w:shd w:val="clear" w:color="auto" w:fill="auto"/>
          </w:tcPr>
          <w:p>
            <w:pPr>
              <w:pStyle w:val="nTable"/>
              <w:keepNext/>
              <w:spacing w:after="40"/>
            </w:pPr>
            <w:r>
              <w:t>11 Dec 2023</w:t>
            </w:r>
          </w:p>
        </w:tc>
        <w:tc>
          <w:tcPr>
            <w:tcW w:w="2552" w:type="dxa"/>
            <w:tcBorders>
              <w:bottom w:val="single" w:sz="8" w:space="0" w:color="auto"/>
            </w:tcBorders>
            <w:shd w:val="clear" w:color="auto" w:fill="auto"/>
          </w:tcPr>
          <w:p>
            <w:pPr>
              <w:pStyle w:val="nTable"/>
              <w:keepNext/>
              <w:spacing w:after="40"/>
              <w:rPr>
                <w:snapToGrid w:val="0"/>
              </w:rPr>
            </w:pPr>
            <w:r>
              <w:rPr>
                <w:snapToGrid w:val="0"/>
              </w:rPr>
              <w:t>To be proclaimed (see s. 2(c))</w:t>
            </w:r>
          </w:p>
        </w:tc>
      </w:tr>
    </w:tbl>
    <w:p>
      <w:pPr>
        <w:pStyle w:val="nHeading3"/>
      </w:pPr>
      <w:bookmarkStart w:id="549" w:name="_Toc153887678"/>
      <w:r>
        <w:lastRenderedPageBreak/>
        <w:t>Other notes</w:t>
      </w:r>
      <w:bookmarkEnd w:id="549"/>
    </w:p>
    <w:p>
      <w:pPr>
        <w:pStyle w:val="nNote"/>
        <w:spacing w:before="120"/>
        <w:rPr>
          <w:iCs/>
        </w:rPr>
      </w:pPr>
      <w:r>
        <w:rPr>
          <w:snapToGrid w:val="0"/>
          <w:vertAlign w:val="superscript"/>
        </w:rPr>
        <w:t>1</w:t>
      </w:r>
      <w:r>
        <w:tab/>
        <w:t xml:space="preserve">Repealed by the </w:t>
      </w:r>
      <w:r>
        <w:rPr>
          <w:i/>
        </w:rPr>
        <w:t>Fisheries Legislation (Consequential Provisions) Act 1991</w:t>
      </w:r>
      <w:r>
        <w:t xml:space="preserve"> s. 3(2) (Cwlth).</w:t>
      </w:r>
    </w:p>
    <w:p>
      <w:pPr>
        <w:pStyle w:val="nNote"/>
        <w:spacing w:before="120"/>
        <w:rPr>
          <w:iCs/>
        </w:rPr>
      </w:pPr>
      <w:r>
        <w:rPr>
          <w:snapToGrid w:val="0"/>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spacing w:before="120"/>
        <w:rPr>
          <w:snapToGrid w:val="0"/>
        </w:rPr>
      </w:pPr>
      <w:r>
        <w:rPr>
          <w:vertAlign w:val="superscript"/>
        </w:rPr>
        <w:t>3</w:t>
      </w:r>
      <w:r>
        <w:tab/>
        <w:t xml:space="preserve">The </w:t>
      </w:r>
      <w:r>
        <w:rPr>
          <w:i/>
          <w:snapToGrid w:val="0"/>
        </w:rPr>
        <w:t>Western Australian Marine Amendment Act 1987</w:t>
      </w:r>
      <w:r>
        <w:rPr>
          <w:snapToGrid w:val="0"/>
        </w:rPr>
        <w:t xml:space="preserve"> (other than s. 1 and 2) was repealed by the </w:t>
      </w:r>
      <w:r>
        <w:rPr>
          <w:i/>
          <w:snapToGrid w:val="0"/>
        </w:rPr>
        <w:t>Marine Safety (Domestic Commercial Vessel National Law Application) Act 2023</w:t>
      </w:r>
      <w:r>
        <w:rPr>
          <w:iCs/>
          <w:snapToGrid w:val="0"/>
        </w:rPr>
        <w:t xml:space="preserve"> Pt. 10 Div. 9 (</w:t>
      </w:r>
      <w:r>
        <w:rPr>
          <w:snapToGrid w:val="0"/>
        </w:rPr>
        <w:t>No. 24 of 2023) before it came into operation.</w:t>
      </w:r>
    </w:p>
    <w:p>
      <w:pPr>
        <w:pStyle w:val="nNote"/>
        <w:spacing w:before="120"/>
      </w:pPr>
      <w:r>
        <w:rPr>
          <w:snapToGrid w:val="0"/>
          <w:vertAlign w:val="superscript"/>
        </w:rPr>
        <w:t>4</w:t>
      </w:r>
      <w:r>
        <w:tab/>
        <w:t xml:space="preserve">The </w:t>
      </w:r>
      <w:r>
        <w:rPr>
          <w:i/>
          <w:snapToGrid w:val="0"/>
        </w:rPr>
        <w:t>Western Australian Marine Amendment Act 1990</w:t>
      </w:r>
      <w:r>
        <w:rPr>
          <w:iCs/>
          <w:snapToGrid w:val="0"/>
        </w:rPr>
        <w:t xml:space="preserve"> </w:t>
      </w:r>
      <w:r>
        <w:rPr>
          <w:snapToGrid w:val="0"/>
        </w:rPr>
        <w:t>s. 4(d), 6</w:t>
      </w:r>
      <w:r>
        <w:rPr>
          <w:snapToGrid w:val="0"/>
        </w:rPr>
        <w:noBreakHyphen/>
        <w:t>9 and 12 were deleted</w:t>
      </w:r>
      <w:r>
        <w:rPr>
          <w:iCs/>
          <w:snapToGrid w:val="0"/>
        </w:rPr>
        <w:t xml:space="preserve"> by the </w:t>
      </w:r>
      <w:r>
        <w:rPr>
          <w:i/>
          <w:snapToGrid w:val="0"/>
        </w:rPr>
        <w:t>Marine Safety (Domestic Commercial Vessel National Law Application) Act 2023</w:t>
      </w:r>
      <w:r>
        <w:rPr>
          <w:iCs/>
          <w:snapToGrid w:val="0"/>
        </w:rPr>
        <w:t xml:space="preserve"> Pt. 10 Div. 10 (</w:t>
      </w:r>
      <w:r>
        <w:rPr>
          <w:snapToGrid w:val="0"/>
        </w:rPr>
        <w:t xml:space="preserve">No. 24 of 2023) </w:t>
      </w:r>
      <w:r>
        <w:rPr>
          <w:iCs/>
          <w:snapToGrid w:val="0"/>
        </w:rPr>
        <w:t>before they came into operation</w:t>
      </w:r>
      <w:r>
        <w:t>.</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551" w:name="_Toc153887679"/>
      <w:r>
        <w:rPr>
          <w:sz w:val="28"/>
        </w:rPr>
        <w:lastRenderedPageBreak/>
        <w:t>Defined terms</w:t>
      </w:r>
      <w:bookmarkEnd w:id="5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0.08+ and illicit drug offence</w:t>
      </w:r>
      <w:r>
        <w:tab/>
        <w:t>75A</w:t>
      </w:r>
    </w:p>
    <w:p>
      <w:pPr>
        <w:pStyle w:val="DefinedTerms"/>
      </w:pPr>
      <w:r>
        <w:t>0.08+ offence</w:t>
      </w:r>
      <w:r>
        <w:tab/>
        <w:t>75A</w:t>
      </w:r>
    </w:p>
    <w:p>
      <w:pPr>
        <w:pStyle w:val="DefinedTerms"/>
      </w:pPr>
      <w:r>
        <w:t>agreement</w:t>
      </w:r>
      <w:r>
        <w:tab/>
        <w:t>3(1)</w:t>
      </w:r>
    </w:p>
    <w:p>
      <w:pPr>
        <w:pStyle w:val="DefinedTerms"/>
      </w:pPr>
      <w:r>
        <w:t>alcohol or drug testing requirement</w:t>
      </w:r>
      <w:r>
        <w:tab/>
        <w:t>3(1)</w:t>
      </w:r>
    </w:p>
    <w:p>
      <w:pPr>
        <w:pStyle w:val="DefinedTerms"/>
      </w:pPr>
      <w:r>
        <w:t>alleged offence</w:t>
      </w:r>
      <w:r>
        <w:tab/>
        <w:t>124G, 132(11)</w:t>
      </w:r>
    </w:p>
    <w:p>
      <w:pPr>
        <w:pStyle w:val="DefinedTerms"/>
      </w:pPr>
      <w:r>
        <w:t>alleged offender</w:t>
      </w:r>
      <w:r>
        <w:tab/>
        <w:t>132(11)</w:t>
      </w:r>
    </w:p>
    <w:p>
      <w:pPr>
        <w:pStyle w:val="DefinedTerms"/>
      </w:pPr>
      <w:r>
        <w:t>analyst</w:t>
      </w:r>
      <w:r>
        <w:tab/>
        <w:t>3(1)</w:t>
      </w:r>
    </w:p>
    <w:p>
      <w:pPr>
        <w:pStyle w:val="DefinedTerms"/>
      </w:pPr>
      <w:r>
        <w:t>applied provisions</w:t>
      </w:r>
      <w:r>
        <w:tab/>
        <w:t>3B(1)</w:t>
      </w:r>
    </w:p>
    <w:p>
      <w:pPr>
        <w:pStyle w:val="DefinedTerms"/>
      </w:pPr>
      <w:r>
        <w:t>applied provisions of the Limitation Convention</w:t>
      </w:r>
      <w:r>
        <w:tab/>
        <w:t>76</w:t>
      </w:r>
    </w:p>
    <w:p>
      <w:pPr>
        <w:pStyle w:val="DefinedTerms"/>
      </w:pPr>
      <w:r>
        <w:t>assent day</w:t>
      </w:r>
      <w:r>
        <w:tab/>
        <w:t>139(1)</w:t>
      </w:r>
    </w:p>
    <w:p>
      <w:pPr>
        <w:pStyle w:val="DefinedTerms"/>
      </w:pPr>
      <w:r>
        <w:t>Australian coastal and middle-water operations</w:t>
      </w:r>
      <w:r>
        <w:tab/>
        <w:t>3(1)</w:t>
      </w:r>
    </w:p>
    <w:p>
      <w:pPr>
        <w:pStyle w:val="DefinedTerms"/>
      </w:pPr>
      <w:r>
        <w:t>Australian fishing vessel</w:t>
      </w:r>
      <w:r>
        <w:tab/>
        <w:t>3(1)</w:t>
      </w:r>
    </w:p>
    <w:p>
      <w:pPr>
        <w:pStyle w:val="DefinedTerms"/>
      </w:pPr>
      <w:r>
        <w:t>Australian ship</w:t>
      </w:r>
      <w:r>
        <w:tab/>
        <w:t>3(1)</w:t>
      </w:r>
    </w:p>
    <w:p>
      <w:pPr>
        <w:pStyle w:val="DefinedTerms"/>
      </w:pPr>
      <w:r>
        <w:t>authorised person</w:t>
      </w:r>
      <w:r>
        <w:tab/>
        <w:t>3(1), 98(1), 132(11), 133(5), 134(4)</w:t>
      </w:r>
    </w:p>
    <w:p>
      <w:pPr>
        <w:pStyle w:val="DefinedTerms"/>
      </w:pPr>
      <w:r>
        <w:t>BAC</w:t>
      </w:r>
      <w:r>
        <w:tab/>
        <w:t>3(1)</w:t>
      </w:r>
    </w:p>
    <w:p>
      <w:pPr>
        <w:pStyle w:val="DefinedTerms"/>
      </w:pPr>
      <w:r>
        <w:t>bodily harm</w:t>
      </w:r>
      <w:r>
        <w:tab/>
        <w:t>3(1)</w:t>
      </w:r>
    </w:p>
    <w:p>
      <w:pPr>
        <w:pStyle w:val="DefinedTerms"/>
      </w:pPr>
      <w:r>
        <w:t>boilers and machinery</w:t>
      </w:r>
      <w:r>
        <w:tab/>
        <w:t>3(1)</w:t>
      </w:r>
    </w:p>
    <w:p>
      <w:pPr>
        <w:pStyle w:val="DefinedTerms"/>
      </w:pPr>
      <w:r>
        <w:t>casualty</w:t>
      </w:r>
      <w:r>
        <w:tab/>
        <w:t>3(1), 75BI(1)</w:t>
      </w:r>
    </w:p>
    <w:p>
      <w:pPr>
        <w:pStyle w:val="DefinedTerms"/>
      </w:pPr>
      <w:r>
        <w:t>certificate, licence, permit, exemption or dispensation</w:t>
      </w:r>
      <w:r>
        <w:tab/>
        <w:t>121(2)</w:t>
      </w:r>
    </w:p>
    <w:p>
      <w:pPr>
        <w:pStyle w:val="DefinedTerms"/>
      </w:pPr>
      <w:r>
        <w:t>Chemistry Centre (WA)</w:t>
      </w:r>
      <w:r>
        <w:tab/>
        <w:t>3(1)</w:t>
      </w:r>
    </w:p>
    <w:p>
      <w:pPr>
        <w:pStyle w:val="DefinedTerms"/>
      </w:pPr>
      <w:r>
        <w:t>chief executive officer</w:t>
      </w:r>
      <w:r>
        <w:tab/>
        <w:t>3(1)</w:t>
      </w:r>
    </w:p>
    <w:p>
      <w:pPr>
        <w:pStyle w:val="DefinedTerms"/>
      </w:pPr>
      <w:r>
        <w:t>circumstances of aggravation</w:t>
      </w:r>
      <w:r>
        <w:tab/>
        <w:t>75A, 75AF(1)</w:t>
      </w:r>
    </w:p>
    <w:p>
      <w:pPr>
        <w:pStyle w:val="DefinedTerms"/>
      </w:pPr>
      <w:r>
        <w:t>commencement day</w:t>
      </w:r>
      <w:r>
        <w:tab/>
        <w:t>137(1)</w:t>
      </w:r>
    </w:p>
    <w:p>
      <w:pPr>
        <w:pStyle w:val="DefinedTerms"/>
      </w:pPr>
      <w:r>
        <w:t>commercial vessel</w:t>
      </w:r>
      <w:r>
        <w:tab/>
        <w:t>3(1)</w:t>
      </w:r>
    </w:p>
    <w:p>
      <w:pPr>
        <w:pStyle w:val="DefinedTerms"/>
      </w:pPr>
      <w:r>
        <w:t>Commissioner of Police</w:t>
      </w:r>
      <w:r>
        <w:tab/>
        <w:t>3(1)</w:t>
      </w:r>
    </w:p>
    <w:p>
      <w:pPr>
        <w:pStyle w:val="DefinedTerms"/>
      </w:pPr>
      <w:r>
        <w:t>Commonwealth domestic commercial vessel national law</w:t>
      </w:r>
      <w:r>
        <w:tab/>
        <w:t>3B(1)</w:t>
      </w:r>
    </w:p>
    <w:p>
      <w:pPr>
        <w:pStyle w:val="DefinedTerms"/>
      </w:pPr>
      <w:r>
        <w:t>contact details</w:t>
      </w:r>
      <w:r>
        <w:tab/>
        <w:t>64</w:t>
      </w:r>
    </w:p>
    <w:p>
      <w:pPr>
        <w:pStyle w:val="DefinedTerms"/>
      </w:pPr>
      <w:r>
        <w:t>container</w:t>
      </w:r>
      <w:r>
        <w:tab/>
        <w:t>76</w:t>
      </w:r>
    </w:p>
    <w:p>
      <w:pPr>
        <w:pStyle w:val="DefinedTerms"/>
      </w:pPr>
      <w:r>
        <w:t>Container Convention</w:t>
      </w:r>
      <w:r>
        <w:tab/>
        <w:t>76</w:t>
      </w:r>
    </w:p>
    <w:p>
      <w:pPr>
        <w:pStyle w:val="DefinedTerms"/>
      </w:pPr>
      <w:r>
        <w:t>dangerous goods</w:t>
      </w:r>
      <w:r>
        <w:tab/>
        <w:t>3(1)</w:t>
      </w:r>
    </w:p>
    <w:p>
      <w:pPr>
        <w:pStyle w:val="DefinedTerms"/>
      </w:pPr>
      <w:r>
        <w:t>decision</w:t>
      </w:r>
      <w:r>
        <w:tab/>
        <w:t>63C(1)</w:t>
      </w:r>
    </w:p>
    <w:p>
      <w:pPr>
        <w:pStyle w:val="DefinedTerms"/>
      </w:pPr>
      <w:r>
        <w:t>delegator</w:t>
      </w:r>
      <w:r>
        <w:tab/>
        <w:t>116(1)</w:t>
      </w:r>
    </w:p>
    <w:p>
      <w:pPr>
        <w:pStyle w:val="DefinedTerms"/>
      </w:pPr>
      <w:r>
        <w:t>dentist</w:t>
      </w:r>
      <w:r>
        <w:tab/>
        <w:t>3(1)</w:t>
      </w:r>
    </w:p>
    <w:p>
      <w:pPr>
        <w:pStyle w:val="DefinedTerms"/>
      </w:pPr>
      <w:r>
        <w:t>Department</w:t>
      </w:r>
      <w:r>
        <w:tab/>
        <w:t>3(1)</w:t>
      </w:r>
    </w:p>
    <w:p>
      <w:pPr>
        <w:pStyle w:val="DefinedTerms"/>
      </w:pPr>
      <w:r>
        <w:t>designated officer</w:t>
      </w:r>
      <w:r>
        <w:tab/>
        <w:t>132(11)</w:t>
      </w:r>
    </w:p>
    <w:p>
      <w:pPr>
        <w:pStyle w:val="DefinedTerms"/>
      </w:pPr>
      <w:r>
        <w:t>designated person</w:t>
      </w:r>
      <w:r>
        <w:tab/>
        <w:t>63(1)</w:t>
      </w:r>
    </w:p>
    <w:p>
      <w:pPr>
        <w:pStyle w:val="DefinedTerms"/>
      </w:pPr>
      <w:r>
        <w:t>detained vessel</w:t>
      </w:r>
      <w:r>
        <w:tab/>
        <w:t>3(1)</w:t>
      </w:r>
    </w:p>
    <w:p>
      <w:pPr>
        <w:pStyle w:val="DefinedTerms"/>
      </w:pPr>
      <w:r>
        <w:t>Disciplinary Appeal Tribunal</w:t>
      </w:r>
      <w:r>
        <w:tab/>
        <w:t>3(1)</w:t>
      </w:r>
    </w:p>
    <w:p>
      <w:pPr>
        <w:pStyle w:val="DefinedTerms"/>
      </w:pPr>
      <w:r>
        <w:t>disqualification notice</w:t>
      </w:r>
      <w:r>
        <w:tab/>
        <w:t>124G</w:t>
      </w:r>
    </w:p>
    <w:p>
      <w:pPr>
        <w:pStyle w:val="DefinedTerms"/>
      </w:pPr>
      <w:r>
        <w:lastRenderedPageBreak/>
        <w:t>disqualification order</w:t>
      </w:r>
      <w:r>
        <w:tab/>
        <w:t>124G</w:t>
      </w:r>
    </w:p>
    <w:p>
      <w:pPr>
        <w:pStyle w:val="DefinedTerms"/>
      </w:pPr>
      <w:r>
        <w:t>disqualified</w:t>
      </w:r>
      <w:r>
        <w:tab/>
        <w:t>124G</w:t>
      </w:r>
    </w:p>
    <w:p>
      <w:pPr>
        <w:pStyle w:val="DefinedTerms"/>
      </w:pPr>
      <w:r>
        <w:t>document</w:t>
      </w:r>
      <w:r>
        <w:tab/>
        <w:t>125(2)</w:t>
      </w:r>
    </w:p>
    <w:p>
      <w:pPr>
        <w:pStyle w:val="DefinedTerms"/>
      </w:pPr>
      <w:r>
        <w:t>domestic commercial vessel</w:t>
      </w:r>
      <w:r>
        <w:tab/>
        <w:t>3(1)</w:t>
      </w:r>
    </w:p>
    <w:p>
      <w:pPr>
        <w:pStyle w:val="DefinedTerms"/>
      </w:pPr>
      <w:r>
        <w:t>Domestic Commercial Vessel National Law</w:t>
      </w:r>
      <w:r>
        <w:tab/>
        <w:t>3B(1)</w:t>
      </w:r>
    </w:p>
    <w:p>
      <w:pPr>
        <w:pStyle w:val="DefinedTerms"/>
      </w:pPr>
      <w:r>
        <w:t>drug</w:t>
      </w:r>
      <w:r>
        <w:tab/>
        <w:t>3(1)</w:t>
      </w:r>
    </w:p>
    <w:p>
      <w:pPr>
        <w:pStyle w:val="DefinedTerms"/>
      </w:pPr>
      <w:r>
        <w:t>drugs analyst</w:t>
      </w:r>
      <w:r>
        <w:tab/>
        <w:t>3(1)</w:t>
      </w:r>
    </w:p>
    <w:p>
      <w:pPr>
        <w:pStyle w:val="DefinedTerms"/>
      </w:pPr>
      <w:r>
        <w:t>equipment</w:t>
      </w:r>
      <w:r>
        <w:tab/>
        <w:t>3(1)</w:t>
      </w:r>
    </w:p>
    <w:p>
      <w:pPr>
        <w:pStyle w:val="DefinedTerms"/>
      </w:pPr>
      <w:r>
        <w:t>evidential material</w:t>
      </w:r>
      <w:r>
        <w:tab/>
        <w:t>6(1)</w:t>
      </w:r>
    </w:p>
    <w:p>
      <w:pPr>
        <w:pStyle w:val="DefinedTerms"/>
      </w:pPr>
      <w:r>
        <w:t>explosives</w:t>
      </w:r>
      <w:r>
        <w:tab/>
        <w:t>3(1)</w:t>
      </w:r>
    </w:p>
    <w:p>
      <w:pPr>
        <w:pStyle w:val="DefinedTerms"/>
      </w:pPr>
      <w:r>
        <w:t>fishing vessel</w:t>
      </w:r>
      <w:r>
        <w:tab/>
        <w:t>3(1)</w:t>
      </w:r>
    </w:p>
    <w:p>
      <w:pPr>
        <w:pStyle w:val="DefinedTerms"/>
      </w:pPr>
      <w:r>
        <w:t>floating restaurant</w:t>
      </w:r>
      <w:r>
        <w:tab/>
        <w:t>3(1)</w:t>
      </w:r>
    </w:p>
    <w:p>
      <w:pPr>
        <w:pStyle w:val="DefinedTerms"/>
      </w:pPr>
      <w:r>
        <w:t>foreign vessel</w:t>
      </w:r>
      <w:r>
        <w:tab/>
        <w:t>3(1)</w:t>
      </w:r>
    </w:p>
    <w:p>
      <w:pPr>
        <w:pStyle w:val="DefinedTerms"/>
      </w:pPr>
      <w:r>
        <w:t>former Navigation Act</w:t>
      </w:r>
      <w:r>
        <w:tab/>
        <w:t>3(1)</w:t>
      </w:r>
    </w:p>
    <w:p>
      <w:pPr>
        <w:pStyle w:val="DefinedTerms"/>
      </w:pPr>
      <w:r>
        <w:t>Government vessel</w:t>
      </w:r>
      <w:r>
        <w:tab/>
        <w:t>3(1)</w:t>
      </w:r>
    </w:p>
    <w:p>
      <w:pPr>
        <w:pStyle w:val="DefinedTerms"/>
      </w:pPr>
      <w:r>
        <w:t>grievous bodily harm</w:t>
      </w:r>
      <w:r>
        <w:tab/>
        <w:t>3(1)</w:t>
      </w:r>
    </w:p>
    <w:p>
      <w:pPr>
        <w:pStyle w:val="DefinedTerms"/>
      </w:pPr>
      <w:r>
        <w:t>identification details</w:t>
      </w:r>
      <w:r>
        <w:tab/>
        <w:t>64</w:t>
      </w:r>
    </w:p>
    <w:p>
      <w:pPr>
        <w:pStyle w:val="DefinedTerms"/>
      </w:pPr>
      <w:r>
        <w:t>identity card</w:t>
      </w:r>
      <w:r>
        <w:tab/>
        <w:t>3(1)</w:t>
      </w:r>
    </w:p>
    <w:p>
      <w:pPr>
        <w:pStyle w:val="DefinedTerms"/>
      </w:pPr>
      <w:r>
        <w:t>improvement notice</w:t>
      </w:r>
      <w:r>
        <w:tab/>
        <w:t>22(1)</w:t>
      </w:r>
    </w:p>
    <w:p>
      <w:pPr>
        <w:pStyle w:val="DefinedTerms"/>
      </w:pPr>
      <w:r>
        <w:t>incompetence</w:t>
      </w:r>
      <w:r>
        <w:tab/>
        <w:t>3(1)</w:t>
      </w:r>
    </w:p>
    <w:p>
      <w:pPr>
        <w:pStyle w:val="DefinedTerms"/>
      </w:pPr>
      <w:r>
        <w:t>incompetent</w:t>
      </w:r>
      <w:r>
        <w:tab/>
        <w:t>3(1)</w:t>
      </w:r>
    </w:p>
    <w:p>
      <w:pPr>
        <w:pStyle w:val="DefinedTerms"/>
      </w:pPr>
      <w:r>
        <w:t>infringement notice</w:t>
      </w:r>
      <w:r>
        <w:tab/>
        <w:t>3(1)</w:t>
      </w:r>
    </w:p>
    <w:p>
      <w:pPr>
        <w:pStyle w:val="DefinedTerms"/>
      </w:pPr>
      <w:r>
        <w:t>initial notice</w:t>
      </w:r>
      <w:r>
        <w:tab/>
        <w:t>61(2)</w:t>
      </w:r>
    </w:p>
    <w:p>
      <w:pPr>
        <w:pStyle w:val="DefinedTerms"/>
      </w:pPr>
      <w:r>
        <w:t>inshore operations</w:t>
      </w:r>
      <w:r>
        <w:tab/>
        <w:t>3(1)</w:t>
      </w:r>
    </w:p>
    <w:p>
      <w:pPr>
        <w:pStyle w:val="DefinedTerms"/>
      </w:pPr>
      <w:r>
        <w:t>inspector</w:t>
      </w:r>
      <w:r>
        <w:tab/>
        <w:t>3(1)</w:t>
      </w:r>
    </w:p>
    <w:p>
      <w:pPr>
        <w:pStyle w:val="DefinedTerms"/>
      </w:pPr>
      <w:r>
        <w:t>inter-state voyage</w:t>
      </w:r>
      <w:r>
        <w:tab/>
        <w:t>84(2), 90(2)</w:t>
      </w:r>
    </w:p>
    <w:p>
      <w:pPr>
        <w:pStyle w:val="DefinedTerms"/>
      </w:pPr>
      <w:r>
        <w:t>involved</w:t>
      </w:r>
      <w:r>
        <w:tab/>
        <w:t>75A, 75AB</w:t>
      </w:r>
    </w:p>
    <w:p>
      <w:pPr>
        <w:pStyle w:val="DefinedTerms"/>
      </w:pPr>
      <w:r>
        <w:t>judicial officer</w:t>
      </w:r>
      <w:r>
        <w:tab/>
        <w:t>6(1)</w:t>
      </w:r>
    </w:p>
    <w:p>
      <w:pPr>
        <w:pStyle w:val="DefinedTerms"/>
      </w:pPr>
      <w:r>
        <w:t>leave vessel, accompany officer or wait requirement</w:t>
      </w:r>
      <w:r>
        <w:tab/>
        <w:t>3(1)</w:t>
      </w:r>
    </w:p>
    <w:p>
      <w:pPr>
        <w:pStyle w:val="DefinedTerms"/>
      </w:pPr>
      <w:r>
        <w:t>legal proceeding under this Act</w:t>
      </w:r>
      <w:r>
        <w:tab/>
        <w:t>127(2)</w:t>
      </w:r>
    </w:p>
    <w:p>
      <w:pPr>
        <w:pStyle w:val="DefinedTerms"/>
      </w:pPr>
      <w:r>
        <w:t>Limitation Convention</w:t>
      </w:r>
      <w:r>
        <w:tab/>
        <w:t>76</w:t>
      </w:r>
    </w:p>
    <w:p>
      <w:pPr>
        <w:pStyle w:val="DefinedTerms"/>
      </w:pPr>
      <w:r>
        <w:t>Manning Committee</w:t>
      </w:r>
      <w:r>
        <w:tab/>
        <w:t>3(1)</w:t>
      </w:r>
    </w:p>
    <w:p>
      <w:pPr>
        <w:pStyle w:val="DefinedTerms"/>
      </w:pPr>
      <w:r>
        <w:t>marine incident</w:t>
      </w:r>
      <w:r>
        <w:tab/>
        <w:t>64</w:t>
      </w:r>
    </w:p>
    <w:p>
      <w:pPr>
        <w:pStyle w:val="DefinedTerms"/>
      </w:pPr>
      <w:r>
        <w:t>marine qualification</w:t>
      </w:r>
      <w:r>
        <w:tab/>
        <w:t>3(1)</w:t>
      </w:r>
    </w:p>
    <w:p>
      <w:pPr>
        <w:pStyle w:val="DefinedTerms"/>
      </w:pPr>
      <w:r>
        <w:t>marine qualification information</w:t>
      </w:r>
      <w:r>
        <w:tab/>
        <w:t>3(1)</w:t>
      </w:r>
    </w:p>
    <w:p>
      <w:pPr>
        <w:pStyle w:val="DefinedTerms"/>
      </w:pPr>
      <w:r>
        <w:t>master</w:t>
      </w:r>
      <w:r>
        <w:tab/>
        <w:t>3(1)</w:t>
      </w:r>
    </w:p>
    <w:p>
      <w:pPr>
        <w:pStyle w:val="DefinedTerms"/>
      </w:pPr>
      <w:r>
        <w:t>medical practitioner</w:t>
      </w:r>
      <w:r>
        <w:tab/>
        <w:t>3(1)</w:t>
      </w:r>
    </w:p>
    <w:p>
      <w:pPr>
        <w:pStyle w:val="DefinedTerms"/>
      </w:pPr>
      <w:r>
        <w:t>Merchant Shipping Act</w:t>
      </w:r>
      <w:r>
        <w:tab/>
        <w:t>135(3)</w:t>
      </w:r>
    </w:p>
    <w:p>
      <w:pPr>
        <w:pStyle w:val="DefinedTerms"/>
      </w:pPr>
      <w:r>
        <w:t>misconduct</w:t>
      </w:r>
      <w:r>
        <w:tab/>
        <w:t>3(1)</w:t>
      </w:r>
    </w:p>
    <w:p>
      <w:pPr>
        <w:pStyle w:val="DefinedTerms"/>
      </w:pPr>
      <w:r>
        <w:t>mooring information</w:t>
      </w:r>
      <w:r>
        <w:tab/>
        <w:t>3(1)</w:t>
      </w:r>
    </w:p>
    <w:p>
      <w:pPr>
        <w:pStyle w:val="DefinedTerms"/>
      </w:pPr>
      <w:r>
        <w:t>navigate</w:t>
      </w:r>
      <w:r>
        <w:tab/>
        <w:t>75A, 124GS(1)</w:t>
      </w:r>
    </w:p>
    <w:p>
      <w:pPr>
        <w:pStyle w:val="DefinedTerms"/>
      </w:pPr>
      <w:r>
        <w:t>navigates</w:t>
      </w:r>
      <w:r>
        <w:tab/>
        <w:t>75AA(2)</w:t>
      </w:r>
    </w:p>
    <w:p>
      <w:pPr>
        <w:pStyle w:val="DefinedTerms"/>
      </w:pPr>
      <w:r>
        <w:t>Navigation Act</w:t>
      </w:r>
      <w:r>
        <w:tab/>
        <w:t>3(1)</w:t>
      </w:r>
    </w:p>
    <w:p>
      <w:pPr>
        <w:pStyle w:val="DefinedTerms"/>
      </w:pPr>
      <w:r>
        <w:t>nurse practitioner</w:t>
      </w:r>
      <w:r>
        <w:tab/>
        <w:t>3(1)</w:t>
      </w:r>
    </w:p>
    <w:p>
      <w:pPr>
        <w:pStyle w:val="DefinedTerms"/>
      </w:pPr>
      <w:r>
        <w:lastRenderedPageBreak/>
        <w:t>occupier</w:t>
      </w:r>
      <w:r>
        <w:tab/>
        <w:t>6(1)</w:t>
      </w:r>
    </w:p>
    <w:p>
      <w:pPr>
        <w:pStyle w:val="DefinedTerms"/>
      </w:pPr>
      <w:r>
        <w:t>officer</w:t>
      </w:r>
      <w:r>
        <w:tab/>
        <w:t>3(1)</w:t>
      </w:r>
    </w:p>
    <w:p>
      <w:pPr>
        <w:pStyle w:val="DefinedTerms"/>
      </w:pPr>
      <w:r>
        <w:t>official</w:t>
      </w:r>
      <w:r>
        <w:tab/>
        <w:t>3(1), 119</w:t>
      </w:r>
    </w:p>
    <w:p>
      <w:pPr>
        <w:pStyle w:val="DefinedTerms"/>
      </w:pPr>
      <w:r>
        <w:t>official details</w:t>
      </w:r>
      <w:r>
        <w:tab/>
        <w:t>6(1)</w:t>
      </w:r>
    </w:p>
    <w:p>
      <w:pPr>
        <w:pStyle w:val="DefinedTerms"/>
      </w:pPr>
      <w:r>
        <w:t>offshore operations</w:t>
      </w:r>
      <w:r>
        <w:tab/>
        <w:t>3(1)</w:t>
      </w:r>
    </w:p>
    <w:p>
      <w:pPr>
        <w:pStyle w:val="DefinedTerms"/>
      </w:pPr>
      <w:r>
        <w:t>operate</w:t>
      </w:r>
      <w:r>
        <w:tab/>
        <w:t>75A</w:t>
      </w:r>
    </w:p>
    <w:p>
      <w:pPr>
        <w:pStyle w:val="DefinedTerms"/>
      </w:pPr>
      <w:r>
        <w:t>operates</w:t>
      </w:r>
      <w:r>
        <w:tab/>
        <w:t>75AA(1)</w:t>
      </w:r>
    </w:p>
    <w:p>
      <w:pPr>
        <w:pStyle w:val="DefinedTerms"/>
      </w:pPr>
      <w:r>
        <w:t>overseas voyage</w:t>
      </w:r>
      <w:r>
        <w:tab/>
        <w:t>84(2), 90(2)</w:t>
      </w:r>
    </w:p>
    <w:p>
      <w:pPr>
        <w:pStyle w:val="DefinedTerms"/>
      </w:pPr>
      <w:r>
        <w:t>owner</w:t>
      </w:r>
      <w:r>
        <w:tab/>
        <w:t>3(1), 98(1)</w:t>
      </w:r>
    </w:p>
    <w:p>
      <w:pPr>
        <w:pStyle w:val="DefinedTerms"/>
      </w:pPr>
      <w:r>
        <w:t>partially smooth waters</w:t>
      </w:r>
      <w:r>
        <w:tab/>
        <w:t>3(1)</w:t>
      </w:r>
    </w:p>
    <w:p>
      <w:pPr>
        <w:pStyle w:val="DefinedTerms"/>
      </w:pPr>
      <w:r>
        <w:t>passenger</w:t>
      </w:r>
      <w:r>
        <w:tab/>
        <w:t>3(1)</w:t>
      </w:r>
    </w:p>
    <w:p>
      <w:pPr>
        <w:pStyle w:val="DefinedTerms"/>
      </w:pPr>
      <w:r>
        <w:t>passenger vessel</w:t>
      </w:r>
      <w:r>
        <w:tab/>
        <w:t>3(1)</w:t>
      </w:r>
    </w:p>
    <w:p>
      <w:pPr>
        <w:pStyle w:val="DefinedTerms"/>
      </w:pPr>
      <w:r>
        <w:t>personal watercraft</w:t>
      </w:r>
      <w:r>
        <w:tab/>
        <w:t>3(1)</w:t>
      </w:r>
    </w:p>
    <w:p>
      <w:pPr>
        <w:pStyle w:val="DefinedTerms"/>
      </w:pPr>
      <w:r>
        <w:t>person who was in charge of the vessel</w:t>
      </w:r>
      <w:r>
        <w:tab/>
        <w:t>132(12), 133(5)</w:t>
      </w:r>
    </w:p>
    <w:p>
      <w:pPr>
        <w:pStyle w:val="DefinedTerms"/>
      </w:pPr>
      <w:r>
        <w:t>pilot</w:t>
      </w:r>
      <w:r>
        <w:tab/>
        <w:t>3(1)</w:t>
      </w:r>
    </w:p>
    <w:p>
      <w:pPr>
        <w:pStyle w:val="DefinedTerms"/>
      </w:pPr>
      <w:r>
        <w:t>pleasure vessel</w:t>
      </w:r>
      <w:r>
        <w:tab/>
        <w:t>3(1), 98(1)</w:t>
      </w:r>
    </w:p>
    <w:p>
      <w:pPr>
        <w:pStyle w:val="DefinedTerms"/>
      </w:pPr>
      <w:r>
        <w:t>ply</w:t>
      </w:r>
      <w:r>
        <w:tab/>
        <w:t>3(1)</w:t>
      </w:r>
    </w:p>
    <w:p>
      <w:pPr>
        <w:pStyle w:val="DefinedTerms"/>
      </w:pPr>
      <w:r>
        <w:t>port</w:t>
      </w:r>
      <w:r>
        <w:tab/>
        <w:t>3(1)</w:t>
      </w:r>
    </w:p>
    <w:p>
      <w:pPr>
        <w:pStyle w:val="DefinedTerms"/>
      </w:pPr>
      <w:r>
        <w:t>premises</w:t>
      </w:r>
      <w:r>
        <w:tab/>
        <w:t>6(1)</w:t>
      </w:r>
    </w:p>
    <w:p>
      <w:pPr>
        <w:pStyle w:val="DefinedTerms"/>
      </w:pPr>
      <w:r>
        <w:t>prescribed</w:t>
      </w:r>
      <w:r>
        <w:tab/>
        <w:t>3(1)</w:t>
      </w:r>
    </w:p>
    <w:p>
      <w:pPr>
        <w:pStyle w:val="DefinedTerms"/>
      </w:pPr>
      <w:r>
        <w:t>prescribed illicit drug</w:t>
      </w:r>
      <w:r>
        <w:tab/>
        <w:t>3(1)</w:t>
      </w:r>
    </w:p>
    <w:p>
      <w:pPr>
        <w:pStyle w:val="DefinedTerms"/>
      </w:pPr>
      <w:r>
        <w:t>prescribed vessel</w:t>
      </w:r>
      <w:r>
        <w:tab/>
        <w:t>3(1)</w:t>
      </w:r>
    </w:p>
    <w:p>
      <w:pPr>
        <w:pStyle w:val="DefinedTerms"/>
      </w:pPr>
      <w:r>
        <w:t>Prevention of Collisions Convention</w:t>
      </w:r>
      <w:r>
        <w:tab/>
        <w:t>76</w:t>
      </w:r>
    </w:p>
    <w:p>
      <w:pPr>
        <w:pStyle w:val="DefinedTerms"/>
      </w:pPr>
      <w:r>
        <w:t>Protocol of 1978 relating to the Safety Convention</w:t>
      </w:r>
      <w:r>
        <w:tab/>
        <w:t>76</w:t>
      </w:r>
    </w:p>
    <w:p>
      <w:pPr>
        <w:pStyle w:val="DefinedTerms"/>
      </w:pPr>
      <w:r>
        <w:t>publication day</w:t>
      </w:r>
      <w:r>
        <w:tab/>
        <w:t>137(1), 139(1)</w:t>
      </w:r>
    </w:p>
    <w:p>
      <w:pPr>
        <w:pStyle w:val="DefinedTerms"/>
      </w:pPr>
      <w:r>
        <w:t>regulated Australian vessel</w:t>
      </w:r>
      <w:r>
        <w:tab/>
        <w:t>3(1)</w:t>
      </w:r>
    </w:p>
    <w:p>
      <w:pPr>
        <w:pStyle w:val="DefinedTerms"/>
      </w:pPr>
      <w:r>
        <w:t>relevant information</w:t>
      </w:r>
      <w:r>
        <w:tab/>
        <w:t>35(1)</w:t>
      </w:r>
    </w:p>
    <w:p>
      <w:pPr>
        <w:pStyle w:val="DefinedTerms"/>
      </w:pPr>
      <w:r>
        <w:t>relevant vessel</w:t>
      </w:r>
      <w:r>
        <w:tab/>
        <w:t>124GS(1)</w:t>
      </w:r>
    </w:p>
    <w:p>
      <w:pPr>
        <w:pStyle w:val="DefinedTerms"/>
      </w:pPr>
      <w:r>
        <w:t>remote communication</w:t>
      </w:r>
      <w:r>
        <w:tab/>
        <w:t>6(1)</w:t>
      </w:r>
    </w:p>
    <w:p>
      <w:pPr>
        <w:pStyle w:val="DefinedTerms"/>
      </w:pPr>
      <w:r>
        <w:t>repeal day</w:t>
      </w:r>
      <w:r>
        <w:tab/>
        <w:t>138(1)</w:t>
      </w:r>
    </w:p>
    <w:p>
      <w:pPr>
        <w:pStyle w:val="DefinedTerms"/>
      </w:pPr>
      <w:r>
        <w:t>repealed Act</w:t>
      </w:r>
      <w:r>
        <w:tab/>
        <w:t>3(1)</w:t>
      </w:r>
    </w:p>
    <w:p>
      <w:pPr>
        <w:pStyle w:val="DefinedTerms"/>
      </w:pPr>
      <w:r>
        <w:t>responsible person</w:t>
      </w:r>
      <w:r>
        <w:tab/>
        <w:t>64D(1)</w:t>
      </w:r>
    </w:p>
    <w:p>
      <w:pPr>
        <w:pStyle w:val="DefinedTerms"/>
      </w:pPr>
      <w:r>
        <w:t>restricted offshore operations</w:t>
      </w:r>
      <w:r>
        <w:tab/>
        <w:t>3(1)</w:t>
      </w:r>
    </w:p>
    <w:p>
      <w:pPr>
        <w:pStyle w:val="DefinedTerms"/>
      </w:pPr>
      <w:r>
        <w:t>Safety Convention</w:t>
      </w:r>
      <w:r>
        <w:tab/>
        <w:t>76</w:t>
      </w:r>
    </w:p>
    <w:p>
      <w:pPr>
        <w:pStyle w:val="DefinedTerms"/>
      </w:pPr>
      <w:r>
        <w:t>safety manning</w:t>
      </w:r>
      <w:r>
        <w:tab/>
        <w:t>3(1)</w:t>
      </w:r>
    </w:p>
    <w:p>
      <w:pPr>
        <w:pStyle w:val="DefinedTerms"/>
      </w:pPr>
      <w:r>
        <w:t>Scheduled Domestic Commercial Vessel National Law</w:t>
      </w:r>
      <w:r>
        <w:tab/>
        <w:t>3(1)</w:t>
      </w:r>
    </w:p>
    <w:p>
      <w:pPr>
        <w:pStyle w:val="DefinedTerms"/>
      </w:pPr>
      <w:r>
        <w:t>sea</w:t>
      </w:r>
      <w:r>
        <w:tab/>
        <w:t>76</w:t>
      </w:r>
    </w:p>
    <w:p>
      <w:pPr>
        <w:pStyle w:val="DefinedTerms"/>
      </w:pPr>
      <w:r>
        <w:t>seaman</w:t>
      </w:r>
      <w:r>
        <w:tab/>
        <w:t>3(1)</w:t>
      </w:r>
    </w:p>
    <w:p>
      <w:pPr>
        <w:pStyle w:val="DefinedTerms"/>
      </w:pPr>
      <w:r>
        <w:t>sheltered water passenger vessel</w:t>
      </w:r>
      <w:r>
        <w:tab/>
        <w:t>76</w:t>
      </w:r>
    </w:p>
    <w:p>
      <w:pPr>
        <w:pStyle w:val="DefinedTerms"/>
      </w:pPr>
      <w:r>
        <w:t>smooth waters</w:t>
      </w:r>
      <w:r>
        <w:tab/>
        <w:t>3(1)</w:t>
      </w:r>
    </w:p>
    <w:p>
      <w:pPr>
        <w:pStyle w:val="DefinedTerms"/>
      </w:pPr>
      <w:r>
        <w:t>special personnel</w:t>
      </w:r>
      <w:r>
        <w:tab/>
        <w:t>3(1)</w:t>
      </w:r>
    </w:p>
    <w:p>
      <w:pPr>
        <w:pStyle w:val="DefinedTerms"/>
      </w:pPr>
      <w:r>
        <w:t>specified</w:t>
      </w:r>
      <w:r>
        <w:tab/>
        <w:t>3(1), 114(3), 139(1)</w:t>
      </w:r>
    </w:p>
    <w:p>
      <w:pPr>
        <w:pStyle w:val="DefinedTerms"/>
      </w:pPr>
      <w:r>
        <w:t>speed measuring equipment</w:t>
      </w:r>
      <w:r>
        <w:tab/>
        <w:t>68(5)</w:t>
      </w:r>
    </w:p>
    <w:p>
      <w:pPr>
        <w:pStyle w:val="DefinedTerms"/>
      </w:pPr>
      <w:r>
        <w:t>State waters</w:t>
      </w:r>
      <w:r>
        <w:tab/>
        <w:t>3(1)</w:t>
      </w:r>
    </w:p>
    <w:p>
      <w:pPr>
        <w:pStyle w:val="DefinedTerms"/>
      </w:pPr>
      <w:r>
        <w:lastRenderedPageBreak/>
        <w:t>surveyor</w:t>
      </w:r>
      <w:r>
        <w:tab/>
        <w:t>3(1)</w:t>
      </w:r>
    </w:p>
    <w:p>
      <w:pPr>
        <w:pStyle w:val="DefinedTerms"/>
      </w:pPr>
      <w:r>
        <w:t>territorial sea</w:t>
      </w:r>
      <w:r>
        <w:tab/>
        <w:t>3(1)</w:t>
      </w:r>
    </w:p>
    <w:p>
      <w:pPr>
        <w:pStyle w:val="DefinedTerms"/>
      </w:pPr>
      <w:r>
        <w:t>trading ship</w:t>
      </w:r>
      <w:r>
        <w:tab/>
        <w:t>3(1)</w:t>
      </w:r>
    </w:p>
    <w:p>
      <w:pPr>
        <w:pStyle w:val="DefinedTerms"/>
      </w:pPr>
      <w:r>
        <w:t>transitional matter</w:t>
      </w:r>
      <w:r>
        <w:tab/>
        <w:t>139(1)</w:t>
      </w:r>
    </w:p>
    <w:p>
      <w:pPr>
        <w:pStyle w:val="DefinedTerms"/>
      </w:pPr>
      <w:r>
        <w:t>transitional regulations</w:t>
      </w:r>
      <w:r>
        <w:tab/>
        <w:t>137(1), 139(2)</w:t>
      </w:r>
    </w:p>
    <w:p>
      <w:pPr>
        <w:pStyle w:val="DefinedTerms"/>
      </w:pPr>
      <w:r>
        <w:t>vessel</w:t>
      </w:r>
      <w:r>
        <w:tab/>
        <w:t>3(1)</w:t>
      </w:r>
    </w:p>
    <w:p>
      <w:pPr>
        <w:pStyle w:val="DefinedTerms"/>
      </w:pPr>
      <w:r>
        <w:t>vessel information</w:t>
      </w:r>
      <w:r>
        <w:tab/>
        <w:t>3(1)</w:t>
      </w:r>
    </w:p>
    <w:p>
      <w:pPr>
        <w:pStyle w:val="DefinedTerms"/>
      </w:pPr>
      <w:r>
        <w:t>wages</w:t>
      </w:r>
      <w:r>
        <w:tab/>
        <w:t>3(1)</w:t>
      </w:r>
    </w:p>
    <w:p>
      <w:pPr>
        <w:pStyle w:val="DefinedTerms"/>
      </w:pPr>
      <w:r>
        <w:t>WA marine qualification</w:t>
      </w:r>
      <w:r>
        <w:tab/>
        <w:t>3(1)</w:t>
      </w:r>
    </w:p>
    <w:p>
      <w:pPr>
        <w:pStyle w:val="DefinedTerms"/>
      </w:pPr>
      <w:r>
        <w:t>warrant</w:t>
      </w:r>
      <w:r>
        <w:tab/>
        <w:t>6(1)</w:t>
      </w:r>
    </w:p>
    <w:p>
      <w:pPr>
        <w:pStyle w:val="DefinedTerms"/>
      </w:pPr>
      <w:r>
        <w:t>waters</w:t>
      </w:r>
      <w:r>
        <w:tab/>
        <w:t>71(5)</w:t>
      </w:r>
    </w:p>
    <w:p>
      <w:pPr>
        <w:pStyle w:val="DefinedTerms"/>
      </w:pPr>
      <w:r>
        <w:t>young person</w:t>
      </w:r>
      <w:r>
        <w:tab/>
        <w:t>124I</w:t>
      </w:r>
    </w:p>
    <w:p/>
    <w:p>
      <w:pPr>
        <w:pStyle w:val="DefinedTerms"/>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4A53EC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0E741AD" w14:textId="1F9ED724" w:rsidR="00B70A60" w:rsidRDefault="0085423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355D1">
                        <w:rPr>
                          <w:sz w:val="16"/>
                        </w:rPr>
                        <w:t>2023</w:t>
                      </w:r>
                      <w:r>
                        <w:rPr>
                          <w:sz w:val="16"/>
                        </w:rPr>
                        <w:fldChar w:fldCharType="end"/>
                      </w:r>
                      <w:r>
                        <w:rPr>
                          <w:sz w:val="16"/>
                        </w:rPr>
                        <w:t>.</w:t>
                      </w:r>
                    </w:p>
                    <w:p w14:paraId="62CF4869" w14:textId="77777777" w:rsidR="00B70A60" w:rsidRDefault="0085423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519D7AF" w14:textId="01AA4547" w:rsidR="00B70A60" w:rsidRDefault="0085423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355D1">
                        <w:rPr>
                          <w:sz w:val="16"/>
                        </w:rPr>
                        <w:t>2023</w:t>
                      </w:r>
                      <w:r>
                        <w:rPr>
                          <w:sz w:val="16"/>
                        </w:rPr>
                        <w:fldChar w:fldCharType="end"/>
                      </w:r>
                      <w:r>
                        <w:rPr>
                          <w:sz w:val="16"/>
                        </w:rPr>
                        <w:t>.</w:t>
                      </w:r>
                    </w:p>
                    <w:p w14:paraId="0B7431DD" w14:textId="77777777" w:rsidR="00B70A60" w:rsidRDefault="0085423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03-f0-02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03-f0-02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542" w:name="Schedule"/>
    <w:bookmarkEnd w:id="5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50" w:name="Compilation"/>
    <w:bookmarkEnd w:id="55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2" w:name="DefinedTerms"/>
    <w:bookmarkEnd w:id="55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3" w:name="Coversheet"/>
    <w:bookmarkEnd w:id="5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0"/>
  </w:num>
  <w:num w:numId="16">
    <w:abstractNumId w:val="20"/>
  </w:num>
  <w:num w:numId="17">
    <w:abstractNumId w:val="11"/>
  </w:num>
  <w:num w:numId="18">
    <w:abstractNumId w:val="12"/>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7041">
      <v:stroke endarrow="open" endarrowwidth="narrow"/>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3162155"/>
    <w:docVar w:name="WAFER_20140204120529" w:val="RemoveTocBookmarks,RemoveUnusedBookmarks,RemoveLanguageTags,UsedStyles,ResetPageSize,UpdateArrangement"/>
    <w:docVar w:name="WAFER_20140204120529_GUID" w:val="c609a752-54db-41be-831d-1a50756c3f73"/>
    <w:docVar w:name="WAFER_20140204122815" w:val="RemoveTocBookmarks,RunningHeaders"/>
    <w:docVar w:name="WAFER_20140204122815_GUID" w:val="b78d210a-8884-457d-93ad-2da9b2628c50"/>
    <w:docVar w:name="WAFER_20150713160322" w:val="ResetPageSize,UpdateArrangement,UpdateNTable"/>
    <w:docVar w:name="WAFER_20150713160322_GUID" w:val="468ed9d7-70fc-4cee-a808-53e365bf447e"/>
    <w:docVar w:name="WAFER_20151110121832" w:val="UpdateStyles,UsedStyles"/>
    <w:docVar w:name="WAFER_20151110121832_GUID" w:val="30731f47-ad18-45c8-ba26-84d7c6964571"/>
    <w:docVar w:name="WAFER_20190227105224" w:val="RemoveTocBookmarks,RemoveUnusedBookmarks,RemoveLanguageTags,UpdateStyles,UsedStyles,ResetPageSize"/>
    <w:docVar w:name="WAFER_20190227105224_GUID" w:val="1da0ecba-e654-4628-82a5-1c71f57f84e5"/>
    <w:docVar w:name="WAFER_202002121043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4356_GUID" w:val="ccf62f10-5a23-472d-a4bb-cbd26dde0ced"/>
    <w:docVar w:name="WAFER_20230413163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413163434_GUID" w:val="09fda80e-4b59-4a38-9f32-4ba3f98ea8b8"/>
    <w:docVar w:name="WAFER_20231023112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12609_GUID" w:val="a8a08af6-13af-4460-855f-ad3fbccfe543"/>
    <w:docVar w:name="WAFER_20231206153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3407_GUID" w:val="6447f906-920c-41ef-8f05-095a81d45d55"/>
    <w:docVar w:name="WAFER_20231213162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3162155_GUID" w:val="cf2d537a-2ca2-4647-a744-8044fcb2ae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v:stroke endarrow="open" endarrowwidth="narrow"/>
    </o:shapedefaults>
    <o:shapelayout v:ext="edit">
      <o:idmap v:ext="edit" data="1"/>
    </o:shapelayout>
  </w:shapeDefaults>
  <w:decimalSymbol w:val="."/>
  <w:listSeparator w:val=","/>
  <w15:docId w15:val="{F89EB35C-AF4D-41BF-876B-65E87B7D8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uiPriority w:val="22"/>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uiPriority w:val="20"/>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sectionChar">
    <w:name w:val="Subsection Char"/>
    <w:link w:val="Subsection"/>
    <w:locked/>
    <w:rPr>
      <w:sz w:val="24"/>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 w:type="paragraph" w:customStyle="1" w:styleId="Heding5">
    <w:name w:val="Heding 5"/>
    <w:basedOn w:val="Heading5"/>
  </w:style>
  <w:style w:type="character" w:customStyle="1" w:styleId="CommentTextChar">
    <w:name w:val="Comment Text Char"/>
    <w:basedOn w:val="DefaultParagraphFont"/>
    <w:link w:val="CommentText"/>
    <w:semiHidden/>
    <w:rPr>
      <w:sz w:val="24"/>
    </w:rPr>
  </w:style>
  <w:style w:type="paragraph" w:customStyle="1" w:styleId="Heading50">
    <w:name w:val="Heading5"/>
    <w:basedOn w:val="Heading5"/>
  </w:style>
  <w:style w:type="paragraph" w:customStyle="1" w:styleId="Headig2">
    <w:name w:val="Headig 2"/>
    <w:basedOn w:val="Heading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footer" Target="footer8.xml"/><Relationship Id="rId21" Type="http://schemas.openxmlformats.org/officeDocument/2006/relationships/header" Target="header8.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oleObject" Target="embeddings/oleObject1.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image" Target="media/image6.png"/><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5.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wmf"/><Relationship Id="rId33" Type="http://schemas.openxmlformats.org/officeDocument/2006/relationships/header" Target="header14.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74971</Words>
  <Characters>366610</Characters>
  <Application>Microsoft Office Word</Application>
  <DocSecurity>0</DocSecurity>
  <Lines>9400</Lines>
  <Paragraphs>5017</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436564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1982 - 03-f0-02</dc:title>
  <dc:subject/>
  <dc:creator/>
  <cp:keywords/>
  <dc:description/>
  <cp:lastModifiedBy>Master Repository Process</cp:lastModifiedBy>
  <cp:revision>4</cp:revision>
  <cp:lastPrinted>2023-10-25T07:45:00Z</cp:lastPrinted>
  <dcterms:created xsi:type="dcterms:W3CDTF">2025-06-06T03:28:00Z</dcterms:created>
  <dcterms:modified xsi:type="dcterms:W3CDTF">2025-06-06T03:29:00Z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DocumentType">
    <vt:lpwstr>Act</vt:lpwstr>
  </property>
  <property fmtid="{D5CDD505-2E9C-101B-9397-08002B2CF9AE}" pid="4" name="OwlsUID">
    <vt:i4>889</vt:i4>
  </property>
  <property fmtid="{D5CDD505-2E9C-101B-9397-08002B2CF9AE}" pid="5" name="ThisVersion">
    <vt:lpwstr>02-f0-00</vt:lpwstr>
  </property>
  <property fmtid="{D5CDD505-2E9C-101B-9397-08002B2CF9AE}" pid="6" name="ReprintNo">
    <vt:lpwstr>3</vt:lpwstr>
  </property>
  <property fmtid="{D5CDD505-2E9C-101B-9397-08002B2CF9AE}" pid="7" name="ReprintedAsAt">
    <vt:filetime>2012-07-26T16:00:00Z</vt:filetime>
  </property>
  <property fmtid="{D5CDD505-2E9C-101B-9397-08002B2CF9AE}" pid="8" name="AsAtDate">
    <vt:lpwstr>21 Dec 2023</vt:lpwstr>
  </property>
  <property fmtid="{D5CDD505-2E9C-101B-9397-08002B2CF9AE}" pid="9" name="Suffix">
    <vt:lpwstr>03-f0-02</vt:lpwstr>
  </property>
  <property fmtid="{D5CDD505-2E9C-101B-9397-08002B2CF9AE}" pid="10" name="Official">
    <vt:lpwstr/>
  </property>
  <property fmtid="{D5CDD505-2E9C-101B-9397-08002B2CF9AE}" pid="11" name="CommencementDate">
    <vt:lpwstr>20231221</vt:lpwstr>
  </property>
  <property fmtid="{D5CDD505-2E9C-101B-9397-08002B2CF9AE}" pid="12" name="CommencementYear">
    <vt:lpwstr>2023</vt:lpwstr>
  </property>
</Properties>
</file>