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_Toc154048595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_Toc154048596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 — Classes of local governments</w:t>
      </w:r>
    </w:p>
    <w:p>
      <w:pPr>
        <w:pStyle w:val="TOC8"/>
        <w:rPr>
          <w:rFonts w:asciiTheme="minorHAnsi" w:eastAsiaTheme="minorEastAsia" w:hAnsiTheme="minorHAnsi" w:cstheme="minorBidi"/>
          <w:szCs w:val="22"/>
        </w:rPr>
      </w:pPr>
      <w:r>
        <w:t>2A.</w:t>
      </w:r>
      <w:r>
        <w:tab/>
        <w:t>Local governments divided into 4 classes</w:t>
      </w:r>
      <w:r>
        <w:tab/>
      </w:r>
      <w:r>
        <w:fldChar w:fldCharType="begin"/>
      </w:r>
      <w:r>
        <w:instrText xml:space="preserve"> PAGEREF _Toc154048598 \h </w:instrText>
      </w:r>
      <w:r>
        <w:fldChar w:fldCharType="separate"/>
      </w:r>
      <w:r>
        <w:t>2</w:t>
      </w:r>
      <w:r>
        <w:fldChar w:fldCharType="end"/>
      </w:r>
    </w:p>
    <w:p>
      <w:pPr>
        <w:pStyle w:val="TOC8"/>
        <w:rPr>
          <w:rFonts w:asciiTheme="minorHAnsi" w:eastAsiaTheme="minorEastAsia" w:hAnsiTheme="minorHAnsi" w:cstheme="minorBidi"/>
          <w:szCs w:val="22"/>
        </w:rPr>
      </w:pPr>
      <w:r>
        <w:t>2B.</w:t>
      </w:r>
      <w:r>
        <w:tab/>
        <w:t>Regional local governments</w:t>
      </w:r>
      <w:r>
        <w:tab/>
      </w:r>
      <w:r>
        <w:fldChar w:fldCharType="begin"/>
      </w:r>
      <w:r>
        <w:instrText xml:space="preserve"> PAGEREF _Toc154048599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Districts and wards</w:t>
      </w:r>
    </w:p>
    <w:p>
      <w:pPr>
        <w:pStyle w:val="TOC4"/>
        <w:tabs>
          <w:tab w:val="right" w:leader="dot" w:pos="7077"/>
        </w:tabs>
        <w:rPr>
          <w:rFonts w:asciiTheme="minorHAnsi" w:eastAsiaTheme="minorEastAsia" w:hAnsiTheme="minorHAnsi" w:cstheme="minorBidi"/>
          <w:b w:val="0"/>
          <w:szCs w:val="22"/>
        </w:rPr>
      </w:pPr>
      <w:r>
        <w:t>Division 1 — Orders under section 2.1</w:t>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_Toc154048602 \h </w:instrText>
      </w:r>
      <w:r>
        <w:fldChar w:fldCharType="separate"/>
      </w:r>
      <w:r>
        <w:t>4</w:t>
      </w:r>
      <w:r>
        <w:fldChar w:fldCharType="end"/>
      </w:r>
    </w:p>
    <w:p>
      <w:pPr>
        <w:pStyle w:val="TOC8"/>
        <w:rPr>
          <w:rFonts w:asciiTheme="minorHAnsi" w:eastAsiaTheme="minorEastAsia" w:hAnsiTheme="minorHAnsi" w:cstheme="minorBidi"/>
          <w:szCs w:val="22"/>
        </w:rPr>
      </w:pPr>
      <w:r>
        <w:t>4.</w:t>
      </w:r>
      <w:r>
        <w:tab/>
        <w:t>Creating a new district: consequences</w:t>
      </w:r>
      <w:r>
        <w:tab/>
      </w:r>
      <w:r>
        <w:fldChar w:fldCharType="begin"/>
      </w:r>
      <w:r>
        <w:instrText xml:space="preserve"> PAGEREF _Toc154048603 \h </w:instrText>
      </w:r>
      <w:r>
        <w:fldChar w:fldCharType="separate"/>
      </w:r>
      <w:r>
        <w:t>4</w:t>
      </w:r>
      <w:r>
        <w:fldChar w:fldCharType="end"/>
      </w:r>
    </w:p>
    <w:p>
      <w:pPr>
        <w:pStyle w:val="TOC8"/>
        <w:rPr>
          <w:rFonts w:asciiTheme="minorHAnsi" w:eastAsiaTheme="minorEastAsia" w:hAnsiTheme="minorHAnsi" w:cstheme="minorBidi"/>
          <w:szCs w:val="22"/>
        </w:rPr>
      </w:pPr>
      <w:r>
        <w:t>5.</w:t>
      </w:r>
      <w:r>
        <w:tab/>
        <w:t>Changing district boundaries: consequences</w:t>
      </w:r>
      <w:r>
        <w:tab/>
      </w:r>
      <w:r>
        <w:fldChar w:fldCharType="begin"/>
      </w:r>
      <w:r>
        <w:instrText xml:space="preserve"> PAGEREF _Toc154048604 \h </w:instrText>
      </w:r>
      <w:r>
        <w:fldChar w:fldCharType="separate"/>
      </w:r>
      <w:r>
        <w:t>5</w:t>
      </w:r>
      <w:r>
        <w:fldChar w:fldCharType="end"/>
      </w:r>
    </w:p>
    <w:p>
      <w:pPr>
        <w:pStyle w:val="TOC8"/>
        <w:rPr>
          <w:rFonts w:asciiTheme="minorHAnsi" w:eastAsiaTheme="minorEastAsia" w:hAnsiTheme="minorHAnsi" w:cstheme="minorBidi"/>
          <w:szCs w:val="22"/>
        </w:rPr>
      </w:pPr>
      <w:r>
        <w:t>6.</w:t>
      </w:r>
      <w:r>
        <w:tab/>
        <w:t>Abolishing a district: consequences</w:t>
      </w:r>
      <w:r>
        <w:tab/>
      </w:r>
      <w:r>
        <w:fldChar w:fldCharType="begin"/>
      </w:r>
      <w:r>
        <w:instrText xml:space="preserve"> PAGEREF _Toc154048605 \h </w:instrText>
      </w:r>
      <w:r>
        <w:fldChar w:fldCharType="separate"/>
      </w:r>
      <w:r>
        <w:t>7</w:t>
      </w:r>
      <w:r>
        <w:fldChar w:fldCharType="end"/>
      </w:r>
    </w:p>
    <w:p>
      <w:pPr>
        <w:pStyle w:val="TOC8"/>
        <w:rPr>
          <w:rFonts w:asciiTheme="minorHAnsi" w:eastAsiaTheme="minorEastAsia" w:hAnsiTheme="minorHAnsi" w:cstheme="minorBidi"/>
          <w:szCs w:val="22"/>
        </w:rPr>
      </w:pPr>
      <w:r>
        <w:t>7.</w:t>
      </w:r>
      <w:r>
        <w:tab/>
        <w:t>Effect of section 2.1 order on local laws</w:t>
      </w:r>
      <w:r>
        <w:tab/>
      </w:r>
      <w:r>
        <w:fldChar w:fldCharType="begin"/>
      </w:r>
      <w:r>
        <w:instrText xml:space="preserve"> PAGEREF _Toc154048606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Schedules 2.1 and 2.2 to the Act</w:t>
      </w:r>
    </w:p>
    <w:p>
      <w:pPr>
        <w:pStyle w:val="TOC8"/>
        <w:rPr>
          <w:rFonts w:asciiTheme="minorHAnsi" w:eastAsiaTheme="minorEastAsia" w:hAnsiTheme="minorHAnsi" w:cstheme="minorBidi"/>
          <w:szCs w:val="22"/>
        </w:rPr>
      </w:pPr>
      <w:r>
        <w:t>8.</w:t>
      </w:r>
      <w:r>
        <w:tab/>
        <w:t>Proposals for creating, changing the boundaries of, or abolishing districts (Sch. 2.1 cl. 2)</w:t>
      </w:r>
      <w:r>
        <w:tab/>
      </w:r>
      <w:r>
        <w:fldChar w:fldCharType="begin"/>
      </w:r>
      <w:r>
        <w:instrText xml:space="preserve"> PAGEREF _Toc154048608 \h </w:instrText>
      </w:r>
      <w:r>
        <w:fldChar w:fldCharType="separate"/>
      </w:r>
      <w:r>
        <w:t>14</w:t>
      </w:r>
      <w:r>
        <w:fldChar w:fldCharType="end"/>
      </w:r>
    </w:p>
    <w:p>
      <w:pPr>
        <w:pStyle w:val="TOC8"/>
        <w:rPr>
          <w:rFonts w:asciiTheme="minorHAnsi" w:eastAsiaTheme="minorEastAsia" w:hAnsiTheme="minorHAnsi" w:cstheme="minorBidi"/>
          <w:szCs w:val="22"/>
        </w:rPr>
      </w:pPr>
      <w:r>
        <w:t>9.</w:t>
      </w:r>
      <w:r>
        <w:tab/>
        <w:t>Request for a poll on a recommended amalgamation (Sch. 2.1 cl. 8)</w:t>
      </w:r>
      <w:r>
        <w:tab/>
      </w:r>
      <w:r>
        <w:fldChar w:fldCharType="begin"/>
      </w:r>
      <w:r>
        <w:instrText xml:space="preserve"> PAGEREF _Toc154048609 \h </w:instrText>
      </w:r>
      <w:r>
        <w:fldChar w:fldCharType="separate"/>
      </w:r>
      <w:r>
        <w:t>14</w:t>
      </w:r>
      <w:r>
        <w:fldChar w:fldCharType="end"/>
      </w:r>
    </w:p>
    <w:p>
      <w:pPr>
        <w:pStyle w:val="TOC8"/>
        <w:rPr>
          <w:rFonts w:asciiTheme="minorHAnsi" w:eastAsiaTheme="minorEastAsia" w:hAnsiTheme="minorHAnsi" w:cstheme="minorBidi"/>
          <w:szCs w:val="22"/>
        </w:rPr>
      </w:pPr>
      <w:r>
        <w:t>10.</w:t>
      </w:r>
      <w:r>
        <w:tab/>
        <w:t>Submission about changes to wards, names or representation (Sch. 2.2 cl. 3)</w:t>
      </w:r>
      <w:r>
        <w:tab/>
      </w:r>
      <w:r>
        <w:fldChar w:fldCharType="begin"/>
      </w:r>
      <w:r>
        <w:instrText xml:space="preserve"> PAGEREF _Toc154048610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Districts that cannot be divided into wards</w:t>
      </w:r>
    </w:p>
    <w:p>
      <w:pPr>
        <w:pStyle w:val="TOC8"/>
        <w:rPr>
          <w:rFonts w:asciiTheme="minorHAnsi" w:eastAsiaTheme="minorEastAsia" w:hAnsiTheme="minorHAnsi" w:cstheme="minorBidi"/>
          <w:szCs w:val="22"/>
        </w:rPr>
      </w:pPr>
      <w:r>
        <w:t>10AA.</w:t>
      </w:r>
      <w:r>
        <w:tab/>
        <w:t>Term used: class 3 or 4 district</w:t>
      </w:r>
      <w:r>
        <w:tab/>
      </w:r>
      <w:r>
        <w:fldChar w:fldCharType="begin"/>
      </w:r>
      <w:r>
        <w:instrText xml:space="preserve"> PAGEREF _Toc154048612 \h </w:instrText>
      </w:r>
      <w:r>
        <w:fldChar w:fldCharType="separate"/>
      </w:r>
      <w:r>
        <w:t>15</w:t>
      </w:r>
      <w:r>
        <w:fldChar w:fldCharType="end"/>
      </w:r>
    </w:p>
    <w:p>
      <w:pPr>
        <w:pStyle w:val="TOC8"/>
        <w:rPr>
          <w:rFonts w:asciiTheme="minorHAnsi" w:eastAsiaTheme="minorEastAsia" w:hAnsiTheme="minorHAnsi" w:cstheme="minorBidi"/>
          <w:szCs w:val="22"/>
        </w:rPr>
      </w:pPr>
      <w:r>
        <w:t>10AB.</w:t>
      </w:r>
      <w:r>
        <w:tab/>
        <w:t>Class 3 or 4 district cannot be divided into wards (s. 2.2A(1)(a))</w:t>
      </w:r>
      <w:r>
        <w:tab/>
      </w:r>
      <w:r>
        <w:fldChar w:fldCharType="begin"/>
      </w:r>
      <w:r>
        <w:instrText xml:space="preserve"> PAGEREF _Toc154048613 \h </w:instrText>
      </w:r>
      <w:r>
        <w:fldChar w:fldCharType="separate"/>
      </w:r>
      <w:r>
        <w:t>15</w:t>
      </w:r>
      <w:r>
        <w:fldChar w:fldCharType="end"/>
      </w:r>
    </w:p>
    <w:p>
      <w:pPr>
        <w:pStyle w:val="TOC8"/>
        <w:rPr>
          <w:rFonts w:asciiTheme="minorHAnsi" w:eastAsiaTheme="minorEastAsia" w:hAnsiTheme="minorHAnsi" w:cstheme="minorBidi"/>
          <w:szCs w:val="22"/>
        </w:rPr>
      </w:pPr>
      <w:r>
        <w:t>10AC.</w:t>
      </w:r>
      <w:r>
        <w:tab/>
        <w:t>Abolition of wards in class 3 or 4 district (s. 2.2A(1)(b) and (2)(b) and (c))</w:t>
      </w:r>
      <w:r>
        <w:tab/>
      </w:r>
      <w:r>
        <w:fldChar w:fldCharType="begin"/>
      </w:r>
      <w:r>
        <w:instrText xml:space="preserve"> PAGEREF _Toc154048614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Offices on councils</w:t>
      </w:r>
    </w:p>
    <w:p>
      <w:pPr>
        <w:pStyle w:val="TOC4"/>
        <w:tabs>
          <w:tab w:val="right" w:leader="dot" w:pos="7077"/>
        </w:tabs>
        <w:rPr>
          <w:rFonts w:asciiTheme="minorHAnsi" w:eastAsiaTheme="minorEastAsia" w:hAnsiTheme="minorHAnsi" w:cstheme="minorBidi"/>
          <w:b w:val="0"/>
          <w:szCs w:val="22"/>
        </w:rPr>
      </w:pPr>
      <w:r>
        <w:t>Division 1 — Method of filling office of mayor or president</w:t>
      </w:r>
    </w:p>
    <w:p>
      <w:pPr>
        <w:pStyle w:val="TOC8"/>
        <w:rPr>
          <w:rFonts w:asciiTheme="minorHAnsi" w:eastAsiaTheme="minorEastAsia" w:hAnsiTheme="minorHAnsi" w:cstheme="minorBidi"/>
          <w:szCs w:val="22"/>
        </w:rPr>
      </w:pPr>
      <w:r>
        <w:t>10AD.</w:t>
      </w:r>
      <w:r>
        <w:tab/>
        <w:t>Proposals to change method of filling office of mayor or president (s. 2.12)</w:t>
      </w:r>
      <w:r>
        <w:tab/>
      </w:r>
      <w:r>
        <w:fldChar w:fldCharType="begin"/>
      </w:r>
      <w:r>
        <w:instrText xml:space="preserve"> PAGEREF _Toc154048617 \h </w:instrText>
      </w:r>
      <w:r>
        <w:fldChar w:fldCharType="separate"/>
      </w:r>
      <w:r>
        <w:t>17</w:t>
      </w:r>
      <w:r>
        <w:fldChar w:fldCharType="end"/>
      </w:r>
    </w:p>
    <w:p>
      <w:pPr>
        <w:pStyle w:val="TOC8"/>
        <w:rPr>
          <w:rFonts w:asciiTheme="minorHAnsi" w:eastAsiaTheme="minorEastAsia" w:hAnsiTheme="minorHAnsi" w:cstheme="minorBidi"/>
          <w:szCs w:val="22"/>
        </w:rPr>
      </w:pPr>
      <w:r>
        <w:t>10AE.</w:t>
      </w:r>
      <w:r>
        <w:tab/>
        <w:t>Class 1 or 2 local government must use election by electors method (s. 2.12B(1)(a))</w:t>
      </w:r>
      <w:r>
        <w:tab/>
      </w:r>
      <w:r>
        <w:fldChar w:fldCharType="begin"/>
      </w:r>
      <w:r>
        <w:instrText xml:space="preserve"> PAGEREF _Toc154048618 \h </w:instrText>
      </w:r>
      <w:r>
        <w:fldChar w:fldCharType="separate"/>
      </w:r>
      <w:r>
        <w:t>17</w:t>
      </w:r>
      <w:r>
        <w:fldChar w:fldCharType="end"/>
      </w:r>
    </w:p>
    <w:p>
      <w:pPr>
        <w:pStyle w:val="TOC8"/>
        <w:rPr>
          <w:rFonts w:asciiTheme="minorHAnsi" w:eastAsiaTheme="minorEastAsia" w:hAnsiTheme="minorHAnsi" w:cstheme="minorBidi"/>
          <w:szCs w:val="22"/>
        </w:rPr>
      </w:pPr>
      <w:r>
        <w:t>10AF.</w:t>
      </w:r>
      <w:r>
        <w:tab/>
        <w:t>Change of method of filling office of mayor or president (s. 2.12B(1)(b) and (2)(a), 2.13(4)(a))</w:t>
      </w:r>
      <w:r>
        <w:tab/>
      </w:r>
      <w:r>
        <w:fldChar w:fldCharType="begin"/>
      </w:r>
      <w:r>
        <w:instrText xml:space="preserve"> PAGEREF _Toc154048619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 2.3 of Act</w:t>
      </w:r>
    </w:p>
    <w:p>
      <w:pPr>
        <w:pStyle w:val="TOC8"/>
        <w:rPr>
          <w:rFonts w:asciiTheme="minorHAnsi" w:eastAsiaTheme="minorEastAsia" w:hAnsiTheme="minorHAnsi" w:cstheme="minorBidi"/>
          <w:szCs w:val="22"/>
        </w:rPr>
      </w:pPr>
      <w:r>
        <w:t>10A.</w:t>
      </w:r>
      <w:r>
        <w:tab/>
        <w:t>Terms used</w:t>
      </w:r>
      <w:r>
        <w:tab/>
      </w:r>
      <w:r>
        <w:fldChar w:fldCharType="begin"/>
      </w:r>
      <w:r>
        <w:instrText xml:space="preserve"> PAGEREF _Toc154048621 \h </w:instrText>
      </w:r>
      <w:r>
        <w:fldChar w:fldCharType="separate"/>
      </w:r>
      <w:r>
        <w:t>19</w:t>
      </w:r>
      <w:r>
        <w:fldChar w:fldCharType="end"/>
      </w:r>
    </w:p>
    <w:p>
      <w:pPr>
        <w:pStyle w:val="TOC8"/>
        <w:rPr>
          <w:rFonts w:asciiTheme="minorHAnsi" w:eastAsiaTheme="minorEastAsia" w:hAnsiTheme="minorHAnsi" w:cstheme="minorBidi"/>
          <w:szCs w:val="22"/>
        </w:rPr>
      </w:pPr>
      <w:r>
        <w:t>11A.</w:t>
      </w:r>
      <w:r>
        <w:tab/>
        <w:t>Election of mayor, president, deputy mayor or deputy president by council (Sch. 2.3)</w:t>
      </w:r>
      <w:r>
        <w:tab/>
      </w:r>
      <w:r>
        <w:fldChar w:fldCharType="begin"/>
      </w:r>
      <w:r>
        <w:instrText xml:space="preserve"> PAGEREF _Toc154048622 \h </w:instrText>
      </w:r>
      <w:r>
        <w:fldChar w:fldCharType="separate"/>
      </w:r>
      <w:r>
        <w:t>20</w:t>
      </w:r>
      <w:r>
        <w:fldChar w:fldCharType="end"/>
      </w:r>
    </w:p>
    <w:p>
      <w:pPr>
        <w:pStyle w:val="TOC8"/>
        <w:rPr>
          <w:rFonts w:asciiTheme="minorHAnsi" w:eastAsiaTheme="minorEastAsia" w:hAnsiTheme="minorHAnsi" w:cstheme="minorBidi"/>
          <w:szCs w:val="22"/>
        </w:rPr>
      </w:pPr>
      <w:r>
        <w:t>11B.</w:t>
      </w:r>
      <w:r>
        <w:tab/>
        <w:t>Ballot papers to be authentic (Sch. 2.3 cl. 4 and 8)</w:t>
      </w:r>
      <w:r>
        <w:tab/>
      </w:r>
      <w:r>
        <w:fldChar w:fldCharType="begin"/>
      </w:r>
      <w:r>
        <w:instrText xml:space="preserve"> PAGEREF _Toc154048623 \h </w:instrText>
      </w:r>
      <w:r>
        <w:fldChar w:fldCharType="separate"/>
      </w:r>
      <w:r>
        <w:t>20</w:t>
      </w:r>
      <w:r>
        <w:fldChar w:fldCharType="end"/>
      </w:r>
    </w:p>
    <w:p>
      <w:pPr>
        <w:pStyle w:val="TOC8"/>
        <w:rPr>
          <w:rFonts w:asciiTheme="minorHAnsi" w:eastAsiaTheme="minorEastAsia" w:hAnsiTheme="minorHAnsi" w:cstheme="minorBidi"/>
          <w:szCs w:val="22"/>
        </w:rPr>
      </w:pPr>
      <w:r>
        <w:t>11C.</w:t>
      </w:r>
      <w:r>
        <w:tab/>
        <w:t>Spoilt ballot papers (Sch. 2.3 cl. 4 and 8)</w:t>
      </w:r>
      <w:r>
        <w:tab/>
      </w:r>
      <w:r>
        <w:fldChar w:fldCharType="begin"/>
      </w:r>
      <w:r>
        <w:instrText xml:space="preserve"> PAGEREF _Toc154048624 \h </w:instrText>
      </w:r>
      <w:r>
        <w:fldChar w:fldCharType="separate"/>
      </w:r>
      <w:r>
        <w:t>21</w:t>
      </w:r>
      <w:r>
        <w:fldChar w:fldCharType="end"/>
      </w:r>
    </w:p>
    <w:p>
      <w:pPr>
        <w:pStyle w:val="TOC8"/>
        <w:rPr>
          <w:rFonts w:asciiTheme="minorHAnsi" w:eastAsiaTheme="minorEastAsia" w:hAnsiTheme="minorHAnsi" w:cstheme="minorBidi"/>
          <w:szCs w:val="22"/>
        </w:rPr>
      </w:pPr>
      <w:r>
        <w:t>11D.</w:t>
      </w:r>
      <w:r>
        <w:tab/>
        <w:t>Marking and dealing with the ballot paper (Sch. 2.3 cl. 4 and 8)</w:t>
      </w:r>
      <w:r>
        <w:tab/>
      </w:r>
      <w:r>
        <w:fldChar w:fldCharType="begin"/>
      </w:r>
      <w:r>
        <w:instrText xml:space="preserve"> PAGEREF _Toc154048625 \h </w:instrText>
      </w:r>
      <w:r>
        <w:fldChar w:fldCharType="separate"/>
      </w:r>
      <w:r>
        <w:t>21</w:t>
      </w:r>
      <w:r>
        <w:fldChar w:fldCharType="end"/>
      </w:r>
    </w:p>
    <w:p>
      <w:pPr>
        <w:pStyle w:val="TOC8"/>
        <w:rPr>
          <w:rFonts w:asciiTheme="minorHAnsi" w:eastAsiaTheme="minorEastAsia" w:hAnsiTheme="minorHAnsi" w:cstheme="minorBidi"/>
          <w:szCs w:val="22"/>
        </w:rPr>
      </w:pPr>
      <w:r>
        <w:t>11E.</w:t>
      </w:r>
      <w:r>
        <w:tab/>
        <w:t>Assistance to be given to council members who cannot otherwise vote (Sch. 2.3 cl. 4 and 8)</w:t>
      </w:r>
      <w:r>
        <w:tab/>
      </w:r>
      <w:r>
        <w:fldChar w:fldCharType="begin"/>
      </w:r>
      <w:r>
        <w:instrText xml:space="preserve"> PAGEREF _Toc154048626 \h </w:instrText>
      </w:r>
      <w:r>
        <w:fldChar w:fldCharType="separate"/>
      </w:r>
      <w:r>
        <w:t>21</w:t>
      </w:r>
      <w:r>
        <w:fldChar w:fldCharType="end"/>
      </w:r>
    </w:p>
    <w:p>
      <w:pPr>
        <w:pStyle w:val="TOC8"/>
        <w:rPr>
          <w:rFonts w:asciiTheme="minorHAnsi" w:eastAsiaTheme="minorEastAsia" w:hAnsiTheme="minorHAnsi" w:cstheme="minorBidi"/>
          <w:szCs w:val="22"/>
        </w:rPr>
      </w:pPr>
      <w:r>
        <w:t>11EA.</w:t>
      </w:r>
      <w:r>
        <w:tab/>
        <w:t>Drawing of lots (Sch. 2.3 cl. 4, 5, 8 and 9)</w:t>
      </w:r>
      <w:r>
        <w:tab/>
      </w:r>
      <w:r>
        <w:fldChar w:fldCharType="begin"/>
      </w:r>
      <w:r>
        <w:instrText xml:space="preserve"> PAGEREF _Toc154048627 \h </w:instrText>
      </w:r>
      <w:r>
        <w:fldChar w:fldCharType="separate"/>
      </w:r>
      <w:r>
        <w:t>22</w:t>
      </w:r>
      <w:r>
        <w:fldChar w:fldCharType="end"/>
      </w:r>
    </w:p>
    <w:p>
      <w:pPr>
        <w:pStyle w:val="TOC8"/>
        <w:rPr>
          <w:rFonts w:asciiTheme="minorHAnsi" w:eastAsiaTheme="minorEastAsia" w:hAnsiTheme="minorHAnsi" w:cstheme="minorBidi"/>
          <w:szCs w:val="22"/>
        </w:rPr>
      </w:pPr>
      <w:r>
        <w:t>11F.</w:t>
      </w:r>
      <w:r>
        <w:tab/>
        <w:t>Declaration and notice of result of election — (Sch. 2.3 cl. 4 and 8)</w:t>
      </w:r>
      <w:r>
        <w:tab/>
      </w:r>
      <w:r>
        <w:fldChar w:fldCharType="begin"/>
      </w:r>
      <w:r>
        <w:instrText xml:space="preserve"> PAGEREF _Toc154048628 \h </w:instrText>
      </w:r>
      <w:r>
        <w:fldChar w:fldCharType="separate"/>
      </w:r>
      <w:r>
        <w:t>22</w:t>
      </w:r>
      <w:r>
        <w:fldChar w:fldCharType="end"/>
      </w:r>
    </w:p>
    <w:p>
      <w:pPr>
        <w:pStyle w:val="TOC8"/>
        <w:rPr>
          <w:rFonts w:asciiTheme="minorHAnsi" w:eastAsiaTheme="minorEastAsia" w:hAnsiTheme="minorHAnsi" w:cstheme="minorBidi"/>
          <w:szCs w:val="22"/>
        </w:rPr>
      </w:pPr>
      <w:r>
        <w:t>11FA.</w:t>
      </w:r>
      <w:r>
        <w:tab/>
        <w:t>Report to Minister (Sch. 2.3 cl. 4 and 8)</w:t>
      </w:r>
      <w:r>
        <w:tab/>
      </w:r>
      <w:r>
        <w:fldChar w:fldCharType="begin"/>
      </w:r>
      <w:r>
        <w:instrText xml:space="preserve"> PAGEREF _Toc154048629 \h </w:instrText>
      </w:r>
      <w:r>
        <w:fldChar w:fldCharType="separate"/>
      </w:r>
      <w:r>
        <w:t>23</w:t>
      </w:r>
      <w:r>
        <w:fldChar w:fldCharType="end"/>
      </w:r>
    </w:p>
    <w:p>
      <w:pPr>
        <w:pStyle w:val="TOC8"/>
        <w:rPr>
          <w:rFonts w:asciiTheme="minorHAnsi" w:eastAsiaTheme="minorEastAsia" w:hAnsiTheme="minorHAnsi" w:cstheme="minorBidi"/>
          <w:szCs w:val="22"/>
        </w:rPr>
      </w:pPr>
      <w:r>
        <w:t>11G.</w:t>
      </w:r>
      <w:r>
        <w:tab/>
        <w:t>Records of election to be retained (Sch. 2.3 cl. 4 and 8)</w:t>
      </w:r>
      <w:r>
        <w:tab/>
      </w:r>
      <w:r>
        <w:fldChar w:fldCharType="begin"/>
      </w:r>
      <w:r>
        <w:instrText xml:space="preserve"> PAGEREF _Toc154048630 \h </w:instrText>
      </w:r>
      <w:r>
        <w:fldChar w:fldCharType="separate"/>
      </w:r>
      <w:r>
        <w:t>24</w:t>
      </w:r>
      <w:r>
        <w:fldChar w:fldCharType="end"/>
      </w:r>
    </w:p>
    <w:p>
      <w:pPr>
        <w:pStyle w:val="TOC8"/>
        <w:rPr>
          <w:rFonts w:asciiTheme="minorHAnsi" w:eastAsiaTheme="minorEastAsia" w:hAnsiTheme="minorHAnsi" w:cstheme="minorBidi"/>
          <w:szCs w:val="22"/>
        </w:rPr>
      </w:pPr>
      <w:r>
        <w:t>11H.</w:t>
      </w:r>
      <w:r>
        <w:tab/>
        <w:t>Notice of effect of Court’s decision (Sch. 2.3 cl. 12)</w:t>
      </w:r>
      <w:r>
        <w:tab/>
      </w:r>
      <w:r>
        <w:fldChar w:fldCharType="begin"/>
      </w:r>
      <w:r>
        <w:instrText xml:space="preserve"> PAGEREF _Toc154048631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12.</w:t>
      </w:r>
      <w:r>
        <w:tab/>
        <w:t>Disqualification for membership; serious local government offences (s. 2.22)</w:t>
      </w:r>
      <w:r>
        <w:tab/>
      </w:r>
      <w:r>
        <w:fldChar w:fldCharType="begin"/>
      </w:r>
      <w:r>
        <w:instrText xml:space="preserve"> PAGEREF _Toc154048633 \h </w:instrText>
      </w:r>
      <w:r>
        <w:fldChar w:fldCharType="separate"/>
      </w:r>
      <w:r>
        <w:t>25</w:t>
      </w:r>
      <w:r>
        <w:fldChar w:fldCharType="end"/>
      </w:r>
    </w:p>
    <w:p>
      <w:pPr>
        <w:pStyle w:val="TOC8"/>
        <w:rPr>
          <w:rFonts w:asciiTheme="minorHAnsi" w:eastAsiaTheme="minorEastAsia" w:hAnsiTheme="minorHAnsi" w:cstheme="minorBidi"/>
          <w:szCs w:val="22"/>
        </w:rPr>
      </w:pPr>
      <w:r>
        <w:t>13.</w:t>
      </w:r>
      <w:r>
        <w:tab/>
        <w:t>Oaths, affirmations and declarations (s. 2.29, 2.42)</w:t>
      </w:r>
      <w:r>
        <w:tab/>
      </w:r>
      <w:r>
        <w:fldChar w:fldCharType="begin"/>
      </w:r>
      <w:r>
        <w:instrText xml:space="preserve"> PAGEREF _Toc154048634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rPr>
          <w:rFonts w:asciiTheme="minorHAnsi" w:eastAsiaTheme="minorEastAsia" w:hAnsiTheme="minorHAnsi" w:cstheme="minorBidi"/>
          <w:szCs w:val="22"/>
        </w:rPr>
      </w:pPr>
      <w:r>
        <w:t>14.</w:t>
      </w:r>
      <w:r>
        <w:tab/>
        <w:t>Transitional provision: Certain council members (s. 9.71)</w:t>
      </w:r>
      <w:r>
        <w:tab/>
      </w:r>
      <w:r>
        <w:fldChar w:fldCharType="begin"/>
      </w:r>
      <w:r>
        <w:instrText xml:space="preserve"> PAGEREF _Toc154048636 \h </w:instrText>
      </w:r>
      <w:r>
        <w:fldChar w:fldCharType="separate"/>
      </w:r>
      <w:r>
        <w:t>27</w:t>
      </w:r>
      <w:r>
        <w:fldChar w:fldCharType="end"/>
      </w:r>
    </w:p>
    <w:p>
      <w:pPr>
        <w:pStyle w:val="TOC8"/>
        <w:rPr>
          <w:rFonts w:asciiTheme="minorHAnsi" w:eastAsiaTheme="minorEastAsia" w:hAnsiTheme="minorHAnsi" w:cstheme="minorBidi"/>
          <w:szCs w:val="22"/>
        </w:rPr>
      </w:pPr>
      <w:r>
        <w:t>14A.</w:t>
      </w:r>
      <w:r>
        <w:tab/>
        <w:t>Transitional provision: reviews under Sch. 2.2 cl. 6 of Act</w:t>
      </w:r>
      <w:r>
        <w:tab/>
      </w:r>
      <w:r>
        <w:fldChar w:fldCharType="begin"/>
      </w:r>
      <w:r>
        <w:instrText xml:space="preserve"> PAGEREF _Toc154048637 \h </w:instrText>
      </w:r>
      <w:r>
        <w:fldChar w:fldCharType="separate"/>
      </w:r>
      <w:r>
        <w:t>27</w:t>
      </w:r>
      <w:r>
        <w:fldChar w:fldCharType="end"/>
      </w:r>
    </w:p>
    <w:p>
      <w:pPr>
        <w:pStyle w:val="TOC8"/>
        <w:rPr>
          <w:rFonts w:asciiTheme="minorHAnsi" w:eastAsiaTheme="minorEastAsia" w:hAnsiTheme="minorHAnsi" w:cstheme="minorBidi"/>
          <w:szCs w:val="22"/>
        </w:rPr>
      </w:pPr>
      <w:r>
        <w:t>14B.</w:t>
      </w:r>
      <w:r>
        <w:tab/>
        <w:t>Transitional provision: elections under Sch. 2.3 of Act</w:t>
      </w:r>
      <w:r>
        <w:tab/>
      </w:r>
      <w:r>
        <w:fldChar w:fldCharType="begin"/>
      </w:r>
      <w:r>
        <w:instrText xml:space="preserve"> PAGEREF _Toc154048638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Classes of local governments</w:t>
      </w:r>
    </w:p>
    <w:p>
      <w:pPr>
        <w:pStyle w:val="TOC4"/>
        <w:tabs>
          <w:tab w:val="right" w:leader="dot" w:pos="7077"/>
        </w:tabs>
        <w:rPr>
          <w:rFonts w:asciiTheme="minorHAnsi" w:eastAsiaTheme="minorEastAsia" w:hAnsiTheme="minorHAnsi" w:cstheme="minorBidi"/>
          <w:b w:val="0"/>
          <w:szCs w:val="22"/>
        </w:rPr>
      </w:pPr>
      <w:r>
        <w:t>Division 1 — Class 1 local governments</w:t>
      </w:r>
    </w:p>
    <w:p>
      <w:pPr>
        <w:pStyle w:val="TOC4"/>
        <w:tabs>
          <w:tab w:val="right" w:leader="dot" w:pos="7077"/>
        </w:tabs>
        <w:rPr>
          <w:rFonts w:asciiTheme="minorHAnsi" w:eastAsiaTheme="minorEastAsia" w:hAnsiTheme="minorHAnsi" w:cstheme="minorBidi"/>
          <w:b w:val="0"/>
          <w:szCs w:val="22"/>
        </w:rPr>
      </w:pPr>
      <w:r>
        <w:t>Division 2 — Class 2 local governments</w:t>
      </w:r>
    </w:p>
    <w:p>
      <w:pPr>
        <w:pStyle w:val="TOC4"/>
        <w:tabs>
          <w:tab w:val="right" w:leader="dot" w:pos="7077"/>
        </w:tabs>
        <w:rPr>
          <w:rFonts w:asciiTheme="minorHAnsi" w:eastAsiaTheme="minorEastAsia" w:hAnsiTheme="minorHAnsi" w:cstheme="minorBidi"/>
          <w:b w:val="0"/>
          <w:szCs w:val="22"/>
        </w:rPr>
      </w:pPr>
      <w:r>
        <w:t>Division 3 — Class 3 local governments</w:t>
      </w:r>
    </w:p>
    <w:p>
      <w:pPr>
        <w:pStyle w:val="TOC4"/>
        <w:tabs>
          <w:tab w:val="right" w:leader="dot" w:pos="7077"/>
        </w:tabs>
        <w:rPr>
          <w:rFonts w:asciiTheme="minorHAnsi" w:eastAsiaTheme="minorEastAsia" w:hAnsiTheme="minorHAnsi" w:cstheme="minorBidi"/>
          <w:b w:val="0"/>
          <w:szCs w:val="22"/>
        </w:rPr>
      </w:pPr>
      <w:r>
        <w:t>Division 4 — Class 4 local governments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_Toc154048646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2" w:name="_Toc153976693"/>
      <w:bookmarkStart w:id="3" w:name="_Toc153977280"/>
      <w:bookmarkStart w:id="4" w:name="_Toc15404859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54048595"/>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6" w:name="_Toc154048596"/>
      <w:r>
        <w:rPr>
          <w:rStyle w:val="CharSectno"/>
        </w:rPr>
        <w:t>2</w:t>
      </w:r>
      <w:r>
        <w:t>.</w:t>
      </w:r>
      <w:r>
        <w:tab/>
        <w:t>Terms used in these regulations</w:t>
      </w:r>
      <w:bookmarkEnd w:id="6"/>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7" w:name="_Toc153976696"/>
      <w:bookmarkStart w:id="8" w:name="_Toc153977283"/>
      <w:bookmarkStart w:id="9" w:name="_Toc154048597"/>
      <w:r>
        <w:rPr>
          <w:rStyle w:val="CharPartNo"/>
        </w:rPr>
        <w:lastRenderedPageBreak/>
        <w:t>Part 1A</w:t>
      </w:r>
      <w:r>
        <w:t> — </w:t>
      </w:r>
      <w:r>
        <w:rPr>
          <w:rStyle w:val="CharPartText"/>
        </w:rPr>
        <w:t>Classes of local governments</w:t>
      </w:r>
      <w:bookmarkEnd w:id="7"/>
      <w:bookmarkEnd w:id="8"/>
      <w:bookmarkEnd w:id="9"/>
    </w:p>
    <w:p>
      <w:pPr>
        <w:pStyle w:val="Footnoteheading"/>
      </w:pPr>
      <w:r>
        <w:tab/>
        <w:t>[Heading inserted: SL 2023/102 r. 10.]</w:t>
      </w:r>
    </w:p>
    <w:p>
      <w:pPr>
        <w:pStyle w:val="Heading5"/>
      </w:pPr>
      <w:bookmarkStart w:id="10" w:name="_Toc154048598"/>
      <w:r>
        <w:rPr>
          <w:rStyle w:val="CharSectno"/>
        </w:rPr>
        <w:t>2A</w:t>
      </w:r>
      <w:r>
        <w:t>.</w:t>
      </w:r>
      <w:r>
        <w:tab/>
        <w:t>Local governments divided into 4 classes</w:t>
      </w:r>
      <w:bookmarkEnd w:id="10"/>
    </w:p>
    <w:p>
      <w:pPr>
        <w:pStyle w:val="Subsection"/>
      </w:pPr>
      <w:r>
        <w:tab/>
      </w:r>
      <w:r>
        <w:tab/>
        <w:t xml:space="preserve">For the purposes of these regulations and any other regulations made under the Act — </w:t>
      </w:r>
    </w:p>
    <w:p>
      <w:pPr>
        <w:pStyle w:val="Indenta"/>
      </w:pPr>
      <w:r>
        <w:tab/>
        <w:t>(a)</w:t>
      </w:r>
      <w:r>
        <w:tab/>
        <w:t xml:space="preserve">a </w:t>
      </w:r>
      <w:r>
        <w:rPr>
          <w:rStyle w:val="CharDefText"/>
        </w:rPr>
        <w:t>class 1 local government</w:t>
      </w:r>
      <w:r>
        <w:t xml:space="preserve"> is a local government listed in Schedule 2 Division 1; and</w:t>
      </w:r>
    </w:p>
    <w:p>
      <w:pPr>
        <w:pStyle w:val="Indenta"/>
      </w:pPr>
      <w:r>
        <w:tab/>
        <w:t>(b)</w:t>
      </w:r>
      <w:r>
        <w:tab/>
        <w:t xml:space="preserve">a </w:t>
      </w:r>
      <w:r>
        <w:rPr>
          <w:rStyle w:val="CharDefText"/>
        </w:rPr>
        <w:t>class 2 local government</w:t>
      </w:r>
      <w:r>
        <w:t xml:space="preserve"> is a local government listed in Schedule 2 Division 2; and</w:t>
      </w:r>
    </w:p>
    <w:p>
      <w:pPr>
        <w:pStyle w:val="Indenta"/>
      </w:pPr>
      <w:r>
        <w:tab/>
        <w:t>(c)</w:t>
      </w:r>
      <w:r>
        <w:tab/>
        <w:t xml:space="preserve">a </w:t>
      </w:r>
      <w:r>
        <w:rPr>
          <w:rStyle w:val="CharDefText"/>
        </w:rPr>
        <w:t>class 3 local government</w:t>
      </w:r>
      <w:r>
        <w:t xml:space="preserve"> is a local government listed in Schedule 2 Division 3; and</w:t>
      </w:r>
    </w:p>
    <w:p>
      <w:pPr>
        <w:pStyle w:val="Indenta"/>
      </w:pPr>
      <w:r>
        <w:tab/>
        <w:t>(d)</w:t>
      </w:r>
      <w:r>
        <w:tab/>
        <w:t xml:space="preserve">a </w:t>
      </w:r>
      <w:r>
        <w:rPr>
          <w:rStyle w:val="CharDefText"/>
        </w:rPr>
        <w:t>class 4 local government</w:t>
      </w:r>
      <w:r>
        <w:t xml:space="preserve"> is a local government listed in Schedule 2 Division 4.</w:t>
      </w:r>
    </w:p>
    <w:p>
      <w:pPr>
        <w:pStyle w:val="Footnotesection"/>
      </w:pPr>
      <w:r>
        <w:tab/>
        <w:t>[Regulation 2A inserted: SL 2023/102 r. 10.]</w:t>
      </w:r>
    </w:p>
    <w:p>
      <w:pPr>
        <w:pStyle w:val="Heading5"/>
      </w:pPr>
      <w:bookmarkStart w:id="11" w:name="_Toc154048599"/>
      <w:r>
        <w:rPr>
          <w:rStyle w:val="CharSectno"/>
        </w:rPr>
        <w:t>2B</w:t>
      </w:r>
      <w:r>
        <w:t>.</w:t>
      </w:r>
      <w:r>
        <w:tab/>
        <w:t>Regional local governments</w:t>
      </w:r>
      <w:bookmarkEnd w:id="11"/>
    </w:p>
    <w:p>
      <w:pPr>
        <w:pStyle w:val="Subsection"/>
      </w:pPr>
      <w:r>
        <w:tab/>
        <w:t>(1)</w:t>
      </w:r>
      <w:r>
        <w:tab/>
        <w:t xml:space="preserve">This regulation applies for the purposes of any provision of regulations made under the Act — </w:t>
      </w:r>
    </w:p>
    <w:p>
      <w:pPr>
        <w:pStyle w:val="Indenta"/>
      </w:pPr>
      <w:r>
        <w:tab/>
        <w:t>(a)</w:t>
      </w:r>
      <w:r>
        <w:tab/>
        <w:t>that applies to regional local governments under section 3.66; and</w:t>
      </w:r>
    </w:p>
    <w:p>
      <w:pPr>
        <w:pStyle w:val="Indenta"/>
      </w:pPr>
      <w:r>
        <w:tab/>
        <w:t>(b)</w:t>
      </w:r>
      <w:r>
        <w:tab/>
        <w:t xml:space="preserve">in which any of the following terms is used — </w:t>
      </w:r>
    </w:p>
    <w:p>
      <w:pPr>
        <w:pStyle w:val="Indenti"/>
      </w:pPr>
      <w:r>
        <w:tab/>
        <w:t>(i)</w:t>
      </w:r>
      <w:r>
        <w:tab/>
        <w:t>class 1 local government;</w:t>
      </w:r>
    </w:p>
    <w:p>
      <w:pPr>
        <w:pStyle w:val="Indenti"/>
      </w:pPr>
      <w:r>
        <w:tab/>
        <w:t>(ii)</w:t>
      </w:r>
      <w:r>
        <w:tab/>
        <w:t>class 2 local government;</w:t>
      </w:r>
    </w:p>
    <w:p>
      <w:pPr>
        <w:pStyle w:val="Indenti"/>
      </w:pPr>
      <w:r>
        <w:tab/>
        <w:t>(iii)</w:t>
      </w:r>
      <w:r>
        <w:tab/>
        <w:t>class 3 local government;</w:t>
      </w:r>
    </w:p>
    <w:p>
      <w:pPr>
        <w:pStyle w:val="Indenti"/>
      </w:pPr>
      <w:r>
        <w:tab/>
        <w:t>(iv)</w:t>
      </w:r>
      <w:r>
        <w:tab/>
        <w:t>class 4 local government.</w:t>
      </w:r>
    </w:p>
    <w:p>
      <w:pPr>
        <w:pStyle w:val="Subsection"/>
      </w:pPr>
      <w:r>
        <w:tab/>
        <w:t>(2)</w:t>
      </w:r>
      <w:r>
        <w:tab/>
        <w:t>No regional local government is a class 1 local government.</w:t>
      </w:r>
    </w:p>
    <w:p>
      <w:pPr>
        <w:pStyle w:val="Subsection"/>
      </w:pPr>
      <w:r>
        <w:tab/>
        <w:t>(3)</w:t>
      </w:r>
      <w:r>
        <w:tab/>
        <w:t xml:space="preserve">Each of the following is a class 2 local government — </w:t>
      </w:r>
    </w:p>
    <w:p>
      <w:pPr>
        <w:pStyle w:val="Indenta"/>
      </w:pPr>
      <w:r>
        <w:tab/>
        <w:t>(a)</w:t>
      </w:r>
      <w:r>
        <w:tab/>
        <w:t>Eastern Metropolitan Regional Council;</w:t>
      </w:r>
    </w:p>
    <w:p>
      <w:pPr>
        <w:pStyle w:val="Indenta"/>
      </w:pPr>
      <w:r>
        <w:tab/>
        <w:t>(b)</w:t>
      </w:r>
      <w:r>
        <w:tab/>
        <w:t>Resource Recovery Group;</w:t>
      </w:r>
    </w:p>
    <w:p>
      <w:pPr>
        <w:pStyle w:val="Indenta"/>
      </w:pPr>
      <w:r>
        <w:lastRenderedPageBreak/>
        <w:tab/>
        <w:t>(c)</w:t>
      </w:r>
      <w:r>
        <w:tab/>
        <w:t>Catalina Regional Council.</w:t>
      </w:r>
    </w:p>
    <w:p>
      <w:pPr>
        <w:pStyle w:val="Subsection"/>
      </w:pPr>
      <w:r>
        <w:tab/>
        <w:t>(4)</w:t>
      </w:r>
      <w:r>
        <w:tab/>
        <w:t xml:space="preserve">Each of the following is a class 3 local government — </w:t>
      </w:r>
    </w:p>
    <w:p>
      <w:pPr>
        <w:pStyle w:val="Indenta"/>
      </w:pPr>
      <w:r>
        <w:tab/>
        <w:t>(a)</w:t>
      </w:r>
      <w:r>
        <w:tab/>
        <w:t>Mindarie Regional Council;</w:t>
      </w:r>
    </w:p>
    <w:p>
      <w:pPr>
        <w:pStyle w:val="Indenta"/>
      </w:pPr>
      <w:r>
        <w:tab/>
        <w:t>(b)</w:t>
      </w:r>
      <w:r>
        <w:tab/>
        <w:t>Rivers Regional Council.</w:t>
      </w:r>
    </w:p>
    <w:p>
      <w:pPr>
        <w:pStyle w:val="Subsection"/>
      </w:pPr>
      <w:r>
        <w:tab/>
        <w:t>(5)</w:t>
      </w:r>
      <w:r>
        <w:tab/>
        <w:t xml:space="preserve">Each of the following is a class 4 local government — </w:t>
      </w:r>
    </w:p>
    <w:p>
      <w:pPr>
        <w:pStyle w:val="Indenta"/>
      </w:pPr>
      <w:r>
        <w:tab/>
        <w:t>(a)</w:t>
      </w:r>
      <w:r>
        <w:tab/>
        <w:t>Bunbury</w:t>
      </w:r>
      <w:r>
        <w:noBreakHyphen/>
        <w:t>Harvey Regional Council;</w:t>
      </w:r>
    </w:p>
    <w:p>
      <w:pPr>
        <w:pStyle w:val="Indenta"/>
      </w:pPr>
      <w:r>
        <w:tab/>
        <w:t>(b)</w:t>
      </w:r>
      <w:r>
        <w:tab/>
        <w:t>Murchison Regional Vermin Council;</w:t>
      </w:r>
    </w:p>
    <w:p>
      <w:pPr>
        <w:pStyle w:val="Ednotepara"/>
      </w:pPr>
      <w:r>
        <w:tab/>
        <w:t>[(c)</w:t>
      </w:r>
      <w:r>
        <w:tab/>
        <w:t>deleted]</w:t>
      </w:r>
    </w:p>
    <w:p>
      <w:pPr>
        <w:pStyle w:val="Indenta"/>
      </w:pPr>
      <w:r>
        <w:tab/>
        <w:t>(d)</w:t>
      </w:r>
      <w:r>
        <w:tab/>
        <w:t>Western Metropolitan Regional Council.</w:t>
      </w:r>
    </w:p>
    <w:p>
      <w:pPr>
        <w:pStyle w:val="Footnotesection"/>
      </w:pPr>
      <w:r>
        <w:tab/>
        <w:t>[Regulation 2B inserted: SL 2023/102 r. 10; amended: SL 2023/158 r. 10.]</w:t>
      </w:r>
    </w:p>
    <w:p>
      <w:pPr>
        <w:pStyle w:val="Heading2"/>
      </w:pPr>
      <w:bookmarkStart w:id="12" w:name="_Toc153976699"/>
      <w:bookmarkStart w:id="13" w:name="_Toc153977286"/>
      <w:bookmarkStart w:id="14" w:name="_Toc154048600"/>
      <w:r>
        <w:rPr>
          <w:rStyle w:val="CharPartNo"/>
        </w:rPr>
        <w:lastRenderedPageBreak/>
        <w:t>Part 2</w:t>
      </w:r>
      <w:r>
        <w:t xml:space="preserve"> — </w:t>
      </w:r>
      <w:r>
        <w:rPr>
          <w:rStyle w:val="CharPartText"/>
        </w:rPr>
        <w:t>Districts and wards</w:t>
      </w:r>
      <w:bookmarkEnd w:id="12"/>
      <w:bookmarkEnd w:id="13"/>
      <w:bookmarkEnd w:id="14"/>
    </w:p>
    <w:p>
      <w:pPr>
        <w:pStyle w:val="Heading3"/>
      </w:pPr>
      <w:bookmarkStart w:id="15" w:name="_Toc153976700"/>
      <w:bookmarkStart w:id="16" w:name="_Toc153977287"/>
      <w:bookmarkStart w:id="17" w:name="_Toc154048601"/>
      <w:r>
        <w:rPr>
          <w:rStyle w:val="CharDivNo"/>
        </w:rPr>
        <w:t>Division 1</w:t>
      </w:r>
      <w:r>
        <w:t xml:space="preserve"> — </w:t>
      </w:r>
      <w:r>
        <w:rPr>
          <w:rStyle w:val="CharDivText"/>
        </w:rPr>
        <w:t>Orders under section 2.1</w:t>
      </w:r>
      <w:bookmarkEnd w:id="15"/>
      <w:bookmarkEnd w:id="16"/>
      <w:bookmarkEnd w:id="17"/>
    </w:p>
    <w:p>
      <w:pPr>
        <w:pStyle w:val="Heading5"/>
      </w:pPr>
      <w:bookmarkStart w:id="18" w:name="_Toc154048602"/>
      <w:r>
        <w:rPr>
          <w:rStyle w:val="CharSectno"/>
        </w:rPr>
        <w:t>3</w:t>
      </w:r>
      <w:r>
        <w:t>.</w:t>
      </w:r>
      <w:r>
        <w:tab/>
        <w:t>Interpretation</w:t>
      </w:r>
      <w:bookmarkEnd w:id="18"/>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19" w:name="_Toc154048603"/>
      <w:r>
        <w:rPr>
          <w:rStyle w:val="CharSectno"/>
        </w:rPr>
        <w:t>4</w:t>
      </w:r>
      <w:r>
        <w:t>.</w:t>
      </w:r>
      <w:r>
        <w:tab/>
        <w:t>Creating a new district: consequences</w:t>
      </w:r>
      <w:bookmarkEnd w:id="19"/>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20" w:name="_Toc154048604"/>
      <w:r>
        <w:rPr>
          <w:rStyle w:val="CharSectno"/>
        </w:rPr>
        <w:lastRenderedPageBreak/>
        <w:t>5</w:t>
      </w:r>
      <w:r>
        <w:t>.</w:t>
      </w:r>
      <w:r>
        <w:tab/>
        <w:t>Changing district boundaries: consequences</w:t>
      </w:r>
      <w:bookmarkEnd w:id="20"/>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lastRenderedPageBreak/>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 xml:space="preserve">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w:t>
      </w:r>
      <w:r>
        <w:lastRenderedPageBreak/>
        <w:t>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21" w:name="_Toc154048605"/>
      <w:r>
        <w:rPr>
          <w:rStyle w:val="CharSectno"/>
        </w:rPr>
        <w:t>6</w:t>
      </w:r>
      <w:r>
        <w:t>.</w:t>
      </w:r>
      <w:r>
        <w:tab/>
        <w:t>Abolishing a district: consequences</w:t>
      </w:r>
      <w:bookmarkEnd w:id="21"/>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lastRenderedPageBreak/>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 xml:space="preserve">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w:t>
      </w:r>
      <w:r>
        <w:lastRenderedPageBreak/>
        <w:t>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 xml:space="preserve">any Crown land that is in that part of district A and that, immediately before commencement, is under the care, control and management of local government A </w:t>
      </w:r>
      <w:r>
        <w:lastRenderedPageBreak/>
        <w:t>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lastRenderedPageBreak/>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22" w:name="_Toc154048606"/>
      <w:r>
        <w:rPr>
          <w:rStyle w:val="CharSectno"/>
        </w:rPr>
        <w:t>7</w:t>
      </w:r>
      <w:r>
        <w:t>.</w:t>
      </w:r>
      <w:r>
        <w:tab/>
        <w:t>Effect of section 2.1 order on local laws</w:t>
      </w:r>
      <w:bookmarkEnd w:id="22"/>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lastRenderedPageBreak/>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lastRenderedPageBreak/>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lastRenderedPageBreak/>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23" w:name="_Toc153976706"/>
      <w:bookmarkStart w:id="24" w:name="_Toc153977293"/>
      <w:bookmarkStart w:id="25" w:name="_Toc154048607"/>
      <w:r>
        <w:rPr>
          <w:rStyle w:val="CharDivNo"/>
        </w:rPr>
        <w:t>Division 2</w:t>
      </w:r>
      <w:r>
        <w:t xml:space="preserve"> — </w:t>
      </w:r>
      <w:r>
        <w:rPr>
          <w:rStyle w:val="CharDivText"/>
        </w:rPr>
        <w:t>Matters under Schedules 2.1 and 2.2 to the Act</w:t>
      </w:r>
      <w:bookmarkEnd w:id="23"/>
      <w:bookmarkEnd w:id="24"/>
      <w:bookmarkEnd w:id="25"/>
    </w:p>
    <w:p>
      <w:pPr>
        <w:pStyle w:val="Heading5"/>
      </w:pPr>
      <w:bookmarkStart w:id="26" w:name="_Toc154048608"/>
      <w:r>
        <w:rPr>
          <w:rStyle w:val="CharSectno"/>
        </w:rPr>
        <w:t>8</w:t>
      </w:r>
      <w:r>
        <w:t>.</w:t>
      </w:r>
      <w:r>
        <w:tab/>
        <w:t>Proposals for creating, changing the boundaries of, or abolishing districts (Sch. 2.1 cl. 2)</w:t>
      </w:r>
      <w:bookmarkEnd w:id="26"/>
    </w:p>
    <w:p>
      <w:pPr>
        <w:pStyle w:val="Subsection"/>
      </w:pPr>
      <w:r>
        <w:tab/>
      </w:r>
      <w:r>
        <w:tab/>
        <w:t>A proposal by affected electors under clause 2 of Schedule 2.1 to the Act is to be in the form of Form 1.</w:t>
      </w:r>
    </w:p>
    <w:p>
      <w:pPr>
        <w:pStyle w:val="Heading5"/>
      </w:pPr>
      <w:bookmarkStart w:id="27" w:name="_Toc154048609"/>
      <w:r>
        <w:rPr>
          <w:rStyle w:val="CharSectno"/>
        </w:rPr>
        <w:t>9</w:t>
      </w:r>
      <w:r>
        <w:t>.</w:t>
      </w:r>
      <w:r>
        <w:tab/>
        <w:t>Request for a poll on a recommended amalgamation (Sch. 2.1 cl. 8)</w:t>
      </w:r>
      <w:bookmarkEnd w:id="27"/>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28" w:name="_Toc154048610"/>
      <w:r>
        <w:rPr>
          <w:rStyle w:val="CharSectno"/>
        </w:rPr>
        <w:t>10</w:t>
      </w:r>
      <w:r>
        <w:t>.</w:t>
      </w:r>
      <w:r>
        <w:tab/>
        <w:t>Submission about changes to wards, names or representation (Sch. 2.2 cl. 3)</w:t>
      </w:r>
      <w:bookmarkEnd w:id="28"/>
    </w:p>
    <w:p>
      <w:pPr>
        <w:pStyle w:val="Subsection"/>
      </w:pPr>
      <w:r>
        <w:tab/>
      </w:r>
      <w:r>
        <w:tab/>
        <w:t>A submission by affected electors under clause 3 of Schedule 2.2 to the Act is to be in the form of Form 3.</w:t>
      </w:r>
    </w:p>
    <w:p>
      <w:pPr>
        <w:pStyle w:val="Heading3"/>
      </w:pPr>
      <w:bookmarkStart w:id="29" w:name="_Toc153976710"/>
      <w:bookmarkStart w:id="30" w:name="_Toc153977297"/>
      <w:bookmarkStart w:id="31" w:name="_Toc154048611"/>
      <w:r>
        <w:rPr>
          <w:rStyle w:val="CharDivNo"/>
        </w:rPr>
        <w:lastRenderedPageBreak/>
        <w:t>Division 3</w:t>
      </w:r>
      <w:r>
        <w:t> — </w:t>
      </w:r>
      <w:r>
        <w:rPr>
          <w:rStyle w:val="CharDivText"/>
        </w:rPr>
        <w:t>Districts that cannot be divided into wards</w:t>
      </w:r>
      <w:bookmarkEnd w:id="29"/>
      <w:bookmarkEnd w:id="30"/>
      <w:bookmarkEnd w:id="31"/>
    </w:p>
    <w:p>
      <w:pPr>
        <w:pStyle w:val="Footnoteheading"/>
        <w:keepNext/>
      </w:pPr>
      <w:r>
        <w:tab/>
        <w:t>[Heading inserted: SL 2023/102 r. 11.]</w:t>
      </w:r>
    </w:p>
    <w:p>
      <w:pPr>
        <w:pStyle w:val="Heading5"/>
      </w:pPr>
      <w:bookmarkStart w:id="32" w:name="_Toc154048612"/>
      <w:r>
        <w:rPr>
          <w:rStyle w:val="CharSectno"/>
        </w:rPr>
        <w:t>10AA</w:t>
      </w:r>
      <w:r>
        <w:t>.</w:t>
      </w:r>
      <w:r>
        <w:tab/>
        <w:t>Term used: class 3 or 4 district</w:t>
      </w:r>
      <w:bookmarkEnd w:id="32"/>
    </w:p>
    <w:p>
      <w:pPr>
        <w:pStyle w:val="Subsection"/>
        <w:keepNext/>
      </w:pPr>
      <w:r>
        <w:tab/>
      </w:r>
      <w:r>
        <w:tab/>
        <w:t xml:space="preserve">In this Division — </w:t>
      </w:r>
    </w:p>
    <w:p>
      <w:pPr>
        <w:pStyle w:val="Defstart"/>
      </w:pPr>
      <w:r>
        <w:tab/>
      </w:r>
      <w:r>
        <w:rPr>
          <w:rStyle w:val="CharDefText"/>
        </w:rPr>
        <w:t>class 3 or 4 district</w:t>
      </w:r>
      <w:r>
        <w:t xml:space="preserve"> means a district that is — </w:t>
      </w:r>
    </w:p>
    <w:p>
      <w:pPr>
        <w:pStyle w:val="Defpara"/>
      </w:pPr>
      <w:r>
        <w:tab/>
        <w:t>(a)</w:t>
      </w:r>
      <w:r>
        <w:tab/>
        <w:t>the district of a class 3 local government; or</w:t>
      </w:r>
    </w:p>
    <w:p>
      <w:pPr>
        <w:pStyle w:val="Defpara"/>
      </w:pPr>
      <w:r>
        <w:tab/>
        <w:t>(b)</w:t>
      </w:r>
      <w:r>
        <w:tab/>
        <w:t>the district of a class 4 local government.</w:t>
      </w:r>
    </w:p>
    <w:p>
      <w:pPr>
        <w:pStyle w:val="Footnotesection"/>
      </w:pPr>
      <w:r>
        <w:tab/>
        <w:t>[Regulation 10AA inserted: SL 2023/102 r. 11.]</w:t>
      </w:r>
    </w:p>
    <w:p>
      <w:pPr>
        <w:pStyle w:val="Heading5"/>
      </w:pPr>
      <w:bookmarkStart w:id="33" w:name="_Toc154048613"/>
      <w:r>
        <w:rPr>
          <w:rStyle w:val="CharSectno"/>
        </w:rPr>
        <w:t>10AB</w:t>
      </w:r>
      <w:r>
        <w:t>.</w:t>
      </w:r>
      <w:r>
        <w:tab/>
        <w:t>Class 3 or 4 district cannot be divided into wards (s. 2.2A(1)(a))</w:t>
      </w:r>
      <w:bookmarkEnd w:id="33"/>
    </w:p>
    <w:p>
      <w:pPr>
        <w:pStyle w:val="Subsection"/>
      </w:pPr>
      <w:r>
        <w:tab/>
        <w:t>(1)</w:t>
      </w:r>
      <w:r>
        <w:tab/>
        <w:t>For the purposes of section 2.2A(1)(a), a class 3 or 4 district cannot be divided into wards.</w:t>
      </w:r>
    </w:p>
    <w:p>
      <w:pPr>
        <w:pStyle w:val="Subsection"/>
      </w:pPr>
      <w:r>
        <w:tab/>
        <w:t>(2)</w:t>
      </w:r>
      <w:r>
        <w:tab/>
        <w:t>Subregulation (1) is subject to regulation 10AC(3).</w:t>
      </w:r>
    </w:p>
    <w:p>
      <w:pPr>
        <w:pStyle w:val="Footnotesection"/>
      </w:pPr>
      <w:r>
        <w:tab/>
        <w:t>[Regulation 10AB inserted: SL 2023/102 r. 11.]</w:t>
      </w:r>
    </w:p>
    <w:p>
      <w:pPr>
        <w:pStyle w:val="Heading5"/>
      </w:pPr>
      <w:bookmarkStart w:id="34" w:name="_Toc154048614"/>
      <w:r>
        <w:rPr>
          <w:rStyle w:val="CharSectno"/>
        </w:rPr>
        <w:t>10AC</w:t>
      </w:r>
      <w:r>
        <w:t>.</w:t>
      </w:r>
      <w:r>
        <w:tab/>
        <w:t>Abolition of wards in class 3 or 4 district (s. 2.2A(1)(b) and (2)(b) and (c))</w:t>
      </w:r>
      <w:bookmarkEnd w:id="34"/>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11 comes into operation;</w:t>
      </w:r>
    </w:p>
    <w:p>
      <w:pPr>
        <w:pStyle w:val="Defstart"/>
      </w:pPr>
      <w:r>
        <w:tab/>
      </w:r>
      <w:r>
        <w:rPr>
          <w:rStyle w:val="CharDefText"/>
        </w:rPr>
        <w:t>next election</w:t>
      </w:r>
      <w:r>
        <w:t>, in relation to a class 3 or 4 district, means the first ordinary election after amendment day for the local government of which it is the district;</w:t>
      </w:r>
    </w:p>
    <w:p>
      <w:pPr>
        <w:pStyle w:val="Defstart"/>
      </w:pPr>
      <w:r>
        <w:tab/>
      </w:r>
      <w:r>
        <w:rPr>
          <w:rStyle w:val="CharDefText"/>
        </w:rPr>
        <w:t>next election day</w:t>
      </w:r>
      <w:r>
        <w:t>, in relation to a class 3 or 4 district, means the day fixed under the Act for the holding of any poll needed for the next election (whether or not any poll is actually held).</w:t>
      </w:r>
    </w:p>
    <w:p>
      <w:pPr>
        <w:pStyle w:val="Subsection"/>
      </w:pPr>
      <w:r>
        <w:tab/>
        <w:t>(2)</w:t>
      </w:r>
      <w:r>
        <w:tab/>
        <w:t>This regulation applies to a class 3 or 4 district which, immediately before amendment day, is divided into wards.</w:t>
      </w:r>
    </w:p>
    <w:p>
      <w:pPr>
        <w:pStyle w:val="Subsection"/>
      </w:pPr>
      <w:r>
        <w:lastRenderedPageBreak/>
        <w:tab/>
        <w:t>(3)</w:t>
      </w:r>
      <w:r>
        <w:tab/>
        <w:t>Regulation 10AB(1) does not apply to the class 3 or 4 district before next election day.</w:t>
      </w:r>
    </w:p>
    <w:p>
      <w:pPr>
        <w:pStyle w:val="Subsection"/>
      </w:pPr>
      <w:r>
        <w:tab/>
        <w:t>(4)</w:t>
      </w:r>
      <w:r>
        <w:tab/>
        <w:t>For the purposes of section 2.2A(1)(b), all of the wards are abolished on next election day.</w:t>
      </w:r>
    </w:p>
    <w:p>
      <w:pPr>
        <w:pStyle w:val="Subsection"/>
      </w:pPr>
      <w:r>
        <w:tab/>
        <w:t>(5)</w:t>
      </w:r>
      <w:r>
        <w:tab/>
        <w:t>For the purposes of section 2.2A(2)(b), Part 4 of the Act applies for the purpose of preparing for, and conducting, the next election as if the abolition of all of the wards takes effect on amendment day.</w:t>
      </w:r>
    </w:p>
    <w:p>
      <w:pPr>
        <w:pStyle w:val="PermNoteHeading"/>
      </w:pPr>
      <w:r>
        <w:tab/>
        <w:t>Note for this subregulation:</w:t>
      </w:r>
    </w:p>
    <w:p>
      <w:pPr>
        <w:pStyle w:val="PermNoteText"/>
      </w:pPr>
      <w:r>
        <w:tab/>
      </w:r>
      <w:r>
        <w:tab/>
        <w:t>The operation of Part 4 of the Act is modified to the extent necessary to give effect to this subregulation — see section 2.2A(2)(c).</w:t>
      </w:r>
    </w:p>
    <w:p>
      <w:pPr>
        <w:pStyle w:val="Subsection"/>
      </w:pPr>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p>
    <w:p>
      <w:pPr>
        <w:pStyle w:val="Footnotesection"/>
      </w:pPr>
      <w:r>
        <w:tab/>
        <w:t>[Regulation 10AC inserted: SL 2023/102 r. 11.]</w:t>
      </w:r>
    </w:p>
    <w:p>
      <w:pPr>
        <w:pStyle w:val="Heading2"/>
      </w:pPr>
      <w:bookmarkStart w:id="35" w:name="_Toc153976714"/>
      <w:bookmarkStart w:id="36" w:name="_Toc153977301"/>
      <w:bookmarkStart w:id="37" w:name="_Toc154048615"/>
      <w:r>
        <w:rPr>
          <w:rStyle w:val="CharPartNo"/>
        </w:rPr>
        <w:lastRenderedPageBreak/>
        <w:t>Part 3</w:t>
      </w:r>
      <w:r>
        <w:t xml:space="preserve"> — </w:t>
      </w:r>
      <w:r>
        <w:rPr>
          <w:rStyle w:val="CharPartText"/>
        </w:rPr>
        <w:t>Offices on councils</w:t>
      </w:r>
      <w:bookmarkEnd w:id="35"/>
      <w:bookmarkEnd w:id="36"/>
      <w:bookmarkEnd w:id="37"/>
    </w:p>
    <w:p>
      <w:pPr>
        <w:pStyle w:val="Heading3"/>
      </w:pPr>
      <w:bookmarkStart w:id="38" w:name="_Toc153976715"/>
      <w:bookmarkStart w:id="39" w:name="_Toc153977302"/>
      <w:bookmarkStart w:id="40" w:name="_Toc154048616"/>
      <w:r>
        <w:rPr>
          <w:rStyle w:val="CharDivNo"/>
        </w:rPr>
        <w:t>Division 1</w:t>
      </w:r>
      <w:r>
        <w:t> — </w:t>
      </w:r>
      <w:r>
        <w:rPr>
          <w:rStyle w:val="CharDivText"/>
        </w:rPr>
        <w:t>Method of filling office of mayor or president</w:t>
      </w:r>
      <w:bookmarkEnd w:id="38"/>
      <w:bookmarkEnd w:id="39"/>
      <w:bookmarkEnd w:id="40"/>
    </w:p>
    <w:p>
      <w:pPr>
        <w:pStyle w:val="Footnoteheading"/>
        <w:keepNext/>
      </w:pPr>
      <w:r>
        <w:tab/>
        <w:t>[Heading inserted: SL 2023/102 r. 12.]</w:t>
      </w:r>
    </w:p>
    <w:p>
      <w:pPr>
        <w:pStyle w:val="Heading5"/>
      </w:pPr>
      <w:bookmarkStart w:id="41" w:name="_Toc154048617"/>
      <w:r>
        <w:rPr>
          <w:rStyle w:val="CharSectno"/>
        </w:rPr>
        <w:t>10AD</w:t>
      </w:r>
      <w:r>
        <w:t>.</w:t>
      </w:r>
      <w:r>
        <w:tab/>
        <w:t>Proposals to change method of filling office of mayor or president (s. 2.12)</w:t>
      </w:r>
      <w:bookmarkEnd w:id="41"/>
    </w:p>
    <w:p>
      <w:pPr>
        <w:pStyle w:val="Subsection"/>
      </w:pPr>
      <w:r>
        <w:tab/>
      </w:r>
      <w:r>
        <w:tab/>
        <w:t>A proposal by electors under section 2.12 to change the method of filling the office of mayor or president of a local government to the other method mentioned in section 2.11(1)(a) or (b) must be in the form of Form 4.</w:t>
      </w:r>
    </w:p>
    <w:p>
      <w:pPr>
        <w:pStyle w:val="Footnotesection"/>
      </w:pPr>
      <w:r>
        <w:tab/>
        <w:t>[Regulation 10AD inserted: SL 2023/102 r. 12.]</w:t>
      </w:r>
    </w:p>
    <w:p>
      <w:pPr>
        <w:pStyle w:val="Heading5"/>
      </w:pPr>
      <w:bookmarkStart w:id="42" w:name="_Toc154048618"/>
      <w:r>
        <w:rPr>
          <w:rStyle w:val="CharSectno"/>
        </w:rPr>
        <w:t>10AE</w:t>
      </w:r>
      <w:r>
        <w:t>.</w:t>
      </w:r>
      <w:r>
        <w:tab/>
        <w:t>Class 1 or 2 local government must use election by electors method (s. 2.12B(1)(a))</w:t>
      </w:r>
      <w:bookmarkEnd w:id="42"/>
    </w:p>
    <w:p>
      <w:pPr>
        <w:pStyle w:val="Subsection"/>
      </w:pPr>
      <w:r>
        <w:tab/>
        <w:t>(1)</w:t>
      </w:r>
      <w:r>
        <w:tab/>
        <w:t xml:space="preserve">For the purposes of section 2.12B(1)(a), the method of filling the office of mayor or president used by a local government that is a class 1 local government or a class 2 local government — </w:t>
      </w:r>
    </w:p>
    <w:p>
      <w:pPr>
        <w:pStyle w:val="Indenta"/>
      </w:pPr>
      <w:r>
        <w:tab/>
        <w:t>(a)</w:t>
      </w:r>
      <w:r>
        <w:tab/>
        <w:t>must be the election by the electors method; and</w:t>
      </w:r>
    </w:p>
    <w:p>
      <w:pPr>
        <w:pStyle w:val="Indenta"/>
      </w:pPr>
      <w:r>
        <w:tab/>
        <w:t>(b)</w:t>
      </w:r>
      <w:r>
        <w:tab/>
        <w:t>cannot be changed to the election by the council method.</w:t>
      </w:r>
    </w:p>
    <w:p>
      <w:pPr>
        <w:pStyle w:val="Subsection"/>
      </w:pPr>
      <w:r>
        <w:tab/>
        <w:t>(2)</w:t>
      </w:r>
      <w:r>
        <w:tab/>
        <w:t>Subregulation (1) does not apply to the City of Perth.</w:t>
      </w:r>
    </w:p>
    <w:p>
      <w:pPr>
        <w:pStyle w:val="PermNoteHeading"/>
      </w:pPr>
      <w:r>
        <w:tab/>
        <w:t>Note for this subregulation:</w:t>
      </w:r>
    </w:p>
    <w:p>
      <w:pPr>
        <w:pStyle w:val="PermNoteText"/>
      </w:pPr>
      <w:r>
        <w:tab/>
      </w:r>
      <w:r>
        <w:tab/>
        <w:t xml:space="preserve">The </w:t>
      </w:r>
      <w:r>
        <w:rPr>
          <w:i/>
        </w:rPr>
        <w:t>City of Perth Act 2016</w:t>
      </w:r>
      <w:r>
        <w:t xml:space="preserve"> section 20 provides for the City of Perth to use the election by the electors method.</w:t>
      </w:r>
    </w:p>
    <w:p>
      <w:pPr>
        <w:pStyle w:val="Footnotesection"/>
      </w:pPr>
      <w:r>
        <w:tab/>
        <w:t>[Regulation 10AE inserted: SL 2023/102 r. 12.]</w:t>
      </w:r>
    </w:p>
    <w:p>
      <w:pPr>
        <w:pStyle w:val="Heading5"/>
      </w:pPr>
      <w:bookmarkStart w:id="43" w:name="_Toc154048619"/>
      <w:r>
        <w:rPr>
          <w:rStyle w:val="CharSectno"/>
        </w:rPr>
        <w:t>10AF</w:t>
      </w:r>
      <w:r>
        <w:t>.</w:t>
      </w:r>
      <w:r>
        <w:tab/>
        <w:t>Change of method of filling office of mayor or president (s. 2.12B(1)(b) and (2)(a), 2.13(4)(a))</w:t>
      </w:r>
      <w:bookmarkEnd w:id="43"/>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12 comes into operation;</w:t>
      </w:r>
    </w:p>
    <w:p>
      <w:pPr>
        <w:pStyle w:val="Defstart"/>
      </w:pPr>
      <w:r>
        <w:lastRenderedPageBreak/>
        <w:tab/>
      </w:r>
      <w:r>
        <w:rPr>
          <w:rStyle w:val="CharDefText"/>
        </w:rPr>
        <w:t>relevant local government</w:t>
      </w:r>
      <w:r>
        <w:t xml:space="preserve"> means — </w:t>
      </w:r>
    </w:p>
    <w:p>
      <w:pPr>
        <w:pStyle w:val="Defpara"/>
      </w:pPr>
      <w:r>
        <w:tab/>
        <w:t>(a)</w:t>
      </w:r>
      <w:r>
        <w:tab/>
        <w:t>a class 1 local government if, immediately before amendment day, the method of filling the office of mayor or president used by the class 1 local government is the election by the council method; or</w:t>
      </w:r>
    </w:p>
    <w:p>
      <w:pPr>
        <w:pStyle w:val="Defpara"/>
      </w:pPr>
      <w:r>
        <w:tab/>
        <w:t>(b)</w:t>
      </w:r>
      <w:r>
        <w:tab/>
        <w:t>a class 2 local government if, immediately before amendment day, the method of filling the office of mayor or president used by the class 2 local government is the election by the council method.</w:t>
      </w:r>
    </w:p>
    <w:p>
      <w:pPr>
        <w:pStyle w:val="Subsection"/>
      </w:pPr>
      <w:r>
        <w:tab/>
        <w:t>(2)</w:t>
      </w:r>
      <w:r>
        <w:tab/>
        <w:t>For the purposes of section 2.12B(1)(b), the method of filling the office of mayor or president used by a relevant local government is changed to the election by the electors method.</w:t>
      </w:r>
    </w:p>
    <w:p>
      <w:pPr>
        <w:pStyle w:val="Subsection"/>
      </w:pPr>
      <w:r>
        <w:tab/>
        <w:t>(3)</w:t>
      </w:r>
      <w:r>
        <w:tab/>
        <w:t>For the purposes of section 2.13(4)(a), the change has effect in relation to the filling of the office of mayor or president at the next ordinary elections for the relevant local government that are held after amendment day.</w:t>
      </w:r>
    </w:p>
    <w:p>
      <w:pPr>
        <w:pStyle w:val="PermNoteHeading"/>
      </w:pPr>
      <w:r>
        <w:tab/>
        <w:t>Note for this subregulation:</w:t>
      </w:r>
    </w:p>
    <w:p>
      <w:pPr>
        <w:pStyle w:val="PermNoteText"/>
      </w:pPr>
      <w:r>
        <w:tab/>
      </w:r>
      <w:r>
        <w:tab/>
        <w:t>This subregulation makes the provision required by section 2.12B(2)(a) because of the provision made by subregulation (2).</w:t>
      </w:r>
    </w:p>
    <w:p>
      <w:pPr>
        <w:pStyle w:val="Subsection"/>
      </w:pPr>
      <w:r>
        <w:tab/>
        <w:t>(4)</w:t>
      </w:r>
      <w:r>
        <w:tab/>
        <w:t xml:space="preserve">Subregulations (2) and (3) do not apply to a relevant local government if — </w:t>
      </w:r>
    </w:p>
    <w:p>
      <w:pPr>
        <w:pStyle w:val="Indenta"/>
      </w:pPr>
      <w:r>
        <w:tab/>
        <w:t>(a)</w:t>
      </w:r>
      <w:r>
        <w:tab/>
        <w:t>before amendment day, the relevant local government made a decision under section 2.11(2) to change the method of filling the office of mayor or president used by it to the election by the electors method; and</w:t>
      </w:r>
    </w:p>
    <w:p>
      <w:pPr>
        <w:pStyle w:val="Indenta"/>
      </w:pPr>
      <w:r>
        <w:tab/>
        <w:t>(b)</w:t>
      </w:r>
      <w:r>
        <w:tab/>
        <w:t>in accordance with section 2.13(1), the change has effect in relation to the filling of the office of mayor or president at the next ordinary elections for the relevant local government that are held after amendment day.</w:t>
      </w:r>
    </w:p>
    <w:p>
      <w:pPr>
        <w:pStyle w:val="Footnotesection"/>
      </w:pPr>
      <w:r>
        <w:tab/>
        <w:t>[Regulation 10AF inserted: SL 2023/102 r. 12.]</w:t>
      </w:r>
    </w:p>
    <w:p>
      <w:pPr>
        <w:pStyle w:val="Heading3"/>
      </w:pPr>
      <w:bookmarkStart w:id="44" w:name="_Toc153976719"/>
      <w:bookmarkStart w:id="45" w:name="_Toc153977306"/>
      <w:bookmarkStart w:id="46" w:name="_Toc154048620"/>
      <w:r>
        <w:rPr>
          <w:rStyle w:val="CharDivNo"/>
        </w:rPr>
        <w:lastRenderedPageBreak/>
        <w:t>Division 2</w:t>
      </w:r>
      <w:r>
        <w:t> — </w:t>
      </w:r>
      <w:r>
        <w:rPr>
          <w:rStyle w:val="CharDivText"/>
        </w:rPr>
        <w:t>Matters under Schedule 2.3 of Act</w:t>
      </w:r>
      <w:bookmarkEnd w:id="44"/>
      <w:bookmarkEnd w:id="45"/>
      <w:bookmarkEnd w:id="46"/>
    </w:p>
    <w:p>
      <w:pPr>
        <w:pStyle w:val="Footnoteheading"/>
        <w:keepNext/>
      </w:pPr>
      <w:r>
        <w:tab/>
        <w:t>[Heading inserted: SL 2023/102 r. 13.]</w:t>
      </w:r>
    </w:p>
    <w:p>
      <w:pPr>
        <w:pStyle w:val="Heading5"/>
      </w:pPr>
      <w:bookmarkStart w:id="47" w:name="_Toc154048621"/>
      <w:r>
        <w:rPr>
          <w:rStyle w:val="CharSectno"/>
        </w:rPr>
        <w:t>10A</w:t>
      </w:r>
      <w:r>
        <w:t>.</w:t>
      </w:r>
      <w:r>
        <w:tab/>
        <w:t>Terms used</w:t>
      </w:r>
      <w:bookmarkEnd w:id="47"/>
    </w:p>
    <w:p>
      <w:pPr>
        <w:pStyle w:val="Subsection"/>
      </w:pPr>
      <w:r>
        <w:tab/>
      </w:r>
      <w:r>
        <w:tab/>
        <w:t xml:space="preserve">In this Division — </w:t>
      </w:r>
    </w:p>
    <w:p>
      <w:pPr>
        <w:pStyle w:val="Defstart"/>
      </w:pPr>
      <w:r>
        <w:rPr>
          <w:b/>
        </w:rPr>
        <w:tab/>
      </w:r>
      <w:r>
        <w:rPr>
          <w:rStyle w:val="CharDefText"/>
        </w:rPr>
        <w:t>election</w:t>
      </w:r>
      <w:r>
        <w:t xml:space="preserve"> means an election under Schedule 2.3 to the Act;</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number of first</w:t>
      </w:r>
      <w:r>
        <w:noBreakHyphen/>
        <w:t>preference votes that each candidate had; and</w:t>
      </w:r>
    </w:p>
    <w:p>
      <w:pPr>
        <w:pStyle w:val="Defpara"/>
      </w:pPr>
      <w:r>
        <w:tab/>
        <w:t>(e)</w:t>
      </w:r>
      <w:r>
        <w:tab/>
        <w:t xml:space="preserve">if the result of the election is ascertained under Schedule 4.1 clause 5 of the Act (as applied under Schedule 2.3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keepNext/>
      </w:pPr>
      <w:r>
        <w:tab/>
        <w:t>(iii)</w:t>
      </w:r>
      <w:r>
        <w:tab/>
        <w:t>the number of votes that each candidate who was not excluded had on the last count under Schedule 4.1 clause 5(2)(d) of the Act.</w:t>
      </w:r>
    </w:p>
    <w:p>
      <w:pPr>
        <w:pStyle w:val="Footnotesection"/>
      </w:pPr>
      <w:r>
        <w:tab/>
        <w:t>[Regulation 10A inserted: Gazette 31 Mar 2005 p. 1044; amended: Gazette 21 Aug 2007 p. 4184-5; 28 Aug 2009 p. 3371; SL 2023/102 r. 14.]</w:t>
      </w:r>
    </w:p>
    <w:p>
      <w:pPr>
        <w:pStyle w:val="Ednotesection"/>
      </w:pPr>
      <w:r>
        <w:lastRenderedPageBreak/>
        <w:t>[</w:t>
      </w:r>
      <w:r>
        <w:rPr>
          <w:b/>
        </w:rPr>
        <w:t>11.</w:t>
      </w:r>
      <w:r>
        <w:tab/>
        <w:t>Deleted: SL 2023/102 r. 15.]</w:t>
      </w:r>
    </w:p>
    <w:p>
      <w:pPr>
        <w:pStyle w:val="Heading5"/>
      </w:pPr>
      <w:bookmarkStart w:id="48" w:name="_Toc154048622"/>
      <w:r>
        <w:rPr>
          <w:rStyle w:val="CharSectno"/>
        </w:rPr>
        <w:t>11A</w:t>
      </w:r>
      <w:r>
        <w:t>.</w:t>
      </w:r>
      <w:r>
        <w:tab/>
        <w:t>Election of mayor, president, deputy mayor or deputy president by council (Sch. 2.3)</w:t>
      </w:r>
      <w:bookmarkEnd w:id="48"/>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Section 4.69(2) to (4) apply in relation to the casting of votes, modified as is necessary for the purposes of the election.</w:t>
      </w:r>
    </w:p>
    <w:p>
      <w:pPr>
        <w:pStyle w:val="Ednotesubsection"/>
        <w:keepNext/>
      </w:pPr>
      <w:r>
        <w:tab/>
        <w:t>[(5)</w:t>
      </w:r>
      <w:r>
        <w:tab/>
        <w:t>deleted]</w:t>
      </w:r>
    </w:p>
    <w:p>
      <w:pPr>
        <w:pStyle w:val="Footnotesection"/>
      </w:pPr>
      <w:r>
        <w:tab/>
        <w:t>[Regulation 11A inserted: Gazette 31 Mar 2005 p. 1044-5; amended: Gazette 21 Aug 2007 p. 4185; 28 Aug 2009 p. 3372; SL 2023/102 r. 16.]</w:t>
      </w:r>
    </w:p>
    <w:p>
      <w:pPr>
        <w:pStyle w:val="Heading5"/>
      </w:pPr>
      <w:bookmarkStart w:id="49" w:name="_Toc154048623"/>
      <w:r>
        <w:rPr>
          <w:rStyle w:val="CharSectno"/>
        </w:rPr>
        <w:t>11B</w:t>
      </w:r>
      <w:r>
        <w:t>.</w:t>
      </w:r>
      <w:r>
        <w:tab/>
        <w:t>Ballot papers to be authentic (Sch. 2.3 cl. 4 and 8)</w:t>
      </w:r>
      <w:bookmarkEnd w:id="49"/>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50" w:name="_Toc154048624"/>
      <w:r>
        <w:rPr>
          <w:rStyle w:val="CharSectno"/>
        </w:rPr>
        <w:lastRenderedPageBreak/>
        <w:t>11C</w:t>
      </w:r>
      <w:r>
        <w:t>.</w:t>
      </w:r>
      <w:r>
        <w:tab/>
        <w:t>Spoilt ballot papers (Sch. 2.3 cl. 4 and 8)</w:t>
      </w:r>
      <w:bookmarkEnd w:id="50"/>
    </w:p>
    <w:p>
      <w:pPr>
        <w:pStyle w:val="Subsection"/>
        <w:keepNext/>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51" w:name="_Toc154048625"/>
      <w:r>
        <w:rPr>
          <w:rStyle w:val="CharSectno"/>
        </w:rPr>
        <w:t>11D</w:t>
      </w:r>
      <w:r>
        <w:t>.</w:t>
      </w:r>
      <w:r>
        <w:tab/>
        <w:t>Marking and dealing with the ballot paper (Sch. 2.3 cl. 4 and 8)</w:t>
      </w:r>
      <w:bookmarkEnd w:id="51"/>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52" w:name="_Toc154048626"/>
      <w:r>
        <w:rPr>
          <w:rStyle w:val="CharSectno"/>
        </w:rPr>
        <w:t>11E</w:t>
      </w:r>
      <w:r>
        <w:t>.</w:t>
      </w:r>
      <w:r>
        <w:tab/>
        <w:t>Assistance to be given to council members who cannot otherwise vote (Sch. 2.3 cl. 4 and 8)</w:t>
      </w:r>
      <w:bookmarkEnd w:id="52"/>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 xml:space="preserve">If a request is made under subregulation (1) the CEO, or another local government employee authorised for that purpose by the </w:t>
      </w:r>
      <w:r>
        <w:lastRenderedPageBreak/>
        <w:t>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53" w:name="_Toc154048627"/>
      <w:r>
        <w:rPr>
          <w:rStyle w:val="CharSectno"/>
        </w:rPr>
        <w:t>11EA</w:t>
      </w:r>
      <w:r>
        <w:t>.</w:t>
      </w:r>
      <w:r>
        <w:tab/>
        <w:t>Drawing of lots (Sch. 2.3 cl. 4, 5, 8 and 9)</w:t>
      </w:r>
      <w:bookmarkEnd w:id="53"/>
    </w:p>
    <w:p>
      <w:pPr>
        <w:pStyle w:val="Subsection"/>
        <w:keepNext/>
      </w:pPr>
      <w:r>
        <w:tab/>
      </w:r>
      <w:r>
        <w:tab/>
        <w:t xml:space="preserve">If a provision of Schedule 4.1 of the Act (as applied under Schedule 2.3 of the Act) requires the drawing of lots, the applicable regulation of the </w:t>
      </w:r>
      <w:r>
        <w:rPr>
          <w:i/>
        </w:rPr>
        <w:t xml:space="preserve">Local Government (Elections) Regulations 1997 </w:t>
      </w:r>
      <w:r>
        <w:t>Part 12C Division 4 applies, modified as is necessary for the purposes of the election.</w:t>
      </w:r>
    </w:p>
    <w:p>
      <w:pPr>
        <w:pStyle w:val="PermNoteHeading"/>
      </w:pPr>
      <w:r>
        <w:tab/>
        <w:t>Note for this regulation:</w:t>
      </w:r>
    </w:p>
    <w:p>
      <w:pPr>
        <w:pStyle w:val="PermNoteText"/>
        <w:keepNext/>
      </w:pPr>
      <w:r>
        <w:tab/>
      </w:r>
      <w:r>
        <w:tab/>
        <w:t>A requirement to draw lots under Schedule 4.1 clause 2(2) or 5(6)(b) of the Act is subject to Schedule 2.3 clause 5(1) or 9(1) of the Act (as the case requires).</w:t>
      </w:r>
    </w:p>
    <w:p>
      <w:pPr>
        <w:pStyle w:val="Footnotesection"/>
      </w:pPr>
      <w:r>
        <w:tab/>
        <w:t>[Regulation 11EA inserted: SL 2023/102 r. 17.]</w:t>
      </w:r>
    </w:p>
    <w:p>
      <w:pPr>
        <w:pStyle w:val="Heading5"/>
      </w:pPr>
      <w:bookmarkStart w:id="54" w:name="_Toc154048628"/>
      <w:r>
        <w:rPr>
          <w:rStyle w:val="CharSectno"/>
        </w:rPr>
        <w:t>11F</w:t>
      </w:r>
      <w:r>
        <w:t>.</w:t>
      </w:r>
      <w:r>
        <w:tab/>
        <w:t>Declaration and notice of result of election — (Sch. 2.3 cl. 4 and 8)</w:t>
      </w:r>
      <w:bookmarkEnd w:id="54"/>
    </w:p>
    <w:p>
      <w:pPr>
        <w:pStyle w:val="Subsection"/>
      </w:pPr>
      <w:r>
        <w:tab/>
        <w:t>(1)</w:t>
      </w:r>
      <w:r>
        <w:tab/>
        <w:t>The person conducting the election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following information — </w:t>
      </w:r>
    </w:p>
    <w:p>
      <w:pPr>
        <w:pStyle w:val="Indenta"/>
      </w:pPr>
      <w:r>
        <w:tab/>
        <w:t>(a)</w:t>
      </w:r>
      <w:r>
        <w:tab/>
        <w:t>the number of first</w:t>
      </w:r>
      <w:r>
        <w:noBreakHyphen/>
        <w:t>preference votes that each candidate had;</w:t>
      </w:r>
    </w:p>
    <w:p>
      <w:pPr>
        <w:pStyle w:val="Indenta"/>
        <w:keepNext/>
      </w:pPr>
      <w:r>
        <w:lastRenderedPageBreak/>
        <w:tab/>
        <w:t>(b)</w:t>
      </w:r>
      <w:r>
        <w:tab/>
        <w:t xml:space="preserve">if the result of the election is ascertained under Schedule 4.1 clause 5 of the Act (as applied under Schedule 2.3 of the Act) — </w:t>
      </w:r>
    </w:p>
    <w:p>
      <w:pPr>
        <w:pStyle w:val="Indenti"/>
      </w:pPr>
      <w:r>
        <w:tab/>
        <w:t>(i)</w:t>
      </w:r>
      <w:r>
        <w:tab/>
        <w:t>each candidate who was excluded under Schedule 4.1 clause 5(2)(a) of the Act; and</w:t>
      </w:r>
    </w:p>
    <w:p>
      <w:pPr>
        <w:pStyle w:val="Indenti"/>
      </w:pPr>
      <w:r>
        <w:tab/>
        <w:t>(ii)</w:t>
      </w:r>
      <w:r>
        <w:tab/>
        <w:t>details of the setting aside or transfer of ballot papers under Schedule 4.1 clause 5(2)(b) or (c) of the Act; and</w:t>
      </w:r>
    </w:p>
    <w:p>
      <w:pPr>
        <w:pStyle w:val="Indenti"/>
      </w:pPr>
      <w:r>
        <w:tab/>
        <w:t>(iii)</w:t>
      </w:r>
      <w:r>
        <w:tab/>
        <w:t>the number of votes that each candidate who was not excluded had on the last count under Schedule 4.1 clause 5(2)(d) of the Act.</w:t>
      </w:r>
    </w:p>
    <w:p>
      <w:pPr>
        <w:pStyle w:val="Subsection"/>
      </w:pPr>
      <w:r>
        <w:tab/>
        <w:t>(4)</w:t>
      </w:r>
      <w:r>
        <w:tab/>
        <w:t>The person conducting the election must also give local public notice of the result of the election.</w:t>
      </w:r>
    </w:p>
    <w:p>
      <w:pPr>
        <w:pStyle w:val="Subsection"/>
      </w:pPr>
      <w:r>
        <w:tab/>
        <w:t>(5)</w:t>
      </w:r>
      <w:r>
        <w:tab/>
        <w:t xml:space="preserve">The local public notice must be in the form of Form 19 of the </w:t>
      </w:r>
      <w:r>
        <w:rPr>
          <w:i/>
        </w:rPr>
        <w:t>Local Government (Elections) Regulations 1997</w:t>
      </w:r>
      <w:r>
        <w:t>, modified as is necessary for the purposes of this regulation.</w:t>
      </w:r>
    </w:p>
    <w:p>
      <w:pPr>
        <w:pStyle w:val="Subsection"/>
      </w:pPr>
      <w:r>
        <w:tab/>
        <w:t>(6)</w:t>
      </w:r>
      <w:r>
        <w:tab/>
        <w:t>If applicable, a document approved by the person conducting the election that contains the details referred to in subregulation (3)(b)(ii) must be published on the local government’s official website with the local public notice.</w:t>
      </w:r>
    </w:p>
    <w:p>
      <w:pPr>
        <w:pStyle w:val="Footnotesection"/>
      </w:pPr>
      <w:r>
        <w:tab/>
        <w:t>[Regulation 11F inserted: Gazette 31 Mar 2005 p. 1046; amended: Gazette 21 Aug 2007 p. 4186 and 4188; 28 Aug 2009 p. 3372; SL 2023/102 r. 18; SL 2023/158 r. 11; SL 2023/158 r. 13.]</w:t>
      </w:r>
    </w:p>
    <w:p>
      <w:pPr>
        <w:pStyle w:val="Heading5"/>
      </w:pPr>
      <w:bookmarkStart w:id="55" w:name="_Toc154048629"/>
      <w:r>
        <w:rPr>
          <w:rStyle w:val="CharSectno"/>
        </w:rPr>
        <w:t>11FA</w:t>
      </w:r>
      <w:r>
        <w:t>.</w:t>
      </w:r>
      <w:r>
        <w:tab/>
        <w:t>Report to Minister (Sch. 2.3 cl. 4 and 8)</w:t>
      </w:r>
      <w:bookmarkEnd w:id="55"/>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keepNext/>
      </w:pPr>
      <w:r>
        <w:lastRenderedPageBreak/>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w:t>
      </w:r>
    </w:p>
    <w:p>
      <w:pPr>
        <w:pStyle w:val="Heading5"/>
      </w:pPr>
      <w:bookmarkStart w:id="56" w:name="_Toc154048630"/>
      <w:r>
        <w:rPr>
          <w:rStyle w:val="CharSectno"/>
        </w:rPr>
        <w:t>11G</w:t>
      </w:r>
      <w:r>
        <w:t>.</w:t>
      </w:r>
      <w:r>
        <w:tab/>
        <w:t>Records of election to be retained (Sch. 2.3 cl. 4 and 8)</w:t>
      </w:r>
      <w:bookmarkEnd w:id="56"/>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57" w:name="_Toc154048631"/>
      <w:r>
        <w:rPr>
          <w:rStyle w:val="CharSectno"/>
        </w:rPr>
        <w:t>11H</w:t>
      </w:r>
      <w:r>
        <w:t>.</w:t>
      </w:r>
      <w:r>
        <w:tab/>
        <w:t>Notice of effect of Court’s decision (Sch. 2.3 cl. 12)</w:t>
      </w:r>
      <w:bookmarkEnd w:id="57"/>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tab/>
        <w:t>(b)</w:t>
      </w:r>
      <w:r>
        <w:tab/>
        <w:t>to provide to the Minister a report in a form that conveys the effect of the declaration.</w:t>
      </w:r>
    </w:p>
    <w:p>
      <w:pPr>
        <w:pStyle w:val="Footnotesection"/>
      </w:pPr>
      <w:r>
        <w:tab/>
        <w:t>[Regulation 11H inserted: Gazette 21 Aug  2007 p. 4186-7.]</w:t>
      </w:r>
    </w:p>
    <w:p>
      <w:pPr>
        <w:pStyle w:val="Heading3"/>
      </w:pPr>
      <w:bookmarkStart w:id="58" w:name="_Toc153976731"/>
      <w:bookmarkStart w:id="59" w:name="_Toc153977318"/>
      <w:bookmarkStart w:id="60" w:name="_Toc154048632"/>
      <w:r>
        <w:rPr>
          <w:rStyle w:val="CharDivNo"/>
        </w:rPr>
        <w:lastRenderedPageBreak/>
        <w:t>Division 3</w:t>
      </w:r>
      <w:r>
        <w:t> — </w:t>
      </w:r>
      <w:r>
        <w:rPr>
          <w:rStyle w:val="CharDivText"/>
        </w:rPr>
        <w:t>Other provisions</w:t>
      </w:r>
      <w:bookmarkEnd w:id="58"/>
      <w:bookmarkEnd w:id="59"/>
      <w:bookmarkEnd w:id="60"/>
    </w:p>
    <w:p>
      <w:pPr>
        <w:pStyle w:val="Footnoteheading"/>
        <w:keepNext/>
      </w:pPr>
      <w:r>
        <w:tab/>
        <w:t>[Heading inserted: SL 2023/102 r. 19.]</w:t>
      </w:r>
    </w:p>
    <w:p>
      <w:pPr>
        <w:pStyle w:val="Heading5"/>
      </w:pPr>
      <w:bookmarkStart w:id="61" w:name="_Toc154048633"/>
      <w:r>
        <w:rPr>
          <w:rStyle w:val="CharSectno"/>
        </w:rPr>
        <w:t>12</w:t>
      </w:r>
      <w:r>
        <w:t>.</w:t>
      </w:r>
      <w:r>
        <w:tab/>
        <w:t>Disqualification for membership; serious local government offences (s. 2.22)</w:t>
      </w:r>
      <w:bookmarkEnd w:id="61"/>
    </w:p>
    <w:p>
      <w:pPr>
        <w:pStyle w:val="Subsection"/>
        <w:keepNext/>
      </w:pPr>
      <w:r>
        <w:tab/>
      </w:r>
      <w:r>
        <w:tab/>
        <w:t>For the purposes of the definition of “serious local government offence” in section 2.22(3) —</w:t>
      </w:r>
    </w:p>
    <w:p>
      <w:pPr>
        <w:pStyle w:val="Indenta"/>
        <w:keepNext/>
      </w:pPr>
      <w:r>
        <w:tab/>
        <w:t>(a)</w:t>
      </w:r>
      <w:r>
        <w:tab/>
        <w:t>the period referred to in paragraph (a) of the definition is —</w:t>
      </w:r>
    </w:p>
    <w:p>
      <w:pPr>
        <w:pStyle w:val="Indenti"/>
      </w:pPr>
      <w:r>
        <w:tab/>
        <w:t>(i)</w:t>
      </w:r>
      <w:r>
        <w:tab/>
        <w:t>one year in the case of an offence against the Act; or</w:t>
      </w:r>
    </w:p>
    <w:p>
      <w:pPr>
        <w:pStyle w:val="Indenti"/>
        <w:keepNext/>
      </w:pPr>
      <w:r>
        <w:tab/>
        <w:t>(ii)</w:t>
      </w:r>
      <w:r>
        <w:tab/>
        <w:t>3 months in the case of an offence against the former provisions;</w:t>
      </w:r>
    </w:p>
    <w:p>
      <w:pPr>
        <w:pStyle w:val="Indenta"/>
      </w:pPr>
      <w:r>
        <w:tab/>
      </w:r>
      <w:r>
        <w:tab/>
        <w:t>and</w:t>
      </w:r>
    </w:p>
    <w:p>
      <w:pPr>
        <w:pStyle w:val="Indenta"/>
        <w:keepNext/>
      </w:pPr>
      <w:r>
        <w:tab/>
        <w:t>(b)</w:t>
      </w:r>
      <w:r>
        <w:tab/>
        <w:t>the amount referred to in paragraph (b) of the definition is —</w:t>
      </w:r>
    </w:p>
    <w:p>
      <w:pPr>
        <w:pStyle w:val="Indenti"/>
      </w:pPr>
      <w:r>
        <w:tab/>
        <w:t>(i)</w:t>
      </w:r>
      <w:r>
        <w:tab/>
        <w:t>$5 000 in the case of an offence against the Act; or</w:t>
      </w:r>
    </w:p>
    <w:p>
      <w:pPr>
        <w:pStyle w:val="Indenti"/>
        <w:keepNext/>
      </w:pPr>
      <w:r>
        <w:tab/>
        <w:t>(ii)</w:t>
      </w:r>
      <w:r>
        <w:tab/>
        <w:t>$5 000 in the case of an offence against the former provisions.</w:t>
      </w:r>
    </w:p>
    <w:p>
      <w:pPr>
        <w:pStyle w:val="Footnotesection"/>
      </w:pPr>
      <w:r>
        <w:tab/>
        <w:t>[Regulation 12 amended: Gazette 21 Aug 2007 p. 4187.]</w:t>
      </w:r>
    </w:p>
    <w:p>
      <w:pPr>
        <w:pStyle w:val="Heading5"/>
      </w:pPr>
      <w:bookmarkStart w:id="62" w:name="_Toc154048634"/>
      <w:r>
        <w:rPr>
          <w:rStyle w:val="CharSectno"/>
        </w:rPr>
        <w:t>13</w:t>
      </w:r>
      <w:r>
        <w:t>.</w:t>
      </w:r>
      <w:r>
        <w:tab/>
        <w:t>Oaths, affirmations and declarations (s. 2.29, 2.42)</w:t>
      </w:r>
      <w:bookmarkEnd w:id="62"/>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lastRenderedPageBreak/>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63" w:name="_Toc153976734"/>
      <w:bookmarkStart w:id="64" w:name="_Toc153977321"/>
      <w:bookmarkStart w:id="65" w:name="_Toc154048635"/>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63"/>
      <w:bookmarkEnd w:id="64"/>
      <w:bookmarkEnd w:id="65"/>
      <w:r>
        <w:rPr>
          <w:rStyle w:val="CharPartText"/>
        </w:rPr>
        <w:t xml:space="preserve"> </w:t>
      </w:r>
    </w:p>
    <w:p>
      <w:pPr>
        <w:pStyle w:val="Heading5"/>
      </w:pPr>
      <w:bookmarkStart w:id="66" w:name="_Toc154048636"/>
      <w:r>
        <w:rPr>
          <w:rStyle w:val="CharSectno"/>
        </w:rPr>
        <w:t>14</w:t>
      </w:r>
      <w:r>
        <w:t>.</w:t>
      </w:r>
      <w:r>
        <w:tab/>
        <w:t>Transitional provision: Certain council members (s. 9.71)</w:t>
      </w:r>
      <w:bookmarkEnd w:id="66"/>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pPr>
      <w:bookmarkStart w:id="67" w:name="_Toc154048637"/>
      <w:r>
        <w:rPr>
          <w:rStyle w:val="CharSectno"/>
        </w:rPr>
        <w:t>14A</w:t>
      </w:r>
      <w:r>
        <w:t>.</w:t>
      </w:r>
      <w:r>
        <w:tab/>
        <w:t>Transitional provision: reviews under Sch. 2.2 cl. 6 of Act</w:t>
      </w:r>
      <w:bookmarkEnd w:id="67"/>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Amendment Act 2023</w:t>
      </w:r>
      <w:r>
        <w:t xml:space="preserve"> section 90 comes into operation.</w:t>
      </w:r>
    </w:p>
    <w:p>
      <w:pPr>
        <w:pStyle w:val="Subsection"/>
      </w:pPr>
      <w:r>
        <w:tab/>
        <w:t>(2)</w:t>
      </w:r>
      <w:r>
        <w:tab/>
        <w:t xml:space="preserve">For the purposes of Schedule 9.3 clause 62(2) of the Act — </w:t>
      </w:r>
    </w:p>
    <w:p>
      <w:pPr>
        <w:pStyle w:val="Indenta"/>
      </w:pPr>
      <w:r>
        <w:tab/>
        <w:t>(a)</w:t>
      </w:r>
      <w:r>
        <w:tab/>
        <w:t xml:space="preserve">the amendments made by the </w:t>
      </w:r>
      <w:r>
        <w:rPr>
          <w:i/>
        </w:rPr>
        <w:t>Local Government Amendment Act 2023</w:t>
      </w:r>
      <w:r>
        <w:t xml:space="preserve"> section 90 do not affect a requirement imposed by the Advisory Board on a local </w:t>
      </w:r>
      <w:r>
        <w:lastRenderedPageBreak/>
        <w:t>government under Schedule 2.2 clause 6(3) of the Act before amendment day; and</w:t>
      </w:r>
    </w:p>
    <w:p>
      <w:pPr>
        <w:pStyle w:val="Indenta"/>
      </w:pPr>
      <w:r>
        <w:tab/>
        <w:t>(b)</w:t>
      </w:r>
      <w:r>
        <w:tab/>
        <w:t>the Act continues to apply in relation to the requirement as if those amendments had not been made and the local government must comply with the requirement accordingly.</w:t>
      </w:r>
    </w:p>
    <w:p>
      <w:pPr>
        <w:pStyle w:val="Footnotesection"/>
      </w:pPr>
      <w:r>
        <w:tab/>
        <w:t>[Regulation 14A inserted: SL 2023/102 r. 20.]</w:t>
      </w:r>
    </w:p>
    <w:p>
      <w:pPr>
        <w:pStyle w:val="Heading5"/>
      </w:pPr>
      <w:bookmarkStart w:id="68" w:name="_Toc154048638"/>
      <w:r>
        <w:rPr>
          <w:rStyle w:val="CharSectno"/>
        </w:rPr>
        <w:t>14B</w:t>
      </w:r>
      <w:r>
        <w:t>.</w:t>
      </w:r>
      <w:r>
        <w:tab/>
        <w:t>Transitional provision: elections under Sch. 2.3 of Act</w:t>
      </w:r>
      <w:bookmarkEnd w:id="68"/>
    </w:p>
    <w:p>
      <w:pPr>
        <w:pStyle w:val="Subsection"/>
      </w:pPr>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p>
    <w:p>
      <w:pPr>
        <w:pStyle w:val="Footnotesection"/>
      </w:pPr>
      <w:r>
        <w:tab/>
        <w:t>[Regulation 14B inserted: SL 2023/102 r. 20.]</w:t>
      </w:r>
    </w:p>
    <w:p>
      <w:pPr>
        <w:pStyle w:val="Ednotesection"/>
      </w:pPr>
      <w:r>
        <w:t>[</w:t>
      </w:r>
      <w:r>
        <w:rPr>
          <w:b/>
          <w:bCs/>
        </w:rPr>
        <w:t>15.</w:t>
      </w:r>
      <w:r>
        <w:tab/>
        <w:t>Omitted under the Reprints Act 1984 s. 7(4)(f).]</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9" w:name="_Toc153976738"/>
      <w:bookmarkStart w:id="70" w:name="_Toc153977325"/>
      <w:bookmarkStart w:id="71" w:name="_Toc154048639"/>
      <w:r>
        <w:rPr>
          <w:rStyle w:val="CharSchNo"/>
        </w:rPr>
        <w:lastRenderedPageBreak/>
        <w:t xml:space="preserve">Schedule 1 </w:t>
      </w:r>
      <w:r>
        <w:t xml:space="preserve">— </w:t>
      </w:r>
      <w:r>
        <w:rPr>
          <w:rStyle w:val="CharSchText"/>
        </w:rPr>
        <w:t>Forms</w:t>
      </w:r>
      <w:bookmarkEnd w:id="69"/>
      <w:bookmarkEnd w:id="70"/>
      <w:bookmarkEnd w:id="71"/>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lastRenderedPageBreak/>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lastRenderedPageBreak/>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lastRenderedPageBreak/>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lastRenderedPageBreak/>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lastRenderedPageBreak/>
        <w:t>Form 4.</w:t>
      </w:r>
      <w:r>
        <w:rPr>
          <w:b/>
          <w:sz w:val="20"/>
        </w:rPr>
        <w:tab/>
        <w:t xml:space="preserve">Proposal to change the method of filling the office of mayor or president   </w:t>
      </w:r>
      <w:r>
        <w:rPr>
          <w:b/>
          <w:sz w:val="20"/>
          <w:szCs w:val="22"/>
        </w:rPr>
        <w:t>[r. 10AD]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lastRenderedPageBreak/>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pPr>
      <w:r>
        <w:tab/>
        <w:t>[Form 4 amended: SL 2023/102 r. 21.]</w:t>
      </w:r>
    </w:p>
    <w:p>
      <w:pPr>
        <w:pStyle w:val="yEdnotedivision"/>
      </w:pPr>
      <w:r>
        <w:t>[Forms 5 and 6 deleted: Gazette 20 Jan 2006 p. 381.]</w:t>
      </w:r>
    </w:p>
    <w:p>
      <w:pPr>
        <w:pStyle w:val="yMiscellaneousHeading"/>
        <w:keepNext w:val="0"/>
        <w:pageBreakBefore/>
        <w:spacing w:before="0"/>
        <w:rPr>
          <w:b/>
          <w:bCs/>
          <w:sz w:val="20"/>
        </w:rPr>
      </w:pPr>
      <w:r>
        <w:rPr>
          <w:b/>
          <w:bCs/>
          <w:sz w:val="20"/>
        </w:rPr>
        <w:lastRenderedPageBreak/>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lastRenderedPageBreak/>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sectPr>
          <w:headerReference w:type="even" r:id="rId23"/>
          <w:headerReference w:type="default" r:id="rId24"/>
          <w:headerReference w:type="first" r:id="rId25"/>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pPr>
      <w:bookmarkStart w:id="72" w:name="_Toc153976739"/>
      <w:bookmarkStart w:id="73" w:name="_Toc153977326"/>
      <w:bookmarkStart w:id="74" w:name="_Toc154048640"/>
      <w:r>
        <w:rPr>
          <w:rStyle w:val="CharSchNo"/>
        </w:rPr>
        <w:lastRenderedPageBreak/>
        <w:t>Schedule 2</w:t>
      </w:r>
      <w:r>
        <w:t> — </w:t>
      </w:r>
      <w:r>
        <w:rPr>
          <w:rStyle w:val="CharSchText"/>
        </w:rPr>
        <w:t>Classes of local governments</w:t>
      </w:r>
      <w:bookmarkEnd w:id="72"/>
      <w:bookmarkEnd w:id="73"/>
      <w:bookmarkEnd w:id="74"/>
    </w:p>
    <w:p>
      <w:pPr>
        <w:pStyle w:val="yShoulderClause"/>
      </w:pPr>
      <w:r>
        <w:t>[r. 2A]</w:t>
      </w:r>
    </w:p>
    <w:p>
      <w:pPr>
        <w:pStyle w:val="yFootnoteheading"/>
      </w:pPr>
      <w:r>
        <w:tab/>
        <w:t>[Heading inserted: SL 2023/102 r. 22.]</w:t>
      </w:r>
    </w:p>
    <w:p>
      <w:pPr>
        <w:pStyle w:val="yHeading3"/>
      </w:pPr>
      <w:bookmarkStart w:id="75" w:name="_Toc153976740"/>
      <w:bookmarkStart w:id="76" w:name="_Toc153977327"/>
      <w:bookmarkStart w:id="77" w:name="_Toc154048641"/>
      <w:r>
        <w:rPr>
          <w:rStyle w:val="CharSDivNo"/>
        </w:rPr>
        <w:t>Division 1</w:t>
      </w:r>
      <w:r>
        <w:t> — </w:t>
      </w:r>
      <w:r>
        <w:rPr>
          <w:rStyle w:val="CharSDivText"/>
        </w:rPr>
        <w:t>Class 1 local governments</w:t>
      </w:r>
      <w:bookmarkEnd w:id="75"/>
      <w:bookmarkEnd w:id="76"/>
      <w:bookmarkEnd w:id="77"/>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Albany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Armadale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Bayswater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Belmont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Bunbury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Busselton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Cockburn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Gosnells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Greater Geraldton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Joondalup</w:t>
            </w:r>
          </w:p>
        </w:tc>
      </w:tr>
      <w:tr>
        <w:tc>
          <w:tcPr>
            <w:tcW w:w="3539" w:type="dxa"/>
            <w:noWrap/>
          </w:tcPr>
          <w:p>
            <w:pPr>
              <w:pStyle w:val="yTableNAm"/>
              <w:spacing w:after="40"/>
              <w:rPr>
                <w:rStyle w:val="DraftersNotes"/>
                <w:rFonts w:ascii="Times New Roman" w:hAnsi="Times New Roman" w:cs="Times New Roman"/>
                <w:b w:val="0"/>
                <w:i w:val="0"/>
                <w:szCs w:val="20"/>
              </w:rPr>
            </w:pPr>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Karratha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Kwinana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Mandurah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Melville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Perth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Port Hedland</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Rockingham</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Stirling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City of Swan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Wanneroo</w:t>
            </w:r>
          </w:p>
        </w:tc>
      </w:tr>
    </w:tbl>
    <w:p>
      <w:pPr>
        <w:pStyle w:val="yFootnotesection"/>
      </w:pPr>
      <w:r>
        <w:tab/>
        <w:t>[Division 1 inserted: SL 2023/102 r. 22.]</w:t>
      </w:r>
    </w:p>
    <w:p>
      <w:pPr>
        <w:pStyle w:val="yHeading3"/>
      </w:pPr>
      <w:bookmarkStart w:id="78" w:name="_Toc153976741"/>
      <w:bookmarkStart w:id="79" w:name="_Toc153977328"/>
      <w:bookmarkStart w:id="80" w:name="_Toc154048642"/>
      <w:r>
        <w:rPr>
          <w:rStyle w:val="CharSDivNo"/>
        </w:rPr>
        <w:t>Division 2</w:t>
      </w:r>
      <w:r>
        <w:t> — </w:t>
      </w:r>
      <w:r>
        <w:rPr>
          <w:rStyle w:val="CharSDivText"/>
        </w:rPr>
        <w:t>Class 2 local governments</w:t>
      </w:r>
      <w:bookmarkEnd w:id="78"/>
      <w:bookmarkEnd w:id="79"/>
      <w:bookmarkEnd w:id="80"/>
    </w:p>
    <w:p>
      <w:pPr>
        <w:pStyle w:val="yFootnoteheading"/>
        <w:spacing w:after="60"/>
      </w:pPr>
      <w:r>
        <w:tab/>
        <w:t>[Heading inserted: SL 2023/102 r. 22.]</w:t>
      </w:r>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Ashburton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Augusta</w:t>
            </w:r>
            <w:r>
              <w:rPr>
                <w:rFonts w:ascii="Times New Roman" w:hAnsi="Times New Roman" w:cs="Times New Roman"/>
                <w:sz w:val="20"/>
                <w:szCs w:val="20"/>
              </w:rPr>
              <w:noBreakHyphen/>
              <w:t>Margaret River</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Cambridge</w:t>
            </w:r>
          </w:p>
        </w:tc>
      </w:tr>
      <w:tr>
        <w:trPr>
          <w:cantSplit/>
        </w:trPr>
        <w:tc>
          <w:tcPr>
            <w:tcW w:w="3256" w:type="dxa"/>
            <w:noWrap/>
          </w:tcPr>
          <w:p>
            <w:pPr>
              <w:pStyle w:val="yTableNAm"/>
              <w:spacing w:after="40"/>
              <w:rPr>
                <w:sz w:val="20"/>
              </w:rPr>
            </w:pPr>
            <w:r>
              <w:rPr>
                <w:rFonts w:ascii="Times New Roman" w:hAnsi="Times New Roman" w:cs="Times New Roman"/>
                <w:sz w:val="20"/>
                <w:szCs w:val="20"/>
              </w:rPr>
              <w:t>Shire of Carnarvon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Derby</w:t>
            </w:r>
            <w:r>
              <w:rPr>
                <w:rFonts w:ascii="Times New Roman" w:hAnsi="Times New Roman" w:cs="Times New Roman"/>
                <w:sz w:val="20"/>
                <w:szCs w:val="20"/>
              </w:rPr>
              <w:noBreakHyphen/>
              <w:t>West Kimberley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East Pilbara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Esperance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Harvey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Kalamunda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Manjimup</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Mundaring</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Murray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Nedlands</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w:t>
            </w:r>
          </w:p>
        </w:tc>
      </w:tr>
      <w:tr>
        <w:trPr>
          <w:cantSplit/>
        </w:trPr>
        <w:tc>
          <w:tcPr>
            <w:tcW w:w="3256" w:type="dxa"/>
            <w:noWrap/>
          </w:tcPr>
          <w:p>
            <w:pPr>
              <w:pStyle w:val="yTableNAm"/>
              <w:spacing w:after="40"/>
              <w:ind w:right="-104"/>
              <w:rPr>
                <w:rFonts w:ascii="Times New Roman" w:hAnsi="Times New Roman" w:cs="Times New Roman"/>
                <w:sz w:val="20"/>
                <w:szCs w:val="20"/>
              </w:rPr>
            </w:pPr>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South Perth</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Subiaco</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Victoria Park</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Vincent</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Wyndham</w:t>
            </w:r>
            <w:r>
              <w:rPr>
                <w:rFonts w:ascii="Times New Roman" w:hAnsi="Times New Roman" w:cs="Times New Roman"/>
                <w:sz w:val="20"/>
                <w:szCs w:val="20"/>
              </w:rPr>
              <w:noBreakHyphen/>
              <w:t>East Kimberley</w:t>
            </w:r>
          </w:p>
        </w:tc>
      </w:tr>
    </w:tbl>
    <w:p>
      <w:pPr>
        <w:pStyle w:val="yFootnotesection"/>
      </w:pPr>
      <w:r>
        <w:tab/>
        <w:t>[Division 2 inserted: SL 2023/102 r. 22.]</w:t>
      </w:r>
    </w:p>
    <w:p>
      <w:pPr>
        <w:pStyle w:val="yHeading3"/>
      </w:pPr>
      <w:bookmarkStart w:id="81" w:name="_Toc153976742"/>
      <w:bookmarkStart w:id="82" w:name="_Toc153977329"/>
      <w:bookmarkStart w:id="83" w:name="_Toc154048643"/>
      <w:r>
        <w:rPr>
          <w:rStyle w:val="CharSDivNo"/>
        </w:rPr>
        <w:t>Division 3</w:t>
      </w:r>
      <w:r>
        <w:t> — </w:t>
      </w:r>
      <w:r>
        <w:rPr>
          <w:rStyle w:val="CharSDivText"/>
        </w:rPr>
        <w:t>Class 3 local governments</w:t>
      </w:r>
      <w:bookmarkEnd w:id="81"/>
      <w:bookmarkEnd w:id="82"/>
      <w:bookmarkEnd w:id="83"/>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Bassendean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Bridgetown</w:t>
            </w:r>
            <w:r>
              <w:rPr>
                <w:rFonts w:ascii="Times New Roman" w:hAnsi="Times New Roman" w:cs="Times New Roman"/>
                <w:sz w:val="20"/>
                <w:szCs w:val="20"/>
              </w:rPr>
              <w:noBreakHyphen/>
              <w:t>Greenbushes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Capel</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Chittering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Claremont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Collie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Coolgardie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Cottesloe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Dalwallinu</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Dandaragan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Dardanup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Denmark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Donnybrook</w:t>
            </w:r>
            <w:r>
              <w:rPr>
                <w:rFonts w:ascii="Times New Roman" w:hAnsi="Times New Roman" w:cs="Times New Roman"/>
                <w:sz w:val="20"/>
                <w:szCs w:val="20"/>
              </w:rPr>
              <w:noBreakHyphen/>
              <w:t>Balingup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East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Exmouth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Gingin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Halls Creek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Irwin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Katanning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Kojonup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Laverton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Leonora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Meekatharra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Merredin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Mosman Park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Narrogin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Northampton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Plantagenet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Ravensthorpe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Toodyay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Waroona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Yilgarn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York</w:t>
            </w:r>
          </w:p>
        </w:tc>
      </w:tr>
    </w:tbl>
    <w:p>
      <w:pPr>
        <w:pStyle w:val="yFootnotesection"/>
      </w:pPr>
      <w:r>
        <w:tab/>
        <w:t>[Division 3 inserted: SL 2023/102 r. 22.]</w:t>
      </w:r>
    </w:p>
    <w:p>
      <w:pPr>
        <w:pStyle w:val="yHeading3"/>
      </w:pPr>
      <w:bookmarkStart w:id="84" w:name="_Toc153976743"/>
      <w:bookmarkStart w:id="85" w:name="_Toc153977330"/>
      <w:bookmarkStart w:id="86" w:name="_Toc154048644"/>
      <w:r>
        <w:rPr>
          <w:rStyle w:val="CharSDivNo"/>
        </w:rPr>
        <w:t>Division 4</w:t>
      </w:r>
      <w:r>
        <w:t> — </w:t>
      </w:r>
      <w:r>
        <w:rPr>
          <w:rStyle w:val="CharSDivText"/>
        </w:rPr>
        <w:t>Class 4 local governments</w:t>
      </w:r>
      <w:bookmarkEnd w:id="84"/>
      <w:bookmarkEnd w:id="85"/>
      <w:bookmarkEnd w:id="86"/>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Beverley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Boddington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Boyup 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Brookton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Broomehill</w:t>
            </w:r>
            <w:r>
              <w:rPr>
                <w:rFonts w:ascii="Times New Roman" w:hAnsi="Times New Roman" w:cs="Times New Roman"/>
                <w:sz w:val="20"/>
                <w:szCs w:val="20"/>
              </w:rPr>
              <w:noBreakHyphen/>
              <w:t>Tambellup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Bruce Rock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Carnamah</w:t>
            </w:r>
          </w:p>
        </w:tc>
      </w:tr>
      <w:tr>
        <w:trPr>
          <w:cantSplit/>
        </w:trPr>
        <w:tc>
          <w:tcPr>
            <w:tcW w:w="3539" w:type="dxa"/>
            <w:noWrap/>
          </w:tcPr>
          <w:p>
            <w:pPr>
              <w:pStyle w:val="yTableNAm"/>
              <w:spacing w:after="40"/>
              <w:rPr>
                <w:sz w:val="20"/>
              </w:rPr>
            </w:pPr>
            <w:r>
              <w:rPr>
                <w:rFonts w:ascii="Times New Roman" w:hAnsi="Times New Roman" w:cs="Times New Roman"/>
                <w:sz w:val="20"/>
                <w:szCs w:val="20"/>
              </w:rPr>
              <w:t>Shire of Chapman Valley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Coorow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Corrigin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Cranbrook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Cuballing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Cunderdin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Dowerin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Dumbleyung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Dundas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Gnowangerup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Goomalling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Jerramungup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Kellerberrin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Kent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Kondinin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Koorda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Kulin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Lake Grace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Menzies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Mingenew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Morawa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Magnet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Marshall</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Mukinbudin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Murchison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Nannup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Narembeen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Ngaanyatjarraku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Nungarin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Peppermint Grove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Perenjori</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Pingelly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Quairading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Sandstone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Shark Bay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Tammin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Three Springs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Trayning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Upper Gascoyne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Victoria Plains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Wandering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 Arthur</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Westonia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Wickepin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Williams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Wiluna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Wongan</w:t>
            </w:r>
            <w:r>
              <w:rPr>
                <w:rFonts w:ascii="Times New Roman" w:hAnsi="Times New Roman" w:cs="Times New Roman"/>
                <w:sz w:val="20"/>
                <w:szCs w:val="20"/>
              </w:rPr>
              <w:noBreakHyphen/>
              <w:t>Ballidu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Woodanilling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Wyalkatchem</w:t>
            </w:r>
          </w:p>
        </w:tc>
      </w:tr>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Yalgoo</w:t>
            </w:r>
          </w:p>
        </w:tc>
      </w:tr>
    </w:tbl>
    <w:p>
      <w:pPr>
        <w:pStyle w:val="yFootnotesection"/>
      </w:pPr>
      <w:r>
        <w:tab/>
        <w:t>[Division 4 inserted: SL 2023/102 r. 22.]</w:t>
      </w:r>
    </w:p>
    <w:p>
      <w:pPr>
        <w:pStyle w:val="yFootnotesection"/>
        <w:jc w:val="center"/>
        <w:rPr>
          <w:sz w:val="16"/>
        </w:rP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88" w:name="_Toc153976744"/>
      <w:bookmarkStart w:id="89" w:name="_Toc153977331"/>
      <w:bookmarkStart w:id="90" w:name="_Toc154048645"/>
      <w:r>
        <w:lastRenderedPageBreak/>
        <w:t>Notes</w:t>
      </w:r>
      <w:bookmarkEnd w:id="88"/>
      <w:bookmarkEnd w:id="89"/>
      <w:bookmarkEnd w:id="90"/>
    </w:p>
    <w:p>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 </w:t>
      </w:r>
    </w:p>
    <w:p>
      <w:pPr>
        <w:pStyle w:val="nHeading3"/>
      </w:pPr>
      <w:bookmarkStart w:id="91" w:name="_Toc154048646"/>
      <w:r>
        <w:t>Compilation table</w:t>
      </w:r>
      <w:bookmarkEnd w:id="9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Regulations Amendment Regulations (No. 2) 2023</w:t>
            </w:r>
            <w:r>
              <w:t xml:space="preserve"> Pt. 3</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rPr>
                <w:snapToGrid w:val="0"/>
                <w:spacing w:val="-2"/>
              </w:rPr>
            </w:pPr>
            <w:r>
              <w:rPr>
                <w:snapToGrid w:val="0"/>
                <w:spacing w:val="-2"/>
              </w:rPr>
              <w:t>1 Jul 2023 (see r. 2(d))</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lastRenderedPageBreak/>
              <w:t>Local Government Regulations Amendment Regulations (No. 3) 2023</w:t>
            </w:r>
            <w:r>
              <w:t xml:space="preserve"> Pt. 3</w:t>
            </w:r>
          </w:p>
        </w:tc>
        <w:tc>
          <w:tcPr>
            <w:tcW w:w="1276" w:type="dxa"/>
            <w:tcBorders>
              <w:top w:val="nil"/>
              <w:bottom w:val="single" w:sz="4" w:space="0" w:color="auto"/>
            </w:tcBorders>
          </w:tcPr>
          <w:p>
            <w:pPr>
              <w:pStyle w:val="nTable"/>
              <w:spacing w:after="40"/>
            </w:pPr>
            <w:r>
              <w:t>SL 2023/158 18 Oct 2023</w:t>
            </w:r>
          </w:p>
        </w:tc>
        <w:tc>
          <w:tcPr>
            <w:tcW w:w="2693" w:type="dxa"/>
            <w:tcBorders>
              <w:top w:val="nil"/>
              <w:bottom w:val="single" w:sz="4" w:space="0" w:color="auto"/>
            </w:tcBorders>
          </w:tcPr>
          <w:p>
            <w:pPr>
              <w:pStyle w:val="nTable"/>
              <w:spacing w:after="40"/>
              <w:rPr>
                <w:snapToGrid w:val="0"/>
                <w:spacing w:val="-2"/>
              </w:rPr>
            </w:pPr>
            <w:r>
              <w:rPr>
                <w:snapToGrid w:val="0"/>
                <w:spacing w:val="-2"/>
              </w:rPr>
              <w:t>Pt. 3 Div. 1: 19 Oct 2023 (see r. 2(c));</w:t>
            </w:r>
            <w:r>
              <w:rPr>
                <w:snapToGrid w:val="0"/>
                <w:spacing w:val="-2"/>
              </w:rPr>
              <w:br/>
              <w:t>Pt. 3 Div. 2: 1 Jan 2024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93" w:name="_Toc153976747"/>
      <w:bookmarkStart w:id="94" w:name="_Toc153977333"/>
      <w:bookmarkStart w:id="95" w:name="_Toc154048647"/>
      <w:r>
        <w:rPr>
          <w:sz w:val="28"/>
        </w:rPr>
        <w:lastRenderedPageBreak/>
        <w:t>Defined terms</w:t>
      </w:r>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10AC(1), 10AF(1), 14A(1)</w:t>
      </w:r>
    </w:p>
    <w:p>
      <w:pPr>
        <w:pStyle w:val="DefinedTerms"/>
      </w:pPr>
      <w:r>
        <w:t>authorised person</w:t>
      </w:r>
      <w:r>
        <w:tab/>
        <w:t>12(5)</w:t>
      </w:r>
    </w:p>
    <w:p>
      <w:pPr>
        <w:pStyle w:val="DefinedTerms"/>
      </w:pPr>
      <w:r>
        <w:t>class 1 local government</w:t>
      </w:r>
      <w:r>
        <w:tab/>
        <w:t>2A</w:t>
      </w:r>
    </w:p>
    <w:p>
      <w:pPr>
        <w:pStyle w:val="DefinedTerms"/>
      </w:pPr>
      <w:r>
        <w:t>class 2 local government</w:t>
      </w:r>
      <w:r>
        <w:tab/>
        <w:t>2A</w:t>
      </w:r>
    </w:p>
    <w:p>
      <w:pPr>
        <w:pStyle w:val="DefinedTerms"/>
      </w:pPr>
      <w:r>
        <w:t>class 3 local government</w:t>
      </w:r>
      <w:r>
        <w:tab/>
        <w:t>2A</w:t>
      </w:r>
    </w:p>
    <w:p>
      <w:pPr>
        <w:pStyle w:val="DefinedTerms"/>
      </w:pPr>
      <w:r>
        <w:t>class 3 or 4 district</w:t>
      </w:r>
      <w:r>
        <w:tab/>
        <w:t>10AA</w:t>
      </w:r>
    </w:p>
    <w:p>
      <w:pPr>
        <w:pStyle w:val="DefinedTerms"/>
      </w:pPr>
      <w:r>
        <w:t>class 4 local government</w:t>
      </w:r>
      <w:r>
        <w:tab/>
        <w:t>2A</w:t>
      </w:r>
    </w:p>
    <w:p>
      <w:pPr>
        <w:pStyle w:val="DefinedTerms"/>
      </w:pPr>
      <w:r>
        <w:t>commencement</w:t>
      </w:r>
      <w:r>
        <w:tab/>
        <w:t>5(1), 6(1), 7(1)</w:t>
      </w:r>
    </w:p>
    <w:p>
      <w:pPr>
        <w:pStyle w:val="DefinedTerms"/>
      </w:pPr>
      <w:r>
        <w:t>election</w:t>
      </w:r>
      <w:r>
        <w:tab/>
        <w:t>10AF(4)</w:t>
      </w:r>
    </w:p>
    <w:p>
      <w:pPr>
        <w:pStyle w:val="DefinedTerms"/>
      </w:pPr>
      <w:r>
        <w:t>first-preference vote</w:t>
      </w:r>
      <w:r>
        <w:tab/>
        <w:t>10A</w:t>
      </w:r>
    </w:p>
    <w:p>
      <w:pPr>
        <w:pStyle w:val="DefinedTerms"/>
      </w:pPr>
      <w:r>
        <w:t>Form</w:t>
      </w:r>
      <w:r>
        <w:tab/>
        <w:t>2</w:t>
      </w:r>
    </w:p>
    <w:p>
      <w:pPr>
        <w:pStyle w:val="DefinedTerms"/>
      </w:pPr>
      <w:r>
        <w:t>former provisions</w:t>
      </w:r>
      <w:r>
        <w:tab/>
        <w:t>14(2)</w:t>
      </w:r>
    </w:p>
    <w:p>
      <w:pPr>
        <w:pStyle w:val="DefinedTerms"/>
      </w:pPr>
      <w:r>
        <w:t>next election</w:t>
      </w:r>
      <w:r>
        <w:tab/>
        <w:t>10AC(1)</w:t>
      </w:r>
    </w:p>
    <w:p>
      <w:pPr>
        <w:pStyle w:val="DefinedTerms"/>
      </w:pPr>
      <w:r>
        <w:t>next election day</w:t>
      </w:r>
      <w:r>
        <w:tab/>
        <w:t>10AC(1)</w:t>
      </w:r>
    </w:p>
    <w:p>
      <w:pPr>
        <w:pStyle w:val="DefinedTerms"/>
      </w:pPr>
      <w:r>
        <w:t>records of the election</w:t>
      </w:r>
      <w:r>
        <w:tab/>
        <w:t>10A</w:t>
      </w:r>
    </w:p>
    <w:p>
      <w:pPr>
        <w:pStyle w:val="DefinedTerms"/>
      </w:pPr>
      <w:r>
        <w:t>relevant local government</w:t>
      </w:r>
      <w:r>
        <w:tab/>
        <w:t>10AF(1)</w:t>
      </w:r>
    </w:p>
    <w:p>
      <w:pPr>
        <w:pStyle w:val="DefinedTerms"/>
      </w:pPr>
      <w:r>
        <w:t>section</w:t>
      </w:r>
      <w:r>
        <w:tab/>
        <w:t>2</w:t>
      </w:r>
    </w:p>
    <w:p/>
    <w:p>
      <w:pPr>
        <w:pStyle w:val="DefinedTerms"/>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588A0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2022D9B" w14:textId="32977A60" w:rsidR="008A48C3" w:rsidRDefault="008A48C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89C84D3" w14:textId="77777777" w:rsidR="008A48C3" w:rsidRDefault="008A48C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A073B0" w14:textId="24552D50" w:rsidR="008A48C3" w:rsidRDefault="008A48C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182E308" w14:textId="77777777" w:rsidR="008A48C3" w:rsidRDefault="008A48C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7" w:name="Schedule"/>
    <w:bookmarkEnd w:id="8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45641"/>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01608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6081011_GUID" w:val="becf3329-6ada-4dad-8ccc-31a369e0b274"/>
    <w:docVar w:name="WAFER_2023122014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443_GUID" w:val="c0a9ee17-5cad-4008-b0f0-d43282b08579"/>
    <w:docVar w:name="WAFER_20231220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641_GUID" w:val="0a2a9d32-a902-49c0-bf7e-9a67249bdb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9820</Words>
  <Characters>47828</Characters>
  <Application>Microsoft Office Word</Application>
  <DocSecurity>0</DocSecurity>
  <Lines>1449</Lines>
  <Paragraphs>945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1998 - 01-j0-00</dc:title>
  <dc:subject/>
  <dc:creator/>
  <cp:keywords/>
  <dc:description/>
  <cp:lastModifiedBy>Master Repository Process</cp:lastModifiedBy>
  <cp:revision>4</cp:revision>
  <cp:lastPrinted>2007-01-19T04:13:00Z</cp:lastPrinted>
  <dcterms:created xsi:type="dcterms:W3CDTF">2025-05-30T06:45:00Z</dcterms:created>
  <dcterms:modified xsi:type="dcterms:W3CDTF">2025-05-30T06:45:00Z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CommencementDate">
    <vt:lpwstr>20240101</vt:lpwstr>
  </property>
  <property fmtid="{D5CDD505-2E9C-101B-9397-08002B2CF9AE}" pid="7" name="CommencementYear">
    <vt:lpwstr>2024</vt:lpwstr>
  </property>
  <property fmtid="{D5CDD505-2E9C-101B-9397-08002B2CF9AE}" pid="8" name="AsAtDate">
    <vt:lpwstr>01 Jan 2024</vt:lpwstr>
  </property>
  <property fmtid="{D5CDD505-2E9C-101B-9397-08002B2CF9AE}" pid="9" name="Suffix">
    <vt:lpwstr>01-j0-00</vt:lpwstr>
  </property>
  <property fmtid="{D5CDD505-2E9C-101B-9397-08002B2CF9AE}" pid="10" name="Official">
    <vt:lpwstr/>
  </property>
</Properties>
</file>