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Parliamentary Commissioner Act 1971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_Toc174950783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_Toc174950784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_Toc174950785 \h </w:instrText>
      </w:r>
      <w:r>
        <w:fldChar w:fldCharType="separate"/>
      </w:r>
      <w:r>
        <w:t>2</w:t>
      </w:r>
      <w:r>
        <w:fldChar w:fldCharType="end"/>
      </w:r>
    </w:p>
    <w:p>
      <w:pPr>
        <w:pStyle w:val="TOC8"/>
        <w:rPr>
          <w:rFonts w:asciiTheme="minorHAnsi" w:eastAsiaTheme="minorEastAsia" w:hAnsiTheme="minorHAnsi" w:cstheme="minorBidi"/>
          <w:szCs w:val="22"/>
        </w:rPr>
      </w:pPr>
      <w:r>
        <w:t>4A</w:t>
      </w:r>
      <w:r>
        <w:rPr>
          <w:snapToGrid w:val="0"/>
        </w:rPr>
        <w:t>.</w:t>
      </w:r>
      <w:r>
        <w:rPr>
          <w:snapToGrid w:val="0"/>
        </w:rPr>
        <w:tab/>
        <w:t>Term used: authority</w:t>
      </w:r>
      <w:r>
        <w:tab/>
      </w:r>
      <w:r>
        <w:fldChar w:fldCharType="begin"/>
      </w:r>
      <w:r>
        <w:instrText xml:space="preserve"> PAGEREF _Toc174950786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 — The Parliamentary Commissioner for Administrative Investigations</w:t>
      </w:r>
    </w:p>
    <w:p>
      <w:pPr>
        <w:pStyle w:val="TOC8"/>
        <w:rPr>
          <w:rFonts w:asciiTheme="minorHAnsi" w:eastAsiaTheme="minorEastAsia" w:hAnsiTheme="minorHAnsi" w:cstheme="minorBidi"/>
          <w:szCs w:val="22"/>
        </w:rPr>
      </w:pPr>
      <w:r>
        <w:t>5</w:t>
      </w:r>
      <w:r>
        <w:rPr>
          <w:snapToGrid w:val="0"/>
        </w:rPr>
        <w:t>.</w:t>
      </w:r>
      <w:r>
        <w:rPr>
          <w:snapToGrid w:val="0"/>
        </w:rPr>
        <w:tab/>
        <w:t>Commissioner and Deputy Commissioner, appointment of etc.</w:t>
      </w:r>
      <w:r>
        <w:tab/>
      </w:r>
      <w:r>
        <w:fldChar w:fldCharType="begin"/>
      </w:r>
      <w:r>
        <w:instrText xml:space="preserve"> PAGEREF _Toc174950788 \h </w:instrText>
      </w:r>
      <w:r>
        <w:fldChar w:fldCharType="separate"/>
      </w:r>
      <w:r>
        <w:t>7</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Removal or suspension of Commissioner or Deputy Commissioner</w:t>
      </w:r>
      <w:r>
        <w:tab/>
      </w:r>
      <w:r>
        <w:fldChar w:fldCharType="begin"/>
      </w:r>
      <w:r>
        <w:instrText xml:space="preserve"> PAGEREF _Toc174950789 \h </w:instrText>
      </w:r>
      <w:r>
        <w:fldChar w:fldCharType="separate"/>
      </w:r>
      <w:r>
        <w:t>8</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Deputy Parliamentary Commissioner, functions of</w:t>
      </w:r>
      <w:r>
        <w:tab/>
      </w:r>
      <w:r>
        <w:fldChar w:fldCharType="begin"/>
      </w:r>
      <w:r>
        <w:instrText xml:space="preserve"> PAGEREF _Toc174950790 \h </w:instrText>
      </w:r>
      <w:r>
        <w:fldChar w:fldCharType="separate"/>
      </w:r>
      <w:r>
        <w:t>9</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Acting Parliamentary Commissioner, appointment of etc.</w:t>
      </w:r>
      <w:r>
        <w:tab/>
      </w:r>
      <w:r>
        <w:fldChar w:fldCharType="begin"/>
      </w:r>
      <w:r>
        <w:instrText xml:space="preserve"> PAGEREF _Toc174950791 \h </w:instrText>
      </w:r>
      <w:r>
        <w:fldChar w:fldCharType="separate"/>
      </w:r>
      <w:r>
        <w:t>10</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Oath or affirmation of Commissioner, Deputy Commissioner and Acting Commissioner</w:t>
      </w:r>
      <w:r>
        <w:tab/>
      </w:r>
      <w:r>
        <w:fldChar w:fldCharType="begin"/>
      </w:r>
      <w:r>
        <w:instrText xml:space="preserve"> PAGEREF _Toc174950792 \h </w:instrText>
      </w:r>
      <w:r>
        <w:fldChar w:fldCharType="separate"/>
      </w:r>
      <w:r>
        <w:t>10</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Staff of Commissioner</w:t>
      </w:r>
      <w:r>
        <w:tab/>
      </w:r>
      <w:r>
        <w:fldChar w:fldCharType="begin"/>
      </w:r>
      <w:r>
        <w:instrText xml:space="preserve"> PAGEREF _Toc174950793 \h </w:instrText>
      </w:r>
      <w:r>
        <w:fldChar w:fldCharType="separate"/>
      </w:r>
      <w:r>
        <w:t>11</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Other provisions as to Commissioner and other officers</w:t>
      </w:r>
      <w:r>
        <w:tab/>
      </w:r>
      <w:r>
        <w:fldChar w:fldCharType="begin"/>
      </w:r>
      <w:r>
        <w:instrText xml:space="preserve"> PAGEREF _Toc174950794 \h </w:instrText>
      </w:r>
      <w:r>
        <w:fldChar w:fldCharType="separate"/>
      </w:r>
      <w:r>
        <w:t>12</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Delegation by Commissioner</w:t>
      </w:r>
      <w:r>
        <w:tab/>
      </w:r>
      <w:r>
        <w:fldChar w:fldCharType="begin"/>
      </w:r>
      <w:r>
        <w:instrText xml:space="preserve"> PAGEREF _Toc174950795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Rules of Parliament</w:t>
      </w:r>
      <w:r>
        <w:tab/>
      </w:r>
      <w:r>
        <w:fldChar w:fldCharType="begin"/>
      </w:r>
      <w:r>
        <w:instrText xml:space="preserve"> PAGEREF _Toc174950796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III — Jurisdiction and functions of the Commissioner</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Extent of jurisdiction</w:t>
      </w:r>
    </w:p>
    <w:p>
      <w:pPr>
        <w:pStyle w:val="TOC8"/>
        <w:rPr>
          <w:rFonts w:asciiTheme="minorHAnsi" w:eastAsiaTheme="minorEastAsia" w:hAnsiTheme="minorHAnsi" w:cstheme="minorBidi"/>
          <w:szCs w:val="22"/>
        </w:rPr>
      </w:pPr>
      <w:r>
        <w:t>13</w:t>
      </w:r>
      <w:r>
        <w:rPr>
          <w:snapToGrid w:val="0"/>
        </w:rPr>
        <w:t>.</w:t>
      </w:r>
      <w:r>
        <w:rPr>
          <w:snapToGrid w:val="0"/>
        </w:rPr>
        <w:tab/>
        <w:t>Departments and authorities subject to investigation</w:t>
      </w:r>
      <w:r>
        <w:tab/>
      </w:r>
      <w:r>
        <w:fldChar w:fldCharType="begin"/>
      </w:r>
      <w:r>
        <w:instrText xml:space="preserve"> PAGEREF _Toc174950799 \h </w:instrText>
      </w:r>
      <w:r>
        <w:fldChar w:fldCharType="separate"/>
      </w:r>
      <w:r>
        <w:t>16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Matters subject to investigation</w:t>
      </w:r>
      <w:r>
        <w:tab/>
      </w:r>
      <w:r>
        <w:fldChar w:fldCharType="begin"/>
      </w:r>
      <w:r>
        <w:instrText xml:space="preserve"> PAGEREF _Toc174950800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Initiation of investigations</w:t>
      </w:r>
    </w:p>
    <w:p>
      <w:pPr>
        <w:pStyle w:val="TOC8"/>
        <w:rPr>
          <w:rFonts w:asciiTheme="minorHAnsi" w:eastAsiaTheme="minorEastAsia" w:hAnsiTheme="minorHAnsi" w:cstheme="minorBidi"/>
          <w:szCs w:val="22"/>
        </w:rPr>
      </w:pPr>
      <w:r>
        <w:t>15</w:t>
      </w:r>
      <w:r>
        <w:rPr>
          <w:snapToGrid w:val="0"/>
        </w:rPr>
        <w:t>.</w:t>
      </w:r>
      <w:r>
        <w:rPr>
          <w:snapToGrid w:val="0"/>
        </w:rPr>
        <w:tab/>
        <w:t>Investigations on reference by Parliament</w:t>
      </w:r>
      <w:r>
        <w:tab/>
      </w:r>
      <w:r>
        <w:fldChar w:fldCharType="begin"/>
      </w:r>
      <w:r>
        <w:instrText xml:space="preserve"> PAGEREF _Toc174950802 \h </w:instrText>
      </w:r>
      <w:r>
        <w:fldChar w:fldCharType="separate"/>
      </w:r>
      <w:r>
        <w:t>21</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Initiation of investigations</w:t>
      </w:r>
      <w:r>
        <w:tab/>
      </w:r>
      <w:r>
        <w:fldChar w:fldCharType="begin"/>
      </w:r>
      <w:r>
        <w:instrText xml:space="preserve"> PAGEREF _Toc174950803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Complaints to Commissioner</w:t>
      </w:r>
      <w:r>
        <w:tab/>
      </w:r>
      <w:r>
        <w:fldChar w:fldCharType="begin"/>
      </w:r>
      <w:r>
        <w:instrText xml:space="preserve"> PAGEREF _Toc174950804 \h </w:instrText>
      </w:r>
      <w:r>
        <w:fldChar w:fldCharType="separate"/>
      </w:r>
      <w:r>
        <w:t>22</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Complaints by persons in custody</w:t>
      </w:r>
      <w:r>
        <w:tab/>
      </w:r>
      <w:r>
        <w:fldChar w:fldCharType="begin"/>
      </w:r>
      <w:r>
        <w:instrText xml:space="preserve"> PAGEREF _Toc174950805 \h </w:instrText>
      </w:r>
      <w:r>
        <w:fldChar w:fldCharType="separate"/>
      </w:r>
      <w:r>
        <w:t>23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Refusal to investigate complaints</w:t>
      </w:r>
      <w:r>
        <w:tab/>
      </w:r>
      <w:r>
        <w:fldChar w:fldCharType="begin"/>
      </w:r>
      <w:r>
        <w:instrText xml:space="preserve"> PAGEREF _Toc174950806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3A — Deaths of certain children</w:t>
      </w:r>
    </w:p>
    <w:p>
      <w:pPr>
        <w:pStyle w:val="TOC8"/>
        <w:rPr>
          <w:rFonts w:asciiTheme="minorHAnsi" w:eastAsiaTheme="minorEastAsia" w:hAnsiTheme="minorHAnsi" w:cstheme="minorBidi"/>
          <w:szCs w:val="22"/>
        </w:rPr>
      </w:pPr>
      <w:r>
        <w:t>19A.</w:t>
      </w:r>
      <w:r>
        <w:tab/>
        <w:t>Terms used</w:t>
      </w:r>
      <w:r>
        <w:tab/>
      </w:r>
      <w:r>
        <w:fldChar w:fldCharType="begin"/>
      </w:r>
      <w:r>
        <w:instrText xml:space="preserve"> PAGEREF _Toc174950808 \h </w:instrText>
      </w:r>
      <w:r>
        <w:fldChar w:fldCharType="separate"/>
      </w:r>
      <w:r>
        <w:t>25</w:t>
      </w:r>
      <w:r>
        <w:fldChar w:fldCharType="end"/>
      </w:r>
    </w:p>
    <w:p>
      <w:pPr>
        <w:pStyle w:val="TOC8"/>
        <w:rPr>
          <w:rFonts w:asciiTheme="minorHAnsi" w:eastAsiaTheme="minorEastAsia" w:hAnsiTheme="minorHAnsi" w:cstheme="minorBidi"/>
          <w:szCs w:val="22"/>
        </w:rPr>
      </w:pPr>
      <w:r>
        <w:t>19B.</w:t>
      </w:r>
      <w:r>
        <w:tab/>
        <w:t>Functions as to investigable deaths</w:t>
      </w:r>
      <w:r>
        <w:tab/>
      </w:r>
      <w:r>
        <w:fldChar w:fldCharType="begin"/>
      </w:r>
      <w:r>
        <w:instrText xml:space="preserve"> PAGEREF _Toc174950809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3B — Reportable conduct scheme</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19C.</w:t>
      </w:r>
      <w:r>
        <w:tab/>
        <w:t>Terms used</w:t>
      </w:r>
      <w:r>
        <w:tab/>
      </w:r>
      <w:r>
        <w:fldChar w:fldCharType="begin"/>
      </w:r>
      <w:r>
        <w:instrText xml:space="preserve"> PAGEREF _Toc174950812 \h </w:instrText>
      </w:r>
      <w:r>
        <w:fldChar w:fldCharType="separate"/>
      </w:r>
      <w:r>
        <w:t>27</w:t>
      </w:r>
      <w:r>
        <w:fldChar w:fldCharType="end"/>
      </w:r>
    </w:p>
    <w:p>
      <w:pPr>
        <w:pStyle w:val="TOC8"/>
        <w:rPr>
          <w:rFonts w:asciiTheme="minorHAnsi" w:eastAsiaTheme="minorEastAsia" w:hAnsiTheme="minorHAnsi" w:cstheme="minorBidi"/>
          <w:szCs w:val="22"/>
        </w:rPr>
      </w:pPr>
      <w:r>
        <w:t>19D.</w:t>
      </w:r>
      <w:r>
        <w:tab/>
        <w:t>Employees of relevant entities</w:t>
      </w:r>
      <w:r>
        <w:tab/>
      </w:r>
      <w:r>
        <w:fldChar w:fldCharType="begin"/>
      </w:r>
      <w:r>
        <w:instrText xml:space="preserve"> PAGEREF _Toc174950813 \h </w:instrText>
      </w:r>
      <w:r>
        <w:fldChar w:fldCharType="separate"/>
      </w:r>
      <w:r>
        <w:t>29</w:t>
      </w:r>
      <w:r>
        <w:fldChar w:fldCharType="end"/>
      </w:r>
    </w:p>
    <w:p>
      <w:pPr>
        <w:pStyle w:val="TOC8"/>
        <w:rPr>
          <w:rFonts w:asciiTheme="minorHAnsi" w:eastAsiaTheme="minorEastAsia" w:hAnsiTheme="minorHAnsi" w:cstheme="minorBidi"/>
          <w:szCs w:val="22"/>
        </w:rPr>
      </w:pPr>
      <w:r>
        <w:t>19E.</w:t>
      </w:r>
      <w:r>
        <w:tab/>
        <w:t>Head of a relevant entity</w:t>
      </w:r>
      <w:r>
        <w:tab/>
      </w:r>
      <w:r>
        <w:fldChar w:fldCharType="begin"/>
      </w:r>
      <w:r>
        <w:instrText xml:space="preserve"> PAGEREF _Toc174950814 \h </w:instrText>
      </w:r>
      <w:r>
        <w:fldChar w:fldCharType="separate"/>
      </w:r>
      <w:r>
        <w:t>31</w:t>
      </w:r>
      <w:r>
        <w:fldChar w:fldCharType="end"/>
      </w:r>
    </w:p>
    <w:p>
      <w:pPr>
        <w:pStyle w:val="TOC8"/>
        <w:rPr>
          <w:rFonts w:asciiTheme="minorHAnsi" w:eastAsiaTheme="minorEastAsia" w:hAnsiTheme="minorHAnsi" w:cstheme="minorBidi"/>
          <w:szCs w:val="22"/>
        </w:rPr>
      </w:pPr>
      <w:r>
        <w:t>19F.</w:t>
      </w:r>
      <w:r>
        <w:tab/>
        <w:t>Reportable allegation</w:t>
      </w:r>
      <w:r>
        <w:tab/>
      </w:r>
      <w:r>
        <w:fldChar w:fldCharType="begin"/>
      </w:r>
      <w:r>
        <w:instrText xml:space="preserve"> PAGEREF _Toc174950815 \h </w:instrText>
      </w:r>
      <w:r>
        <w:fldChar w:fldCharType="separate"/>
      </w:r>
      <w:r>
        <w:t>32</w:t>
      </w:r>
      <w:r>
        <w:fldChar w:fldCharType="end"/>
      </w:r>
    </w:p>
    <w:p>
      <w:pPr>
        <w:pStyle w:val="TOC8"/>
        <w:rPr>
          <w:rFonts w:asciiTheme="minorHAnsi" w:eastAsiaTheme="minorEastAsia" w:hAnsiTheme="minorHAnsi" w:cstheme="minorBidi"/>
          <w:szCs w:val="22"/>
        </w:rPr>
      </w:pPr>
      <w:r>
        <w:t>19G.</w:t>
      </w:r>
      <w:r>
        <w:tab/>
        <w:t>Reportable conduct</w:t>
      </w:r>
      <w:r>
        <w:tab/>
      </w:r>
      <w:r>
        <w:fldChar w:fldCharType="begin"/>
      </w:r>
      <w:r>
        <w:instrText xml:space="preserve"> PAGEREF _Toc174950816 \h </w:instrText>
      </w:r>
      <w:r>
        <w:fldChar w:fldCharType="separate"/>
      </w:r>
      <w:r>
        <w:t>32</w:t>
      </w:r>
      <w:r>
        <w:fldChar w:fldCharType="end"/>
      </w:r>
    </w:p>
    <w:p>
      <w:pPr>
        <w:pStyle w:val="TOC8"/>
        <w:rPr>
          <w:rFonts w:asciiTheme="minorHAnsi" w:eastAsiaTheme="minorEastAsia" w:hAnsiTheme="minorHAnsi" w:cstheme="minorBidi"/>
          <w:szCs w:val="22"/>
        </w:rPr>
      </w:pPr>
      <w:r>
        <w:t>19H.</w:t>
      </w:r>
      <w:r>
        <w:tab/>
        <w:t>Reportable conviction</w:t>
      </w:r>
      <w:r>
        <w:tab/>
      </w:r>
      <w:r>
        <w:fldChar w:fldCharType="begin"/>
      </w:r>
      <w:r>
        <w:instrText xml:space="preserve"> PAGEREF _Toc174950817 \h </w:instrText>
      </w:r>
      <w:r>
        <w:fldChar w:fldCharType="separate"/>
      </w:r>
      <w:r>
        <w:t>33</w:t>
      </w:r>
      <w:r>
        <w:fldChar w:fldCharType="end"/>
      </w:r>
    </w:p>
    <w:p>
      <w:pPr>
        <w:pStyle w:val="TOC8"/>
        <w:rPr>
          <w:rFonts w:asciiTheme="minorHAnsi" w:eastAsiaTheme="minorEastAsia" w:hAnsiTheme="minorHAnsi" w:cstheme="minorBidi"/>
          <w:szCs w:val="22"/>
        </w:rPr>
      </w:pPr>
      <w:r>
        <w:t>19I.</w:t>
      </w:r>
      <w:r>
        <w:tab/>
        <w:t>Entities to which reportable conduct scheme applies</w:t>
      </w:r>
      <w:r>
        <w:tab/>
      </w:r>
      <w:r>
        <w:fldChar w:fldCharType="begin"/>
      </w:r>
      <w:r>
        <w:instrText xml:space="preserve"> PAGEREF _Toc174950818 \h </w:instrText>
      </w:r>
      <w:r>
        <w:fldChar w:fldCharType="separate"/>
      </w:r>
      <w:r>
        <w:t>34</w:t>
      </w:r>
      <w:r>
        <w:fldChar w:fldCharType="end"/>
      </w:r>
    </w:p>
    <w:p>
      <w:pPr>
        <w:pStyle w:val="TOC8"/>
        <w:rPr>
          <w:rFonts w:asciiTheme="minorHAnsi" w:eastAsiaTheme="minorEastAsia" w:hAnsiTheme="minorHAnsi" w:cstheme="minorBidi"/>
          <w:szCs w:val="22"/>
        </w:rPr>
      </w:pPr>
      <w:r>
        <w:t>19J.</w:t>
      </w:r>
      <w:r>
        <w:tab/>
        <w:t>Object and principles</w:t>
      </w:r>
      <w:r>
        <w:tab/>
      </w:r>
      <w:r>
        <w:fldChar w:fldCharType="begin"/>
      </w:r>
      <w:r>
        <w:instrText xml:space="preserve"> PAGEREF _Toc174950819 \h </w:instrText>
      </w:r>
      <w:r>
        <w:fldChar w:fldCharType="separate"/>
      </w:r>
      <w:r>
        <w:t>35</w:t>
      </w:r>
      <w:r>
        <w:fldChar w:fldCharType="end"/>
      </w:r>
    </w:p>
    <w:p>
      <w:pPr>
        <w:pStyle w:val="TOC8"/>
        <w:rPr>
          <w:rFonts w:asciiTheme="minorHAnsi" w:eastAsiaTheme="minorEastAsia" w:hAnsiTheme="minorHAnsi" w:cstheme="minorBidi"/>
          <w:szCs w:val="22"/>
        </w:rPr>
      </w:pPr>
      <w:r>
        <w:t>19K.</w:t>
      </w:r>
      <w:r>
        <w:tab/>
        <w:t>Paramount consideration</w:t>
      </w:r>
      <w:r>
        <w:tab/>
      </w:r>
      <w:r>
        <w:fldChar w:fldCharType="begin"/>
      </w:r>
      <w:r>
        <w:instrText xml:space="preserve"> PAGEREF _Toc174950820 \h </w:instrText>
      </w:r>
      <w:r>
        <w:fldChar w:fldCharType="separate"/>
      </w:r>
      <w:r>
        <w:t>36</w:t>
      </w:r>
      <w:r>
        <w:fldChar w:fldCharType="end"/>
      </w:r>
    </w:p>
    <w:p>
      <w:pPr>
        <w:pStyle w:val="TOC8"/>
        <w:rPr>
          <w:rFonts w:asciiTheme="minorHAnsi" w:eastAsiaTheme="minorEastAsia" w:hAnsiTheme="minorHAnsi" w:cstheme="minorBidi"/>
          <w:szCs w:val="22"/>
        </w:rPr>
      </w:pPr>
      <w:r>
        <w:t>19L.</w:t>
      </w:r>
      <w:r>
        <w:tab/>
        <w:t>Certain provisions not applicable if entity is agent of Crown</w:t>
      </w:r>
      <w:r>
        <w:tab/>
      </w:r>
      <w:r>
        <w:fldChar w:fldCharType="begin"/>
      </w:r>
      <w:r>
        <w:instrText xml:space="preserve"> PAGEREF _Toc174950821 \h </w:instrText>
      </w:r>
      <w:r>
        <w:fldChar w:fldCharType="separate"/>
      </w:r>
      <w:r>
        <w:t>36</w:t>
      </w:r>
      <w:r>
        <w:fldChar w:fldCharType="end"/>
      </w:r>
    </w:p>
    <w:p>
      <w:pPr>
        <w:pStyle w:val="TOC6"/>
        <w:tabs>
          <w:tab w:val="right" w:leader="dot" w:pos="7077"/>
        </w:tabs>
        <w:rPr>
          <w:rFonts w:asciiTheme="minorHAnsi" w:eastAsiaTheme="minorEastAsia" w:hAnsiTheme="minorHAnsi" w:cstheme="minorBidi"/>
          <w:b w:val="0"/>
          <w:sz w:val="22"/>
          <w:szCs w:val="22"/>
        </w:rPr>
      </w:pPr>
      <w:r>
        <w:t>Subdivision 2 — Role of Commissioner</w:t>
      </w:r>
    </w:p>
    <w:p>
      <w:pPr>
        <w:pStyle w:val="TOC8"/>
        <w:rPr>
          <w:rFonts w:asciiTheme="minorHAnsi" w:eastAsiaTheme="minorEastAsia" w:hAnsiTheme="minorHAnsi" w:cstheme="minorBidi"/>
          <w:szCs w:val="22"/>
        </w:rPr>
      </w:pPr>
      <w:r>
        <w:t>19M.</w:t>
      </w:r>
      <w:r>
        <w:tab/>
        <w:t>Functions of Commissioner in relation to scheme</w:t>
      </w:r>
      <w:r>
        <w:tab/>
      </w:r>
      <w:r>
        <w:fldChar w:fldCharType="begin"/>
      </w:r>
      <w:r>
        <w:instrText xml:space="preserve"> PAGEREF _Toc174950823 \h </w:instrText>
      </w:r>
      <w:r>
        <w:fldChar w:fldCharType="separate"/>
      </w:r>
      <w:r>
        <w:t>36</w:t>
      </w:r>
      <w:r>
        <w:fldChar w:fldCharType="end"/>
      </w:r>
    </w:p>
    <w:p>
      <w:pPr>
        <w:pStyle w:val="TOC8"/>
        <w:rPr>
          <w:rFonts w:asciiTheme="minorHAnsi" w:eastAsiaTheme="minorEastAsia" w:hAnsiTheme="minorHAnsi" w:cstheme="minorBidi"/>
          <w:szCs w:val="22"/>
        </w:rPr>
      </w:pPr>
      <w:r>
        <w:t>19N.</w:t>
      </w:r>
      <w:r>
        <w:tab/>
        <w:t>Commissioner may exempt conduct</w:t>
      </w:r>
      <w:r>
        <w:tab/>
      </w:r>
      <w:r>
        <w:fldChar w:fldCharType="begin"/>
      </w:r>
      <w:r>
        <w:instrText xml:space="preserve"> PAGEREF _Toc174950824 \h </w:instrText>
      </w:r>
      <w:r>
        <w:fldChar w:fldCharType="separate"/>
      </w:r>
      <w:r>
        <w:t>37</w:t>
      </w:r>
      <w:r>
        <w:fldChar w:fldCharType="end"/>
      </w:r>
    </w:p>
    <w:p>
      <w:pPr>
        <w:pStyle w:val="TOC8"/>
        <w:rPr>
          <w:rFonts w:asciiTheme="minorHAnsi" w:eastAsiaTheme="minorEastAsia" w:hAnsiTheme="minorHAnsi" w:cstheme="minorBidi"/>
          <w:szCs w:val="22"/>
        </w:rPr>
      </w:pPr>
      <w:r>
        <w:t>19O.</w:t>
      </w:r>
      <w:r>
        <w:tab/>
        <w:t>Commissioner may exempt entities</w:t>
      </w:r>
      <w:r>
        <w:tab/>
      </w:r>
      <w:r>
        <w:fldChar w:fldCharType="begin"/>
      </w:r>
      <w:r>
        <w:instrText xml:space="preserve"> PAGEREF _Toc174950825 \h </w:instrText>
      </w:r>
      <w:r>
        <w:fldChar w:fldCharType="separate"/>
      </w:r>
      <w:r>
        <w:t>38</w:t>
      </w:r>
      <w:r>
        <w:fldChar w:fldCharType="end"/>
      </w:r>
    </w:p>
    <w:p>
      <w:pPr>
        <w:pStyle w:val="TOC8"/>
        <w:rPr>
          <w:rFonts w:asciiTheme="minorHAnsi" w:eastAsiaTheme="minorEastAsia" w:hAnsiTheme="minorHAnsi" w:cstheme="minorBidi"/>
          <w:szCs w:val="22"/>
        </w:rPr>
      </w:pPr>
      <w:r>
        <w:t>19P.</w:t>
      </w:r>
      <w:r>
        <w:tab/>
        <w:t>Commissioner may exempt investigations</w:t>
      </w:r>
      <w:r>
        <w:tab/>
      </w:r>
      <w:r>
        <w:fldChar w:fldCharType="begin"/>
      </w:r>
      <w:r>
        <w:instrText xml:space="preserve"> PAGEREF _Toc174950826 \h </w:instrText>
      </w:r>
      <w:r>
        <w:fldChar w:fldCharType="separate"/>
      </w:r>
      <w:r>
        <w:t>38</w:t>
      </w:r>
      <w:r>
        <w:fldChar w:fldCharType="end"/>
      </w:r>
    </w:p>
    <w:p>
      <w:pPr>
        <w:pStyle w:val="TOC8"/>
        <w:rPr>
          <w:rFonts w:asciiTheme="minorHAnsi" w:eastAsiaTheme="minorEastAsia" w:hAnsiTheme="minorHAnsi" w:cstheme="minorBidi"/>
          <w:szCs w:val="22"/>
        </w:rPr>
      </w:pPr>
      <w:r>
        <w:t>19Q.</w:t>
      </w:r>
      <w:r>
        <w:tab/>
        <w:t>Commissioner may approve head of relevant entity in certain circumstances</w:t>
      </w:r>
      <w:r>
        <w:tab/>
      </w:r>
      <w:r>
        <w:fldChar w:fldCharType="begin"/>
      </w:r>
      <w:r>
        <w:instrText xml:space="preserve"> PAGEREF _Toc174950827 \h </w:instrText>
      </w:r>
      <w:r>
        <w:fldChar w:fldCharType="separate"/>
      </w:r>
      <w:r>
        <w:t>39</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Subdivision 3 — Systems to deal with reportable conduct</w:t>
      </w:r>
    </w:p>
    <w:p>
      <w:pPr>
        <w:pStyle w:val="TOC8"/>
        <w:rPr>
          <w:rFonts w:asciiTheme="minorHAnsi" w:eastAsiaTheme="minorEastAsia" w:hAnsiTheme="minorHAnsi" w:cstheme="minorBidi"/>
          <w:szCs w:val="22"/>
        </w:rPr>
      </w:pPr>
      <w:r>
        <w:t>19R.</w:t>
      </w:r>
      <w:r>
        <w:tab/>
        <w:t>Head of relevant entity must ensure systems in place</w:t>
      </w:r>
      <w:r>
        <w:tab/>
      </w:r>
      <w:r>
        <w:fldChar w:fldCharType="begin"/>
      </w:r>
      <w:r>
        <w:instrText xml:space="preserve"> PAGEREF _Toc174950829 \h </w:instrText>
      </w:r>
      <w:r>
        <w:fldChar w:fldCharType="separate"/>
      </w:r>
      <w:r>
        <w:t>40</w:t>
      </w:r>
      <w:r>
        <w:fldChar w:fldCharType="end"/>
      </w:r>
    </w:p>
    <w:p>
      <w:pPr>
        <w:pStyle w:val="TOC8"/>
        <w:rPr>
          <w:rFonts w:asciiTheme="minorHAnsi" w:eastAsiaTheme="minorEastAsia" w:hAnsiTheme="minorHAnsi" w:cstheme="minorBidi"/>
          <w:szCs w:val="22"/>
        </w:rPr>
      </w:pPr>
      <w:r>
        <w:t>19S.</w:t>
      </w:r>
      <w:r>
        <w:tab/>
        <w:t>Commissioner may require information about systems</w:t>
      </w:r>
      <w:r>
        <w:tab/>
      </w:r>
      <w:r>
        <w:fldChar w:fldCharType="begin"/>
      </w:r>
      <w:r>
        <w:instrText xml:space="preserve"> PAGEREF _Toc174950830 \h </w:instrText>
      </w:r>
      <w:r>
        <w:fldChar w:fldCharType="separate"/>
      </w:r>
      <w:r>
        <w:t>41</w:t>
      </w:r>
      <w:r>
        <w:fldChar w:fldCharType="end"/>
      </w:r>
    </w:p>
    <w:p>
      <w:pPr>
        <w:pStyle w:val="TOC6"/>
        <w:tabs>
          <w:tab w:val="right" w:leader="dot" w:pos="7077"/>
        </w:tabs>
        <w:rPr>
          <w:rFonts w:asciiTheme="minorHAnsi" w:eastAsiaTheme="minorEastAsia" w:hAnsiTheme="minorHAnsi" w:cstheme="minorBidi"/>
          <w:b w:val="0"/>
          <w:sz w:val="22"/>
          <w:szCs w:val="22"/>
        </w:rPr>
      </w:pPr>
      <w:r>
        <w:t>Subdivision 4 — Notice, investigation and reporting</w:t>
      </w:r>
    </w:p>
    <w:p>
      <w:pPr>
        <w:pStyle w:val="TOC8"/>
        <w:rPr>
          <w:rFonts w:asciiTheme="minorHAnsi" w:eastAsiaTheme="minorEastAsia" w:hAnsiTheme="minorHAnsi" w:cstheme="minorBidi"/>
          <w:szCs w:val="22"/>
        </w:rPr>
      </w:pPr>
      <w:r>
        <w:t>19T.</w:t>
      </w:r>
      <w:r>
        <w:tab/>
        <w:t>Report of reportable allegation or reportable conviction</w:t>
      </w:r>
      <w:r>
        <w:tab/>
      </w:r>
      <w:r>
        <w:fldChar w:fldCharType="begin"/>
      </w:r>
      <w:r>
        <w:instrText xml:space="preserve"> PAGEREF _Toc174950832 \h </w:instrText>
      </w:r>
      <w:r>
        <w:fldChar w:fldCharType="separate"/>
      </w:r>
      <w:r>
        <w:t>41</w:t>
      </w:r>
      <w:r>
        <w:fldChar w:fldCharType="end"/>
      </w:r>
    </w:p>
    <w:p>
      <w:pPr>
        <w:pStyle w:val="TOC8"/>
        <w:rPr>
          <w:rFonts w:asciiTheme="minorHAnsi" w:eastAsiaTheme="minorEastAsia" w:hAnsiTheme="minorHAnsi" w:cstheme="minorBidi"/>
          <w:szCs w:val="22"/>
        </w:rPr>
      </w:pPr>
      <w:r>
        <w:t>19U.</w:t>
      </w:r>
      <w:r>
        <w:tab/>
        <w:t>Head of relevant entity must notify Commissioner</w:t>
      </w:r>
      <w:r>
        <w:tab/>
      </w:r>
      <w:r>
        <w:fldChar w:fldCharType="begin"/>
      </w:r>
      <w:r>
        <w:instrText xml:space="preserve"> PAGEREF _Toc174950833 \h </w:instrText>
      </w:r>
      <w:r>
        <w:fldChar w:fldCharType="separate"/>
      </w:r>
      <w:r>
        <w:t>42</w:t>
      </w:r>
      <w:r>
        <w:fldChar w:fldCharType="end"/>
      </w:r>
    </w:p>
    <w:p>
      <w:pPr>
        <w:pStyle w:val="TOC8"/>
        <w:rPr>
          <w:rFonts w:asciiTheme="minorHAnsi" w:eastAsiaTheme="minorEastAsia" w:hAnsiTheme="minorHAnsi" w:cstheme="minorBidi"/>
          <w:szCs w:val="22"/>
        </w:rPr>
      </w:pPr>
      <w:r>
        <w:t>19V.</w:t>
      </w:r>
      <w:r>
        <w:tab/>
        <w:t>Information may be disclosed to Commissioner or head of entity</w:t>
      </w:r>
      <w:r>
        <w:tab/>
      </w:r>
      <w:r>
        <w:fldChar w:fldCharType="begin"/>
      </w:r>
      <w:r>
        <w:instrText xml:space="preserve"> PAGEREF _Toc174950834 \h </w:instrText>
      </w:r>
      <w:r>
        <w:fldChar w:fldCharType="separate"/>
      </w:r>
      <w:r>
        <w:t>44</w:t>
      </w:r>
      <w:r>
        <w:fldChar w:fldCharType="end"/>
      </w:r>
    </w:p>
    <w:p>
      <w:pPr>
        <w:pStyle w:val="TOC8"/>
        <w:rPr>
          <w:rFonts w:asciiTheme="minorHAnsi" w:eastAsiaTheme="minorEastAsia" w:hAnsiTheme="minorHAnsi" w:cstheme="minorBidi"/>
          <w:szCs w:val="22"/>
        </w:rPr>
      </w:pPr>
      <w:r>
        <w:t>19W.</w:t>
      </w:r>
      <w:r>
        <w:tab/>
        <w:t>Head of relevant entity must respond to reportable allegation or reportable conviction</w:t>
      </w:r>
      <w:r>
        <w:tab/>
      </w:r>
      <w:r>
        <w:fldChar w:fldCharType="begin"/>
      </w:r>
      <w:r>
        <w:instrText xml:space="preserve"> PAGEREF _Toc174950835 \h </w:instrText>
      </w:r>
      <w:r>
        <w:fldChar w:fldCharType="separate"/>
      </w:r>
      <w:r>
        <w:t>45</w:t>
      </w:r>
      <w:r>
        <w:fldChar w:fldCharType="end"/>
      </w:r>
    </w:p>
    <w:p>
      <w:pPr>
        <w:pStyle w:val="TOC8"/>
        <w:rPr>
          <w:rFonts w:asciiTheme="minorHAnsi" w:eastAsiaTheme="minorEastAsia" w:hAnsiTheme="minorHAnsi" w:cstheme="minorBidi"/>
          <w:szCs w:val="22"/>
        </w:rPr>
      </w:pPr>
      <w:r>
        <w:t>19X.</w:t>
      </w:r>
      <w:r>
        <w:tab/>
        <w:t>Informing employee of certain matters and giving employee opportunity to make submissions</w:t>
      </w:r>
      <w:r>
        <w:tab/>
      </w:r>
      <w:r>
        <w:fldChar w:fldCharType="begin"/>
      </w:r>
      <w:r>
        <w:instrText xml:space="preserve"> PAGEREF _Toc174950836 \h </w:instrText>
      </w:r>
      <w:r>
        <w:fldChar w:fldCharType="separate"/>
      </w:r>
      <w:r>
        <w:t>47</w:t>
      </w:r>
      <w:r>
        <w:fldChar w:fldCharType="end"/>
      </w:r>
    </w:p>
    <w:p>
      <w:pPr>
        <w:pStyle w:val="TOC8"/>
        <w:rPr>
          <w:rFonts w:asciiTheme="minorHAnsi" w:eastAsiaTheme="minorEastAsia" w:hAnsiTheme="minorHAnsi" w:cstheme="minorBidi"/>
          <w:szCs w:val="22"/>
        </w:rPr>
      </w:pPr>
      <w:r>
        <w:t>19Y.</w:t>
      </w:r>
      <w:r>
        <w:tab/>
        <w:t>Commissioner must be notified of matters affecting investigation</w:t>
      </w:r>
      <w:r>
        <w:tab/>
      </w:r>
      <w:r>
        <w:fldChar w:fldCharType="begin"/>
      </w:r>
      <w:r>
        <w:instrText xml:space="preserve"> PAGEREF _Toc174950837 \h </w:instrText>
      </w:r>
      <w:r>
        <w:fldChar w:fldCharType="separate"/>
      </w:r>
      <w:r>
        <w:t>48</w:t>
      </w:r>
      <w:r>
        <w:fldChar w:fldCharType="end"/>
      </w:r>
    </w:p>
    <w:p>
      <w:pPr>
        <w:pStyle w:val="TOC8"/>
        <w:rPr>
          <w:rFonts w:asciiTheme="minorHAnsi" w:eastAsiaTheme="minorEastAsia" w:hAnsiTheme="minorHAnsi" w:cstheme="minorBidi"/>
          <w:szCs w:val="22"/>
        </w:rPr>
      </w:pPr>
      <w:r>
        <w:t>19Z.</w:t>
      </w:r>
      <w:r>
        <w:tab/>
        <w:t>Head of relevant entity must report outcome of investigation to Commissioner</w:t>
      </w:r>
      <w:r>
        <w:tab/>
      </w:r>
      <w:r>
        <w:fldChar w:fldCharType="begin"/>
      </w:r>
      <w:r>
        <w:instrText xml:space="preserve"> PAGEREF _Toc174950838 \h </w:instrText>
      </w:r>
      <w:r>
        <w:fldChar w:fldCharType="separate"/>
      </w:r>
      <w:r>
        <w:t>49</w:t>
      </w:r>
      <w:r>
        <w:fldChar w:fldCharType="end"/>
      </w:r>
    </w:p>
    <w:p>
      <w:pPr>
        <w:pStyle w:val="TOC8"/>
        <w:rPr>
          <w:rFonts w:asciiTheme="minorHAnsi" w:eastAsiaTheme="minorEastAsia" w:hAnsiTheme="minorHAnsi" w:cstheme="minorBidi"/>
          <w:szCs w:val="22"/>
        </w:rPr>
      </w:pPr>
      <w:r>
        <w:t>19ZA.</w:t>
      </w:r>
      <w:r>
        <w:tab/>
        <w:t>Head of relevant entity must report outcome of investigation to employee if employee informed of investigation</w:t>
      </w:r>
      <w:r>
        <w:tab/>
      </w:r>
      <w:r>
        <w:fldChar w:fldCharType="begin"/>
      </w:r>
      <w:r>
        <w:instrText xml:space="preserve"> PAGEREF _Toc174950839 \h </w:instrText>
      </w:r>
      <w:r>
        <w:fldChar w:fldCharType="separate"/>
      </w:r>
      <w:r>
        <w:t>50</w:t>
      </w:r>
      <w:r>
        <w:fldChar w:fldCharType="end"/>
      </w:r>
    </w:p>
    <w:p>
      <w:pPr>
        <w:pStyle w:val="TOC8"/>
        <w:rPr>
          <w:rFonts w:asciiTheme="minorHAnsi" w:eastAsiaTheme="minorEastAsia" w:hAnsiTheme="minorHAnsi" w:cstheme="minorBidi"/>
          <w:szCs w:val="22"/>
        </w:rPr>
      </w:pPr>
      <w:r>
        <w:t>19ZB.</w:t>
      </w:r>
      <w:r>
        <w:tab/>
        <w:t>Commissioner may conduct own investigation</w:t>
      </w:r>
      <w:r>
        <w:tab/>
      </w:r>
      <w:r>
        <w:fldChar w:fldCharType="begin"/>
      </w:r>
      <w:r>
        <w:instrText xml:space="preserve"> PAGEREF _Toc174950840 \h </w:instrText>
      </w:r>
      <w:r>
        <w:fldChar w:fldCharType="separate"/>
      </w:r>
      <w:r>
        <w:t>51</w:t>
      </w:r>
      <w:r>
        <w:fldChar w:fldCharType="end"/>
      </w:r>
    </w:p>
    <w:p>
      <w:pPr>
        <w:pStyle w:val="TOC8"/>
        <w:rPr>
          <w:rFonts w:asciiTheme="minorHAnsi" w:eastAsiaTheme="minorEastAsia" w:hAnsiTheme="minorHAnsi" w:cstheme="minorBidi"/>
          <w:szCs w:val="22"/>
        </w:rPr>
      </w:pPr>
      <w:r>
        <w:t>19ZC.</w:t>
      </w:r>
      <w:r>
        <w:tab/>
        <w:t>Notice to head of relevant entity of Commissioner’s investigation</w:t>
      </w:r>
      <w:r>
        <w:tab/>
      </w:r>
      <w:r>
        <w:fldChar w:fldCharType="begin"/>
      </w:r>
      <w:r>
        <w:instrText xml:space="preserve"> PAGEREF _Toc174950841 \h </w:instrText>
      </w:r>
      <w:r>
        <w:fldChar w:fldCharType="separate"/>
      </w:r>
      <w:r>
        <w:t>53</w:t>
      </w:r>
      <w:r>
        <w:fldChar w:fldCharType="end"/>
      </w:r>
    </w:p>
    <w:p>
      <w:pPr>
        <w:pStyle w:val="TOC8"/>
        <w:rPr>
          <w:rFonts w:asciiTheme="minorHAnsi" w:eastAsiaTheme="minorEastAsia" w:hAnsiTheme="minorHAnsi" w:cstheme="minorBidi"/>
          <w:szCs w:val="22"/>
        </w:rPr>
      </w:pPr>
      <w:r>
        <w:t>19ZD.</w:t>
      </w:r>
      <w:r>
        <w:tab/>
        <w:t>Provisions relating to investigation under section 19ZB(1)(a)</w:t>
      </w:r>
      <w:r>
        <w:tab/>
      </w:r>
      <w:r>
        <w:fldChar w:fldCharType="begin"/>
      </w:r>
      <w:r>
        <w:instrText xml:space="preserve"> PAGEREF _Toc174950842 \h </w:instrText>
      </w:r>
      <w:r>
        <w:fldChar w:fldCharType="separate"/>
      </w:r>
      <w:r>
        <w:t>53</w:t>
      </w:r>
      <w:r>
        <w:fldChar w:fldCharType="end"/>
      </w:r>
    </w:p>
    <w:p>
      <w:pPr>
        <w:pStyle w:val="TOC8"/>
        <w:rPr>
          <w:rFonts w:asciiTheme="minorHAnsi" w:eastAsiaTheme="minorEastAsia" w:hAnsiTheme="minorHAnsi" w:cstheme="minorBidi"/>
          <w:szCs w:val="22"/>
        </w:rPr>
      </w:pPr>
      <w:r>
        <w:t>19ZE.</w:t>
      </w:r>
      <w:r>
        <w:tab/>
        <w:t>Provision relating to investigation under section 19ZB(1)(b) or (c)</w:t>
      </w:r>
      <w:r>
        <w:tab/>
      </w:r>
      <w:r>
        <w:fldChar w:fldCharType="begin"/>
      </w:r>
      <w:r>
        <w:instrText xml:space="preserve"> PAGEREF _Toc174950843 \h </w:instrText>
      </w:r>
      <w:r>
        <w:fldChar w:fldCharType="separate"/>
      </w:r>
      <w:r>
        <w:t>55</w:t>
      </w:r>
      <w:r>
        <w:fldChar w:fldCharType="end"/>
      </w:r>
    </w:p>
    <w:p>
      <w:pPr>
        <w:pStyle w:val="TOC8"/>
        <w:rPr>
          <w:rFonts w:asciiTheme="minorHAnsi" w:eastAsiaTheme="minorEastAsia" w:hAnsiTheme="minorHAnsi" w:cstheme="minorBidi"/>
          <w:szCs w:val="22"/>
        </w:rPr>
      </w:pPr>
      <w:r>
        <w:t>19ZF.</w:t>
      </w:r>
      <w:r>
        <w:tab/>
        <w:t>Application to State Administrative Tribunal for review</w:t>
      </w:r>
      <w:r>
        <w:tab/>
      </w:r>
      <w:r>
        <w:fldChar w:fldCharType="begin"/>
      </w:r>
      <w:r>
        <w:instrText xml:space="preserve"> PAGEREF _Toc174950844 \h </w:instrText>
      </w:r>
      <w:r>
        <w:fldChar w:fldCharType="separate"/>
      </w:r>
      <w:r>
        <w:t>55</w:t>
      </w:r>
      <w:r>
        <w:fldChar w:fldCharType="end"/>
      </w:r>
    </w:p>
    <w:p>
      <w:pPr>
        <w:pStyle w:val="TOC8"/>
        <w:rPr>
          <w:rFonts w:asciiTheme="minorHAnsi" w:eastAsiaTheme="minorEastAsia" w:hAnsiTheme="minorHAnsi" w:cstheme="minorBidi"/>
          <w:szCs w:val="22"/>
        </w:rPr>
      </w:pPr>
      <w:r>
        <w:t>19ZG.</w:t>
      </w:r>
      <w:r>
        <w:tab/>
        <w:t>Concurrent investigations or proceedings</w:t>
      </w:r>
      <w:r>
        <w:tab/>
      </w:r>
      <w:r>
        <w:fldChar w:fldCharType="begin"/>
      </w:r>
      <w:r>
        <w:instrText xml:space="preserve"> PAGEREF _Toc174950845 \h </w:instrText>
      </w:r>
      <w:r>
        <w:fldChar w:fldCharType="separate"/>
      </w:r>
      <w:r>
        <w:t>56</w:t>
      </w:r>
      <w:r>
        <w:fldChar w:fldCharType="end"/>
      </w:r>
    </w:p>
    <w:p>
      <w:pPr>
        <w:pStyle w:val="TOC6"/>
        <w:tabs>
          <w:tab w:val="right" w:leader="dot" w:pos="7077"/>
        </w:tabs>
        <w:rPr>
          <w:rFonts w:asciiTheme="minorHAnsi" w:eastAsiaTheme="minorEastAsia" w:hAnsiTheme="minorHAnsi" w:cstheme="minorBidi"/>
          <w:b w:val="0"/>
          <w:sz w:val="22"/>
          <w:szCs w:val="22"/>
        </w:rPr>
      </w:pPr>
      <w:r>
        <w:t>Subdivision 5 — Disclosure of information</w:t>
      </w:r>
    </w:p>
    <w:p>
      <w:pPr>
        <w:pStyle w:val="TOC8"/>
        <w:rPr>
          <w:rFonts w:asciiTheme="minorHAnsi" w:eastAsiaTheme="minorEastAsia" w:hAnsiTheme="minorHAnsi" w:cstheme="minorBidi"/>
          <w:szCs w:val="22"/>
        </w:rPr>
      </w:pPr>
      <w:r>
        <w:t>19ZH.</w:t>
      </w:r>
      <w:r>
        <w:tab/>
        <w:t>Disclosure of information to child, parent, guardian or other person with parental responsibility</w:t>
      </w:r>
      <w:r>
        <w:tab/>
      </w:r>
      <w:r>
        <w:fldChar w:fldCharType="begin"/>
      </w:r>
      <w:r>
        <w:instrText xml:space="preserve"> PAGEREF _Toc174950847 \h </w:instrText>
      </w:r>
      <w:r>
        <w:fldChar w:fldCharType="separate"/>
      </w:r>
      <w:r>
        <w:t>58</w:t>
      </w:r>
      <w:r>
        <w:fldChar w:fldCharType="end"/>
      </w:r>
    </w:p>
    <w:p>
      <w:pPr>
        <w:pStyle w:val="TOC8"/>
        <w:rPr>
          <w:rFonts w:asciiTheme="minorHAnsi" w:eastAsiaTheme="minorEastAsia" w:hAnsiTheme="minorHAnsi" w:cstheme="minorBidi"/>
          <w:szCs w:val="22"/>
        </w:rPr>
      </w:pPr>
      <w:r>
        <w:t>19ZI.</w:t>
      </w:r>
      <w:r>
        <w:tab/>
        <w:t>Commissioner may request information about reportable convictions</w:t>
      </w:r>
      <w:r>
        <w:tab/>
      </w:r>
      <w:r>
        <w:fldChar w:fldCharType="begin"/>
      </w:r>
      <w:r>
        <w:instrText xml:space="preserve"> PAGEREF _Toc174950848 \h </w:instrText>
      </w:r>
      <w:r>
        <w:fldChar w:fldCharType="separate"/>
      </w:r>
      <w:r>
        <w:t>59</w:t>
      </w:r>
      <w:r>
        <w:fldChar w:fldCharType="end"/>
      </w:r>
    </w:p>
    <w:p>
      <w:pPr>
        <w:pStyle w:val="TOC8"/>
        <w:rPr>
          <w:rFonts w:asciiTheme="minorHAnsi" w:eastAsiaTheme="minorEastAsia" w:hAnsiTheme="minorHAnsi" w:cstheme="minorBidi"/>
          <w:szCs w:val="22"/>
        </w:rPr>
      </w:pPr>
      <w:r>
        <w:t>19ZJ.</w:t>
      </w:r>
      <w:r>
        <w:tab/>
        <w:t>Prohibition on publishing certain information</w:t>
      </w:r>
      <w:r>
        <w:tab/>
      </w:r>
      <w:r>
        <w:fldChar w:fldCharType="begin"/>
      </w:r>
      <w:r>
        <w:instrText xml:space="preserve"> PAGEREF _Toc174950849 \h </w:instrText>
      </w:r>
      <w:r>
        <w:fldChar w:fldCharType="separate"/>
      </w:r>
      <w:r>
        <w:t>60</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 xml:space="preserve">Subdivision 6 — Review of amendments made by </w:t>
      </w:r>
      <w:r>
        <w:rPr>
          <w:i/>
        </w:rPr>
        <w:t>Parliamentary Commissioner Amendment (Reportable Conduct) Act 2022</w:t>
      </w:r>
    </w:p>
    <w:p>
      <w:pPr>
        <w:pStyle w:val="TOC8"/>
        <w:rPr>
          <w:rFonts w:asciiTheme="minorHAnsi" w:eastAsiaTheme="minorEastAsia" w:hAnsiTheme="minorHAnsi" w:cstheme="minorBidi"/>
          <w:szCs w:val="22"/>
        </w:rPr>
      </w:pPr>
      <w:r>
        <w:t>19ZK.</w:t>
      </w:r>
      <w:r>
        <w:tab/>
        <w:t xml:space="preserve">Review of amendments made by </w:t>
      </w:r>
      <w:r>
        <w:rPr>
          <w:i/>
        </w:rPr>
        <w:t>Parliamentary Commissioner Amendment (Reportable Conduct) Act 2022</w:t>
      </w:r>
      <w:r>
        <w:tab/>
      </w:r>
      <w:r>
        <w:fldChar w:fldCharType="begin"/>
      </w:r>
      <w:r>
        <w:instrText xml:space="preserve"> PAGEREF _Toc174950851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Conduct of investigations</w:t>
      </w:r>
    </w:p>
    <w:p>
      <w:pPr>
        <w:pStyle w:val="TOC8"/>
        <w:rPr>
          <w:rFonts w:asciiTheme="minorHAnsi" w:eastAsiaTheme="minorEastAsia" w:hAnsiTheme="minorHAnsi" w:cstheme="minorBidi"/>
          <w:szCs w:val="22"/>
        </w:rPr>
      </w:pPr>
      <w:r>
        <w:t>19</w:t>
      </w:r>
      <w:r>
        <w:rPr>
          <w:snapToGrid w:val="0"/>
        </w:rPr>
        <w:t>.</w:t>
      </w:r>
      <w:r>
        <w:rPr>
          <w:snapToGrid w:val="0"/>
        </w:rPr>
        <w:tab/>
        <w:t>Proceedings on investigations</w:t>
      </w:r>
      <w:r>
        <w:tab/>
      </w:r>
      <w:r>
        <w:fldChar w:fldCharType="begin"/>
      </w:r>
      <w:r>
        <w:instrText xml:space="preserve"> PAGEREF _Toc174950853 \h </w:instrText>
      </w:r>
      <w:r>
        <w:fldChar w:fldCharType="separate"/>
      </w:r>
      <w:r>
        <w:t>61</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r>
        <w:tab/>
      </w:r>
      <w:r>
        <w:fldChar w:fldCharType="begin"/>
      </w:r>
      <w:r>
        <w:instrText xml:space="preserve"> PAGEREF _Toc174950854 \h </w:instrText>
      </w:r>
      <w:r>
        <w:fldChar w:fldCharType="separate"/>
      </w:r>
      <w:r>
        <w:t>64</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Power to enter premises</w:t>
      </w:r>
      <w:r>
        <w:tab/>
      </w:r>
      <w:r>
        <w:fldChar w:fldCharType="begin"/>
      </w:r>
      <w:r>
        <w:instrText xml:space="preserve"> PAGEREF _Toc174950855 \h </w:instrText>
      </w:r>
      <w:r>
        <w:fldChar w:fldCharType="separate"/>
      </w:r>
      <w:r>
        <w:t>65</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Protection for proceedings in Cabinet</w:t>
      </w:r>
      <w:r>
        <w:tab/>
      </w:r>
      <w:r>
        <w:fldChar w:fldCharType="begin"/>
      </w:r>
      <w:r>
        <w:instrText xml:space="preserve"> PAGEREF _Toc174950856 \h </w:instrText>
      </w:r>
      <w:r>
        <w:fldChar w:fldCharType="separate"/>
      </w:r>
      <w:r>
        <w:t>65</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r>
      <w:r>
        <w:t>Consultation other than in relation to reportable conduct scheme</w:t>
      </w:r>
      <w:r>
        <w:tab/>
      </w:r>
      <w:r>
        <w:fldChar w:fldCharType="begin"/>
      </w:r>
      <w:r>
        <w:instrText xml:space="preserve"> PAGEREF _Toc174950857 \h </w:instrText>
      </w:r>
      <w:r>
        <w:fldChar w:fldCharType="separate"/>
      </w:r>
      <w:r>
        <w:t>66</w:t>
      </w:r>
      <w:r>
        <w:fldChar w:fldCharType="end"/>
      </w:r>
    </w:p>
    <w:p>
      <w:pPr>
        <w:pStyle w:val="TOC8"/>
        <w:rPr>
          <w:rFonts w:asciiTheme="minorHAnsi" w:eastAsiaTheme="minorEastAsia" w:hAnsiTheme="minorHAnsi" w:cstheme="minorBidi"/>
          <w:szCs w:val="22"/>
        </w:rPr>
      </w:pPr>
      <w:r>
        <w:t>22AA</w:t>
      </w:r>
      <w:r>
        <w:rPr>
          <w:snapToGrid w:val="0"/>
        </w:rPr>
        <w:t>.</w:t>
      </w:r>
      <w:r>
        <w:rPr>
          <w:snapToGrid w:val="0"/>
        </w:rPr>
        <w:tab/>
        <w:t>Consultation in relation to reportable conduct scheme</w:t>
      </w:r>
      <w:r>
        <w:tab/>
      </w:r>
      <w:r>
        <w:fldChar w:fldCharType="begin"/>
      </w:r>
      <w:r>
        <w:instrText xml:space="preserve"> PAGEREF _Toc174950858 \h </w:instrText>
      </w:r>
      <w:r>
        <w:fldChar w:fldCharType="separate"/>
      </w:r>
      <w:r>
        <w:t>66</w:t>
      </w:r>
      <w:r>
        <w:fldChar w:fldCharType="end"/>
      </w:r>
    </w:p>
    <w:p>
      <w:pPr>
        <w:pStyle w:val="TOC8"/>
        <w:rPr>
          <w:rFonts w:asciiTheme="minorHAnsi" w:eastAsiaTheme="minorEastAsia" w:hAnsiTheme="minorHAnsi" w:cstheme="minorBidi"/>
          <w:szCs w:val="22"/>
        </w:rPr>
      </w:pPr>
      <w:r>
        <w:t>22B</w:t>
      </w:r>
      <w:r>
        <w:rPr>
          <w:snapToGrid w:val="0"/>
        </w:rPr>
        <w:t>.</w:t>
      </w:r>
      <w:r>
        <w:rPr>
          <w:snapToGrid w:val="0"/>
        </w:rPr>
        <w:tab/>
      </w:r>
      <w:r>
        <w:t>Disclosure of certain information other than in relation to reportable conduct scheme</w:t>
      </w:r>
      <w:r>
        <w:tab/>
      </w:r>
      <w:r>
        <w:fldChar w:fldCharType="begin"/>
      </w:r>
      <w:r>
        <w:instrText xml:space="preserve"> PAGEREF _Toc174950859 \h </w:instrText>
      </w:r>
      <w:r>
        <w:fldChar w:fldCharType="separate"/>
      </w:r>
      <w:r>
        <w:t>68</w:t>
      </w:r>
      <w:r>
        <w:fldChar w:fldCharType="end"/>
      </w:r>
    </w:p>
    <w:p>
      <w:pPr>
        <w:pStyle w:val="TOC8"/>
        <w:rPr>
          <w:rFonts w:asciiTheme="minorHAnsi" w:eastAsiaTheme="minorEastAsia" w:hAnsiTheme="minorHAnsi" w:cstheme="minorBidi"/>
          <w:szCs w:val="22"/>
        </w:rPr>
      </w:pPr>
      <w:r>
        <w:t>22C</w:t>
      </w:r>
      <w:r>
        <w:rPr>
          <w:snapToGrid w:val="0"/>
        </w:rPr>
        <w:t>.</w:t>
      </w:r>
      <w:r>
        <w:rPr>
          <w:snapToGrid w:val="0"/>
        </w:rPr>
        <w:tab/>
        <w:t>Disclosure of certain information in relation to reportable conduct scheme</w:t>
      </w:r>
      <w:r>
        <w:tab/>
      </w:r>
      <w:r>
        <w:fldChar w:fldCharType="begin"/>
      </w:r>
      <w:r>
        <w:instrText xml:space="preserve"> PAGEREF _Toc174950860 \h </w:instrText>
      </w:r>
      <w:r>
        <w:fldChar w:fldCharType="separate"/>
      </w:r>
      <w:r>
        <w:t>70</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Secrecy</w:t>
      </w:r>
      <w:r>
        <w:tab/>
      </w:r>
      <w:r>
        <w:fldChar w:fldCharType="begin"/>
      </w:r>
      <w:r>
        <w:instrText xml:space="preserve"> PAGEREF _Toc174950861 \h </w:instrText>
      </w:r>
      <w:r>
        <w:fldChar w:fldCharType="separate"/>
      </w:r>
      <w:r>
        <w:t>72</w:t>
      </w:r>
      <w:r>
        <w:fldChar w:fldCharType="end"/>
      </w:r>
    </w:p>
    <w:p>
      <w:pPr>
        <w:pStyle w:val="TOC8"/>
        <w:rPr>
          <w:rFonts w:asciiTheme="minorHAnsi" w:eastAsiaTheme="minorEastAsia" w:hAnsiTheme="minorHAnsi" w:cstheme="minorBidi"/>
          <w:szCs w:val="22"/>
        </w:rPr>
      </w:pPr>
      <w:r>
        <w:t>23A</w:t>
      </w:r>
      <w:r>
        <w:rPr>
          <w:snapToGrid w:val="0"/>
        </w:rPr>
        <w:t>.</w:t>
      </w:r>
      <w:r>
        <w:rPr>
          <w:snapToGrid w:val="0"/>
        </w:rPr>
        <w:tab/>
      </w:r>
      <w:r>
        <w:t>Certain documents sent to or by Commissioner not admissible</w:t>
      </w:r>
      <w:r>
        <w:tab/>
      </w:r>
      <w:r>
        <w:fldChar w:fldCharType="begin"/>
      </w:r>
      <w:r>
        <w:instrText xml:space="preserve"> PAGEREF _Toc174950862 \h </w:instrText>
      </w:r>
      <w:r>
        <w:fldChar w:fldCharType="separate"/>
      </w:r>
      <w:r>
        <w:t>74</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Obstruction</w:t>
      </w:r>
      <w:r>
        <w:tab/>
      </w:r>
      <w:r>
        <w:fldChar w:fldCharType="begin"/>
      </w:r>
      <w:r>
        <w:instrText xml:space="preserve"> PAGEREF _Toc174950863 \h </w:instrText>
      </w:r>
      <w:r>
        <w:fldChar w:fldCharType="separate"/>
      </w:r>
      <w:r>
        <w:t>74</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Action on investigations</w:t>
      </w:r>
    </w:p>
    <w:p>
      <w:pPr>
        <w:pStyle w:val="TOC8"/>
        <w:rPr>
          <w:rFonts w:asciiTheme="minorHAnsi" w:eastAsiaTheme="minorEastAsia" w:hAnsiTheme="minorHAnsi" w:cstheme="minorBidi"/>
          <w:szCs w:val="22"/>
        </w:rPr>
      </w:pPr>
      <w:r>
        <w:t>25</w:t>
      </w:r>
      <w:r>
        <w:rPr>
          <w:snapToGrid w:val="0"/>
        </w:rPr>
        <w:t>.</w:t>
      </w:r>
      <w:r>
        <w:rPr>
          <w:snapToGrid w:val="0"/>
        </w:rPr>
        <w:tab/>
        <w:t>Procedure on completion of investigation</w:t>
      </w:r>
      <w:r>
        <w:tab/>
      </w:r>
      <w:r>
        <w:fldChar w:fldCharType="begin"/>
      </w:r>
      <w:r>
        <w:instrText xml:space="preserve"> PAGEREF _Toc174950865 \h </w:instrText>
      </w:r>
      <w:r>
        <w:fldChar w:fldCharType="separate"/>
      </w:r>
      <w:r>
        <w:t>75</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Information to complainant on investigation</w:t>
      </w:r>
      <w:r>
        <w:tab/>
      </w:r>
      <w:r>
        <w:fldChar w:fldCharType="begin"/>
      </w:r>
      <w:r>
        <w:instrText xml:space="preserve"> PAGEREF _Toc174950866 \h </w:instrText>
      </w:r>
      <w:r>
        <w:fldChar w:fldCharType="separate"/>
      </w:r>
      <w:r>
        <w:t>77</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Annual and other reports of the Commissioner</w:t>
      </w:r>
    </w:p>
    <w:p>
      <w:pPr>
        <w:pStyle w:val="TOC8"/>
        <w:rPr>
          <w:rFonts w:asciiTheme="minorHAnsi" w:eastAsiaTheme="minorEastAsia" w:hAnsiTheme="minorHAnsi" w:cstheme="minorBidi"/>
          <w:szCs w:val="22"/>
        </w:rPr>
      </w:pPr>
      <w:r>
        <w:t>27</w:t>
      </w:r>
      <w:r>
        <w:rPr>
          <w:snapToGrid w:val="0"/>
        </w:rPr>
        <w:t>.</w:t>
      </w:r>
      <w:r>
        <w:rPr>
          <w:snapToGrid w:val="0"/>
        </w:rPr>
        <w:tab/>
        <w:t>Commissioner may report to Parliament</w:t>
      </w:r>
      <w:r>
        <w:tab/>
      </w:r>
      <w:r>
        <w:fldChar w:fldCharType="begin"/>
      </w:r>
      <w:r>
        <w:instrText xml:space="preserve"> PAGEREF _Toc174950868 \h </w:instrText>
      </w:r>
      <w:r>
        <w:fldChar w:fldCharType="separate"/>
      </w:r>
      <w:r>
        <w:t>78</w:t>
      </w:r>
      <w:r>
        <w:fldChar w:fldCharType="end"/>
      </w:r>
    </w:p>
    <w:p>
      <w:pPr>
        <w:pStyle w:val="TOC8"/>
        <w:rPr>
          <w:rFonts w:asciiTheme="minorHAnsi" w:eastAsiaTheme="minorEastAsia" w:hAnsiTheme="minorHAnsi" w:cstheme="minorBidi"/>
          <w:szCs w:val="22"/>
        </w:rPr>
      </w:pPr>
      <w:r>
        <w:t>28.</w:t>
      </w:r>
      <w:r>
        <w:tab/>
        <w:t>Annual report to include report on reportable conduct scheme</w:t>
      </w:r>
      <w:r>
        <w:tab/>
      </w:r>
      <w:r>
        <w:fldChar w:fldCharType="begin"/>
      </w:r>
      <w:r>
        <w:instrText xml:space="preserve"> PAGEREF _Toc174950869 \h </w:instrText>
      </w:r>
      <w:r>
        <w:fldChar w:fldCharType="separate"/>
      </w:r>
      <w:r>
        <w:t>78</w:t>
      </w:r>
      <w:r>
        <w:fldChar w:fldCharType="end"/>
      </w:r>
    </w:p>
    <w:p>
      <w:pPr>
        <w:pStyle w:val="TOC2"/>
        <w:tabs>
          <w:tab w:val="right" w:leader="dot" w:pos="7077"/>
        </w:tabs>
        <w:rPr>
          <w:rFonts w:asciiTheme="minorHAnsi" w:eastAsiaTheme="minorEastAsia" w:hAnsiTheme="minorHAnsi" w:cstheme="minorBidi"/>
          <w:b w:val="0"/>
          <w:sz w:val="22"/>
          <w:szCs w:val="22"/>
        </w:rPr>
      </w:pPr>
      <w:r>
        <w:t>Part IV — Miscellaneous</w:t>
      </w:r>
    </w:p>
    <w:p>
      <w:pPr>
        <w:pStyle w:val="TOC8"/>
        <w:rPr>
          <w:rFonts w:asciiTheme="minorHAnsi" w:eastAsiaTheme="minorEastAsia" w:hAnsiTheme="minorHAnsi" w:cstheme="minorBidi"/>
          <w:szCs w:val="22"/>
        </w:rPr>
      </w:pPr>
      <w:r>
        <w:t>29</w:t>
      </w:r>
      <w:r>
        <w:rPr>
          <w:snapToGrid w:val="0"/>
        </w:rPr>
        <w:t>.</w:t>
      </w:r>
      <w:r>
        <w:rPr>
          <w:snapToGrid w:val="0"/>
        </w:rPr>
        <w:tab/>
        <w:t>Supreme Court may determine jurisdictional questions</w:t>
      </w:r>
      <w:r>
        <w:tab/>
      </w:r>
      <w:r>
        <w:fldChar w:fldCharType="begin"/>
      </w:r>
      <w:r>
        <w:instrText xml:space="preserve"> PAGEREF _Toc174950871 \h </w:instrText>
      </w:r>
      <w:r>
        <w:fldChar w:fldCharType="separate"/>
      </w:r>
      <w:r>
        <w:t>80</w:t>
      </w:r>
      <w:r>
        <w:fldChar w:fldCharType="end"/>
      </w:r>
    </w:p>
    <w:p>
      <w:pPr>
        <w:pStyle w:val="TOC8"/>
        <w:rPr>
          <w:rFonts w:asciiTheme="minorHAnsi" w:eastAsiaTheme="minorEastAsia" w:hAnsiTheme="minorHAnsi" w:cstheme="minorBidi"/>
          <w:szCs w:val="22"/>
        </w:rPr>
      </w:pPr>
      <w:r>
        <w:t>29A.</w:t>
      </w:r>
      <w:r>
        <w:rPr>
          <w:snapToGrid w:val="0"/>
        </w:rPr>
        <w:tab/>
        <w:t>Delegation by Commissioner of Police</w:t>
      </w:r>
      <w:r>
        <w:tab/>
      </w:r>
      <w:r>
        <w:fldChar w:fldCharType="begin"/>
      </w:r>
      <w:r>
        <w:instrText xml:space="preserve"> PAGEREF _Toc174950872 \h </w:instrText>
      </w:r>
      <w:r>
        <w:fldChar w:fldCharType="separate"/>
      </w:r>
      <w:r>
        <w:t>80</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Protection of Commissioner and officers</w:t>
      </w:r>
      <w:r>
        <w:tab/>
      </w:r>
      <w:r>
        <w:fldChar w:fldCharType="begin"/>
      </w:r>
      <w:r>
        <w:instrText xml:space="preserve"> PAGEREF _Toc174950873 \h </w:instrText>
      </w:r>
      <w:r>
        <w:fldChar w:fldCharType="separate"/>
      </w:r>
      <w:r>
        <w:t>81</w:t>
      </w:r>
      <w:r>
        <w:fldChar w:fldCharType="end"/>
      </w:r>
    </w:p>
    <w:p>
      <w:pPr>
        <w:pStyle w:val="TOC8"/>
        <w:rPr>
          <w:rFonts w:asciiTheme="minorHAnsi" w:eastAsiaTheme="minorEastAsia" w:hAnsiTheme="minorHAnsi" w:cstheme="minorBidi"/>
          <w:szCs w:val="22"/>
        </w:rPr>
      </w:pPr>
      <w:r>
        <w:lastRenderedPageBreak/>
        <w:t>30A</w:t>
      </w:r>
      <w:r>
        <w:rPr>
          <w:snapToGrid w:val="0"/>
        </w:rPr>
        <w:t>.</w:t>
      </w:r>
      <w:r>
        <w:rPr>
          <w:snapToGrid w:val="0"/>
        </w:rPr>
        <w:tab/>
        <w:t>Protection of complainants etc.</w:t>
      </w:r>
      <w:r>
        <w:tab/>
      </w:r>
      <w:r>
        <w:fldChar w:fldCharType="begin"/>
      </w:r>
      <w:r>
        <w:instrText xml:space="preserve"> PAGEREF _Toc174950874 \h </w:instrText>
      </w:r>
      <w:r>
        <w:fldChar w:fldCharType="separate"/>
      </w:r>
      <w:r>
        <w:t>82</w:t>
      </w:r>
      <w:r>
        <w:fldChar w:fldCharType="end"/>
      </w:r>
    </w:p>
    <w:p>
      <w:pPr>
        <w:pStyle w:val="TOC8"/>
        <w:rPr>
          <w:rFonts w:asciiTheme="minorHAnsi" w:eastAsiaTheme="minorEastAsia" w:hAnsiTheme="minorHAnsi" w:cstheme="minorBidi"/>
          <w:szCs w:val="22"/>
        </w:rPr>
      </w:pPr>
      <w:r>
        <w:t>30AA</w:t>
      </w:r>
      <w:r>
        <w:rPr>
          <w:snapToGrid w:val="0"/>
        </w:rPr>
        <w:t>.</w:t>
      </w:r>
      <w:r>
        <w:rPr>
          <w:snapToGrid w:val="0"/>
        </w:rPr>
        <w:tab/>
        <w:t>Protection from liability for giving information</w:t>
      </w:r>
      <w:r>
        <w:t xml:space="preserve">: </w:t>
      </w:r>
      <w:r>
        <w:rPr>
          <w:snapToGrid w:val="0"/>
        </w:rPr>
        <w:t>reportable conduct scheme</w:t>
      </w:r>
      <w:r>
        <w:tab/>
      </w:r>
      <w:r>
        <w:fldChar w:fldCharType="begin"/>
      </w:r>
      <w:r>
        <w:instrText xml:space="preserve"> PAGEREF _Toc174950875 \h </w:instrText>
      </w:r>
      <w:r>
        <w:fldChar w:fldCharType="separate"/>
      </w:r>
      <w:r>
        <w:t>82</w:t>
      </w:r>
      <w:r>
        <w:fldChar w:fldCharType="end"/>
      </w:r>
    </w:p>
    <w:p>
      <w:pPr>
        <w:pStyle w:val="TOC8"/>
        <w:rPr>
          <w:rFonts w:asciiTheme="minorHAnsi" w:eastAsiaTheme="minorEastAsia" w:hAnsiTheme="minorHAnsi" w:cstheme="minorBidi"/>
          <w:szCs w:val="22"/>
        </w:rPr>
      </w:pPr>
      <w:r>
        <w:t>30B</w:t>
      </w:r>
      <w:r>
        <w:rPr>
          <w:snapToGrid w:val="0"/>
        </w:rPr>
        <w:t>.</w:t>
      </w:r>
      <w:r>
        <w:rPr>
          <w:snapToGrid w:val="0"/>
        </w:rPr>
        <w:tab/>
        <w:t>Victimisation</w:t>
      </w:r>
      <w:r>
        <w:tab/>
      </w:r>
      <w:r>
        <w:fldChar w:fldCharType="begin"/>
      </w:r>
      <w:r>
        <w:instrText xml:space="preserve"> PAGEREF _Toc174950876 \h </w:instrText>
      </w:r>
      <w:r>
        <w:fldChar w:fldCharType="separate"/>
      </w:r>
      <w:r>
        <w:t>83</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General penalty</w:t>
      </w:r>
      <w:r>
        <w:tab/>
      </w:r>
      <w:r>
        <w:fldChar w:fldCharType="begin"/>
      </w:r>
      <w:r>
        <w:instrText xml:space="preserve"> PAGEREF _Toc174950877 \h </w:instrText>
      </w:r>
      <w:r>
        <w:fldChar w:fldCharType="separate"/>
      </w:r>
      <w:r>
        <w:t>85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Expenses of Act</w:t>
      </w:r>
      <w:r>
        <w:tab/>
      </w:r>
      <w:r>
        <w:fldChar w:fldCharType="begin"/>
      </w:r>
      <w:r>
        <w:instrText xml:space="preserve"> PAGEREF _Toc174950878 \h </w:instrText>
      </w:r>
      <w:r>
        <w:fldChar w:fldCharType="separate"/>
      </w:r>
      <w:r>
        <w:t>85</w:t>
      </w:r>
      <w:r>
        <w:fldChar w:fldCharType="end"/>
      </w:r>
    </w:p>
    <w:p>
      <w:pPr>
        <w:pStyle w:val="TOC8"/>
        <w:rPr>
          <w:rFonts w:asciiTheme="minorHAnsi" w:eastAsiaTheme="minorEastAsia" w:hAnsiTheme="minorHAnsi" w:cstheme="minorBidi"/>
          <w:szCs w:val="22"/>
        </w:rPr>
      </w:pPr>
      <w:r>
        <w:t>33.</w:t>
      </w:r>
      <w:r>
        <w:tab/>
        <w:t>Regulations</w:t>
      </w:r>
      <w:r>
        <w:tab/>
      </w:r>
      <w:r>
        <w:fldChar w:fldCharType="begin"/>
      </w:r>
      <w:r>
        <w:instrText xml:space="preserve"> PAGEREF _Toc174950879 \h </w:instrText>
      </w:r>
      <w:r>
        <w:fldChar w:fldCharType="separate"/>
      </w:r>
      <w:r>
        <w:t>85</w:t>
      </w:r>
      <w:r>
        <w:fldChar w:fldCharType="end"/>
      </w:r>
    </w:p>
    <w:p>
      <w:pPr>
        <w:pStyle w:val="TOC8"/>
        <w:rPr>
          <w:rFonts w:asciiTheme="minorHAnsi" w:eastAsiaTheme="minorEastAsia" w:hAnsiTheme="minorHAnsi" w:cstheme="minorBidi"/>
          <w:szCs w:val="22"/>
        </w:rPr>
      </w:pPr>
      <w:r>
        <w:t>34.</w:t>
      </w:r>
      <w:r>
        <w:tab/>
        <w:t>Energy and water ombudsman schemes</w:t>
      </w:r>
      <w:r>
        <w:tab/>
      </w:r>
      <w:r>
        <w:fldChar w:fldCharType="begin"/>
      </w:r>
      <w:r>
        <w:instrText xml:space="preserve"> PAGEREF _Toc174950880 \h </w:instrText>
      </w:r>
      <w:r>
        <w:fldChar w:fldCharType="separate"/>
      </w:r>
      <w:r>
        <w:t>85</w:t>
      </w:r>
      <w:r>
        <w:fldChar w:fldCharType="end"/>
      </w:r>
    </w:p>
    <w:p>
      <w:pPr>
        <w:pStyle w:val="TOC2"/>
        <w:tabs>
          <w:tab w:val="right" w:leader="dot" w:pos="7077"/>
        </w:tabs>
        <w:rPr>
          <w:rFonts w:asciiTheme="minorHAnsi" w:eastAsiaTheme="minorEastAsia" w:hAnsiTheme="minorHAnsi" w:cstheme="minorBidi"/>
          <w:b w:val="0"/>
          <w:sz w:val="22"/>
          <w:szCs w:val="22"/>
        </w:rPr>
      </w:pPr>
      <w:r>
        <w:t>Schedule 1 — Departments and authorities, and extent, to which this Act does not apply</w:t>
      </w:r>
    </w:p>
    <w:p>
      <w:pPr>
        <w:pStyle w:val="TOC2"/>
        <w:tabs>
          <w:tab w:val="right" w:leader="dot" w:pos="7077"/>
        </w:tabs>
        <w:rPr>
          <w:rFonts w:asciiTheme="minorHAnsi" w:eastAsiaTheme="minorEastAsia" w:hAnsiTheme="minorHAnsi" w:cstheme="minorBidi"/>
          <w:b w:val="0"/>
          <w:sz w:val="22"/>
          <w:szCs w:val="22"/>
        </w:rPr>
      </w:pPr>
      <w:r>
        <w:t>Schedule 2 — Relevant entities to which this Act applies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_Toc174950884 \h </w:instrText>
      </w:r>
      <w:r>
        <w:fldChar w:fldCharType="separate"/>
      </w:r>
      <w:r>
        <w:t>93</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_Toc174950885 \h </w:instrText>
      </w:r>
      <w:r>
        <w:fldChar w:fldCharType="separate"/>
      </w:r>
      <w:r>
        <w:t>102</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_Toc174950886 \h </w:instrText>
      </w:r>
      <w:r>
        <w:fldChar w:fldCharType="separate"/>
      </w:r>
      <w:r>
        <w:t>103</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pacing w:before="960"/>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to the deaths of certain children and to the reportable conduct scheme and for incidental purposes.</w:t>
      </w:r>
    </w:p>
    <w:p>
      <w:pPr>
        <w:pStyle w:val="Footnotelongtitle"/>
      </w:pPr>
      <w:r>
        <w:tab/>
        <w:t>[Long title amended: No. 78 of 1996 s. 4; No. 78 of 2003 s. 72(1); No. 10 of 2009 s. 4; No. 25 of 2022 s. 4.]</w:t>
      </w:r>
    </w:p>
    <w:p>
      <w:pPr>
        <w:pStyle w:val="Heading2"/>
      </w:pPr>
      <w:bookmarkStart w:id="2" w:name="_Toc153964994"/>
      <w:bookmarkStart w:id="3" w:name="_Toc153968652"/>
      <w:bookmarkStart w:id="4" w:name="_Toc153978049"/>
      <w:bookmarkStart w:id="5" w:name="_Toc174718034"/>
      <w:bookmarkStart w:id="6" w:name="_Toc174718679"/>
      <w:bookmarkStart w:id="7" w:name="_Toc174718785"/>
      <w:bookmarkStart w:id="8" w:name="_Toc174950782"/>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p>
    <w:p>
      <w:pPr>
        <w:pStyle w:val="Heading5"/>
        <w:rPr>
          <w:snapToGrid w:val="0"/>
        </w:rPr>
      </w:pPr>
      <w:bookmarkStart w:id="9" w:name="_Toc174950783"/>
      <w:r>
        <w:rPr>
          <w:rStyle w:val="CharSectno"/>
        </w:rPr>
        <w:t>1</w:t>
      </w:r>
      <w:r>
        <w:rPr>
          <w:snapToGrid w:val="0"/>
        </w:rPr>
        <w:t>.</w:t>
      </w:r>
      <w:r>
        <w:rPr>
          <w:snapToGrid w:val="0"/>
        </w:rPr>
        <w:tab/>
        <w:t>Short title</w:t>
      </w:r>
      <w:bookmarkEnd w:id="9"/>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w:t>
      </w:r>
    </w:p>
    <w:p>
      <w:pPr>
        <w:pStyle w:val="Heading5"/>
        <w:rPr>
          <w:snapToGrid w:val="0"/>
        </w:rPr>
      </w:pPr>
      <w:bookmarkStart w:id="10" w:name="_Toc174950784"/>
      <w:r>
        <w:rPr>
          <w:rStyle w:val="CharSectno"/>
        </w:rPr>
        <w:t>2</w:t>
      </w:r>
      <w:r>
        <w:rPr>
          <w:snapToGrid w:val="0"/>
        </w:rPr>
        <w:t>.</w:t>
      </w:r>
      <w:r>
        <w:rPr>
          <w:snapToGrid w:val="0"/>
        </w:rPr>
        <w:tab/>
        <w:t>Commencement</w:t>
      </w:r>
      <w:bookmarkEnd w:id="10"/>
    </w:p>
    <w:p>
      <w:pPr>
        <w:pStyle w:val="Subsection"/>
        <w:spacing w:before="140"/>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Heading5"/>
        <w:rPr>
          <w:snapToGrid w:val="0"/>
        </w:rPr>
      </w:pPr>
      <w:bookmarkStart w:id="11" w:name="_Toc174950785"/>
      <w:r>
        <w:rPr>
          <w:rStyle w:val="CharSectno"/>
        </w:rPr>
        <w:t>4</w:t>
      </w:r>
      <w:r>
        <w:rPr>
          <w:snapToGrid w:val="0"/>
        </w:rPr>
        <w:t>.</w:t>
      </w:r>
      <w:r>
        <w:rPr>
          <w:snapToGrid w:val="0"/>
        </w:rPr>
        <w:tab/>
        <w:t>Terms used</w:t>
      </w:r>
      <w:bookmarkEnd w:id="11"/>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pPr>
      <w:r>
        <w:tab/>
      </w:r>
      <w:r>
        <w:rPr>
          <w:rStyle w:val="CharDefText"/>
        </w:rPr>
        <w:t>CCS Act</w:t>
      </w:r>
      <w:r>
        <w:t xml:space="preserve"> means the </w:t>
      </w:r>
      <w:r>
        <w:rPr>
          <w:i/>
        </w:rPr>
        <w:t>Children and Community Services Act 2004</w:t>
      </w:r>
      <w:r>
        <w:rPr>
          <w:iCs/>
        </w:rPr>
        <w:t>;</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pPr>
      <w:r>
        <w:tab/>
      </w:r>
      <w:r>
        <w:rPr>
          <w:rStyle w:val="CharDefText"/>
        </w:rPr>
        <w:t>Commissioner of Police</w:t>
      </w:r>
      <w:r>
        <w:t xml:space="preserve"> means the person holding or acting in the office of Commissioner of Police under the </w:t>
      </w:r>
      <w:r>
        <w:rPr>
          <w:i/>
        </w:rPr>
        <w:t>Police Act 1892</w:t>
      </w:r>
      <w:r>
        <w: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lastRenderedPageBreak/>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head</w:t>
      </w:r>
      <w:r>
        <w:t>, of a relevant entity, has the meaning given in section 19E;</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tab/>
      </w:r>
      <w:r>
        <w:rPr>
          <w:rStyle w:val="CharDefText"/>
        </w:rPr>
        <w:t>investigator</w:t>
      </w:r>
      <w:r>
        <w:t>, conducting an investigation under Part III Division 3B, means a person or body conducting the investigation under that Division on behalf of the head of a relevant entity for the purposes of the reportable conduct scheme;</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xml:space="preserve">, in relation to a complaint under this Act, means the person who appears from the complaint to be the </w:t>
      </w:r>
      <w:r>
        <w:lastRenderedPageBreak/>
        <w:t>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relevant entity</w:t>
      </w:r>
      <w:r>
        <w:t xml:space="preserve"> means an entity to which the reportable conduct scheme applies under section 19I;</w:t>
      </w:r>
    </w:p>
    <w:p>
      <w:pPr>
        <w:pStyle w:val="Defstart"/>
      </w:pPr>
      <w:r>
        <w:tab/>
      </w:r>
      <w:r>
        <w:rPr>
          <w:rStyle w:val="CharDefText"/>
        </w:rPr>
        <w:t>religious body</w:t>
      </w:r>
      <w:r>
        <w:t xml:space="preserve"> means a body established or operated for a religious purpose that operates under the auspices of 1 or more religious denominations or faiths;</w:t>
      </w:r>
    </w:p>
    <w:p>
      <w:pPr>
        <w:pStyle w:val="Defstart"/>
      </w:pPr>
      <w:r>
        <w:tab/>
      </w:r>
      <w:r>
        <w:rPr>
          <w:rStyle w:val="CharDefText"/>
        </w:rPr>
        <w:t>reportable allegation</w:t>
      </w:r>
      <w:r>
        <w:t xml:space="preserve"> has the meaning given in section 19F;</w:t>
      </w:r>
    </w:p>
    <w:p>
      <w:pPr>
        <w:pStyle w:val="Defstart"/>
      </w:pPr>
      <w:r>
        <w:tab/>
      </w:r>
      <w:r>
        <w:rPr>
          <w:rStyle w:val="CharDefText"/>
        </w:rPr>
        <w:t>reportable conduct</w:t>
      </w:r>
      <w:r>
        <w:t xml:space="preserve"> has the meaning given in section 19G;</w:t>
      </w:r>
    </w:p>
    <w:p>
      <w:pPr>
        <w:pStyle w:val="Defstart"/>
      </w:pPr>
      <w:r>
        <w:tab/>
      </w:r>
      <w:r>
        <w:rPr>
          <w:rStyle w:val="CharDefText"/>
        </w:rPr>
        <w:t>reportable conduct scheme</w:t>
      </w:r>
      <w:r>
        <w:t xml:space="preserve"> means the scheme established under Part III Division 3B;</w:t>
      </w:r>
    </w:p>
    <w:p>
      <w:pPr>
        <w:pStyle w:val="Defstart"/>
      </w:pPr>
      <w:r>
        <w:tab/>
      </w:r>
      <w:r>
        <w:rPr>
          <w:rStyle w:val="CharDefText"/>
        </w:rPr>
        <w:t>reportable conviction</w:t>
      </w:r>
      <w:r>
        <w:t xml:space="preserve"> has the meaning given in section 19H;</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lastRenderedPageBreak/>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No. 13 of 1982 s. 2; No. 73 of 1994 s. 4; No. 78 of 1996 s. 5 and 21; No. 43 of 1999 s. 20; No. 47 of 1999 s. 23; No. 74 of 2003 s. 91(2); No. 75 of 2003 s. 56(1); No. 78 of 2003 s. 72; No. 10 of 2009 s. 5; No. 35 of 2014 s. 36(2); No. 4 of 2015 s. 87(2); No. 25 of 2022 s. 5.]</w:t>
      </w:r>
    </w:p>
    <w:p>
      <w:pPr>
        <w:pStyle w:val="Heading5"/>
        <w:rPr>
          <w:snapToGrid w:val="0"/>
        </w:rPr>
      </w:pPr>
      <w:bookmarkStart w:id="12" w:name="_Toc174950786"/>
      <w:r>
        <w:rPr>
          <w:rStyle w:val="CharSectno"/>
        </w:rPr>
        <w:t>4A</w:t>
      </w:r>
      <w:r>
        <w:rPr>
          <w:snapToGrid w:val="0"/>
        </w:rPr>
        <w:t>.</w:t>
      </w:r>
      <w:r>
        <w:rPr>
          <w:snapToGrid w:val="0"/>
        </w:rPr>
        <w:tab/>
        <w:t>Term used: authority</w:t>
      </w:r>
      <w:bookmarkEnd w:id="12"/>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tab/>
        <w:t>(a)</w:t>
      </w:r>
      <w:r>
        <w:tab/>
        <w:t>a local government, regional local government or regional subsidiary;</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 xml:space="preserve">a corporation or association over which control can be exercised by the State, by a Minister, by a department to </w:t>
      </w:r>
      <w:r>
        <w:rPr>
          <w:snapToGrid w:val="0"/>
        </w:rPr>
        <w:lastRenderedPageBreak/>
        <w:t>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No. 78 of 1996 s. 6; amended: No. 47 of 1999 s. 24; No. 26 of 2016 s. 78.]</w:t>
      </w:r>
    </w:p>
    <w:p>
      <w:pPr>
        <w:pStyle w:val="Heading2"/>
      </w:pPr>
      <w:bookmarkStart w:id="13" w:name="_Toc153964999"/>
      <w:bookmarkStart w:id="14" w:name="_Toc153968657"/>
      <w:bookmarkStart w:id="15" w:name="_Toc153978054"/>
      <w:bookmarkStart w:id="16" w:name="_Toc174718039"/>
      <w:bookmarkStart w:id="17" w:name="_Toc174718684"/>
      <w:bookmarkStart w:id="18" w:name="_Toc174718790"/>
      <w:bookmarkStart w:id="19" w:name="_Toc174950787"/>
      <w:r>
        <w:rPr>
          <w:rStyle w:val="CharPartNo"/>
        </w:rPr>
        <w:lastRenderedPageBreak/>
        <w:t>Part II</w:t>
      </w:r>
      <w:r>
        <w:rPr>
          <w:rStyle w:val="CharDivNo"/>
        </w:rPr>
        <w:t> </w:t>
      </w:r>
      <w:r>
        <w:t>—</w:t>
      </w:r>
      <w:r>
        <w:rPr>
          <w:rStyle w:val="CharDivText"/>
        </w:rPr>
        <w:t> </w:t>
      </w:r>
      <w:r>
        <w:rPr>
          <w:rStyle w:val="CharPartText"/>
        </w:rPr>
        <w:t>The Parliamentary Commissioner for Administrative Investigations</w:t>
      </w:r>
      <w:bookmarkEnd w:id="13"/>
      <w:bookmarkEnd w:id="14"/>
      <w:bookmarkEnd w:id="15"/>
      <w:bookmarkEnd w:id="16"/>
      <w:bookmarkEnd w:id="17"/>
      <w:bookmarkEnd w:id="18"/>
      <w:bookmarkEnd w:id="19"/>
    </w:p>
    <w:p>
      <w:pPr>
        <w:pStyle w:val="Heading5"/>
        <w:rPr>
          <w:snapToGrid w:val="0"/>
        </w:rPr>
      </w:pPr>
      <w:bookmarkStart w:id="20" w:name="_Toc174950788"/>
      <w:r>
        <w:rPr>
          <w:rStyle w:val="CharSectno"/>
        </w:rPr>
        <w:t>5</w:t>
      </w:r>
      <w:r>
        <w:rPr>
          <w:snapToGrid w:val="0"/>
        </w:rPr>
        <w:t>.</w:t>
      </w:r>
      <w:r>
        <w:rPr>
          <w:snapToGrid w:val="0"/>
        </w:rPr>
        <w:tab/>
        <w:t>Commissioner and Deputy Commissioner, appointment of etc.</w:t>
      </w:r>
      <w:bookmarkEnd w:id="20"/>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 xml:space="preserve">The salary payable to the holder of the office of Commissioner or Deputy Commissioner under this section shall be charged to </w:t>
      </w:r>
      <w:r>
        <w:rPr>
          <w:snapToGrid w:val="0"/>
        </w:rPr>
        <w:lastRenderedPageBreak/>
        <w:t>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No. 13 of 1982 s. 3; No. 6 of 1993 s. 11; No. 49 of 1996 s. 64; No. 78 of 1996 s. 7; No. 10 of 1998 s. 57(1); No. 77 of 2006 s. 4.]</w:t>
      </w:r>
    </w:p>
    <w:p>
      <w:pPr>
        <w:pStyle w:val="Heading5"/>
        <w:spacing w:before="180"/>
        <w:rPr>
          <w:snapToGrid w:val="0"/>
        </w:rPr>
      </w:pPr>
      <w:bookmarkStart w:id="21" w:name="_Toc174950789"/>
      <w:r>
        <w:rPr>
          <w:rStyle w:val="CharSectno"/>
        </w:rPr>
        <w:t>6</w:t>
      </w:r>
      <w:r>
        <w:rPr>
          <w:snapToGrid w:val="0"/>
        </w:rPr>
        <w:t>.</w:t>
      </w:r>
      <w:r>
        <w:rPr>
          <w:snapToGrid w:val="0"/>
        </w:rPr>
        <w:tab/>
        <w:t>Removal or suspension of Commissioner or Deputy Commissioner</w:t>
      </w:r>
      <w:bookmarkEnd w:id="21"/>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lastRenderedPageBreak/>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No. 13 of 1982 s. 4; No. 18 of 2009 s. 62.]</w:t>
      </w:r>
    </w:p>
    <w:p>
      <w:pPr>
        <w:pStyle w:val="Heading5"/>
        <w:rPr>
          <w:snapToGrid w:val="0"/>
        </w:rPr>
      </w:pPr>
      <w:bookmarkStart w:id="22" w:name="_Toc174950790"/>
      <w:r>
        <w:rPr>
          <w:rStyle w:val="CharSectno"/>
        </w:rPr>
        <w:t>6A</w:t>
      </w:r>
      <w:r>
        <w:rPr>
          <w:snapToGrid w:val="0"/>
        </w:rPr>
        <w:t>.</w:t>
      </w:r>
      <w:r>
        <w:rPr>
          <w:snapToGrid w:val="0"/>
        </w:rPr>
        <w:tab/>
        <w:t>Deputy Parliamentary Commissioner, functions of</w:t>
      </w:r>
      <w:bookmarkEnd w:id="22"/>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lastRenderedPageBreak/>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No. 13 of 1982 s. 5.]</w:t>
      </w:r>
    </w:p>
    <w:p>
      <w:pPr>
        <w:pStyle w:val="Heading5"/>
        <w:rPr>
          <w:snapToGrid w:val="0"/>
        </w:rPr>
      </w:pPr>
      <w:bookmarkStart w:id="23" w:name="_Toc174950791"/>
      <w:r>
        <w:rPr>
          <w:rStyle w:val="CharSectno"/>
        </w:rPr>
        <w:t>7</w:t>
      </w:r>
      <w:r>
        <w:rPr>
          <w:snapToGrid w:val="0"/>
        </w:rPr>
        <w:t>.</w:t>
      </w:r>
      <w:r>
        <w:rPr>
          <w:snapToGrid w:val="0"/>
        </w:rPr>
        <w:tab/>
        <w:t>Acting Parliamentary Commissioner, appointment of etc.</w:t>
      </w:r>
      <w:bookmarkEnd w:id="23"/>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No. 13 of 1982 s. 6.]</w:t>
      </w:r>
    </w:p>
    <w:p>
      <w:pPr>
        <w:pStyle w:val="Heading5"/>
        <w:rPr>
          <w:snapToGrid w:val="0"/>
        </w:rPr>
      </w:pPr>
      <w:bookmarkStart w:id="24" w:name="_Toc174950792"/>
      <w:r>
        <w:rPr>
          <w:rStyle w:val="CharSectno"/>
        </w:rPr>
        <w:t>8</w:t>
      </w:r>
      <w:r>
        <w:rPr>
          <w:snapToGrid w:val="0"/>
        </w:rPr>
        <w:t>.</w:t>
      </w:r>
      <w:r>
        <w:rPr>
          <w:snapToGrid w:val="0"/>
        </w:rPr>
        <w:tab/>
        <w:t>Oath or affirmation of Commissioner, Deputy Commissioner and Acting Commissioner</w:t>
      </w:r>
      <w:bookmarkEnd w:id="24"/>
    </w:p>
    <w:p>
      <w:pPr>
        <w:pStyle w:val="Subsection"/>
        <w:rPr>
          <w:snapToGrid w:val="0"/>
        </w:rPr>
      </w:pPr>
      <w:r>
        <w:rPr>
          <w:snapToGrid w:val="0"/>
        </w:rPr>
        <w:tab/>
        <w:t>(1)</w:t>
      </w:r>
      <w:r>
        <w:rPr>
          <w:snapToGrid w:val="0"/>
        </w:rPr>
        <w:tab/>
        <w:t xml:space="preserve">Before entering upon the exercise of the duties of their respective offices the Commissioner, the Deputy Commissioner </w:t>
      </w:r>
      <w:r>
        <w:rPr>
          <w:snapToGrid w:val="0"/>
        </w:rPr>
        <w:lastRenderedPageBreak/>
        <w:t>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No. 68 of 1976 s. 2; No. 13 of 1982 s. 7.]</w:t>
      </w:r>
    </w:p>
    <w:p>
      <w:pPr>
        <w:pStyle w:val="Heading5"/>
        <w:rPr>
          <w:snapToGrid w:val="0"/>
        </w:rPr>
      </w:pPr>
      <w:bookmarkStart w:id="25" w:name="_Toc174950793"/>
      <w:r>
        <w:rPr>
          <w:rStyle w:val="CharSectno"/>
        </w:rPr>
        <w:t>9</w:t>
      </w:r>
      <w:r>
        <w:rPr>
          <w:snapToGrid w:val="0"/>
        </w:rPr>
        <w:t>.</w:t>
      </w:r>
      <w:r>
        <w:rPr>
          <w:snapToGrid w:val="0"/>
        </w:rPr>
        <w:tab/>
        <w:t>Staff of Commissioner</w:t>
      </w:r>
      <w:bookmarkEnd w:id="25"/>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lastRenderedPageBreak/>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No. 74 of 2003 s. 91(3), (4), (6), (8) and (9); No. 10 of 2009 s. 6.]</w:t>
      </w:r>
    </w:p>
    <w:p>
      <w:pPr>
        <w:pStyle w:val="Heading5"/>
        <w:spacing w:before="200"/>
        <w:rPr>
          <w:snapToGrid w:val="0"/>
        </w:rPr>
      </w:pPr>
      <w:bookmarkStart w:id="26" w:name="_Toc174950794"/>
      <w:r>
        <w:rPr>
          <w:rStyle w:val="CharSectno"/>
        </w:rPr>
        <w:t>10</w:t>
      </w:r>
      <w:r>
        <w:rPr>
          <w:snapToGrid w:val="0"/>
        </w:rPr>
        <w:t>.</w:t>
      </w:r>
      <w:r>
        <w:rPr>
          <w:snapToGrid w:val="0"/>
        </w:rPr>
        <w:tab/>
        <w:t>Other provisions as to Commissioner and other officers</w:t>
      </w:r>
      <w:bookmarkEnd w:id="26"/>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vertAlign w:val="superscript"/>
        </w:rPr>
        <w:t> 1</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 xml:space="preserve">When a person ceases to hold the office of Commissioner, Deputy Commissioner or Acting Commissioner or to be an officer of the Commissioner and becomes a public service </w:t>
      </w:r>
      <w:r>
        <w:rPr>
          <w:snapToGrid w:val="0"/>
        </w:rPr>
        <w:lastRenderedPageBreak/>
        <w:t>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No. 68 of 1976 s. 3; No. 13 of 1982 s. 8; No. 32 of 1994 s. 19; No. 78 of 1996 s. 8; No. 74 of 2003 s. 91(10) and (11).]</w:t>
      </w:r>
    </w:p>
    <w:p>
      <w:pPr>
        <w:pStyle w:val="Heading5"/>
        <w:rPr>
          <w:snapToGrid w:val="0"/>
        </w:rPr>
      </w:pPr>
      <w:bookmarkStart w:id="27" w:name="_Toc174950795"/>
      <w:r>
        <w:rPr>
          <w:rStyle w:val="CharSectno"/>
        </w:rPr>
        <w:t>11</w:t>
      </w:r>
      <w:r>
        <w:rPr>
          <w:snapToGrid w:val="0"/>
        </w:rPr>
        <w:t>.</w:t>
      </w:r>
      <w:r>
        <w:rPr>
          <w:snapToGrid w:val="0"/>
        </w:rPr>
        <w:tab/>
        <w:t>Delegation by Commissioner</w:t>
      </w:r>
      <w:bookmarkEnd w:id="27"/>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lastRenderedPageBreak/>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No. 124 of 1984 s. 3; No. 74 of 2003 s. 91(12).]</w:t>
      </w:r>
    </w:p>
    <w:p>
      <w:pPr>
        <w:pStyle w:val="Heading5"/>
        <w:spacing w:before="200"/>
        <w:rPr>
          <w:snapToGrid w:val="0"/>
        </w:rPr>
      </w:pPr>
      <w:bookmarkStart w:id="28" w:name="_Toc174950796"/>
      <w:r>
        <w:rPr>
          <w:rStyle w:val="CharSectno"/>
        </w:rPr>
        <w:t>12</w:t>
      </w:r>
      <w:r>
        <w:rPr>
          <w:snapToGrid w:val="0"/>
        </w:rPr>
        <w:t>.</w:t>
      </w:r>
      <w:r>
        <w:rPr>
          <w:snapToGrid w:val="0"/>
        </w:rPr>
        <w:tab/>
        <w:t>Rules of Parliament</w:t>
      </w:r>
      <w:bookmarkEnd w:id="28"/>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lastRenderedPageBreak/>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No. 78 of 1996 s. 9.]</w:t>
      </w:r>
    </w:p>
    <w:p>
      <w:pPr>
        <w:pStyle w:val="Heading2"/>
      </w:pPr>
      <w:bookmarkStart w:id="29" w:name="_Toc153965009"/>
      <w:bookmarkStart w:id="30" w:name="_Toc153968667"/>
      <w:bookmarkStart w:id="31" w:name="_Toc153978064"/>
      <w:bookmarkStart w:id="32" w:name="_Toc174718049"/>
      <w:bookmarkStart w:id="33" w:name="_Toc174718694"/>
      <w:bookmarkStart w:id="34" w:name="_Toc174718800"/>
      <w:bookmarkStart w:id="35" w:name="_Toc174950797"/>
      <w:r>
        <w:rPr>
          <w:rStyle w:val="CharPartNo"/>
        </w:rPr>
        <w:lastRenderedPageBreak/>
        <w:t>Part III</w:t>
      </w:r>
      <w:r>
        <w:t> — </w:t>
      </w:r>
      <w:r>
        <w:rPr>
          <w:rStyle w:val="CharPartText"/>
        </w:rPr>
        <w:t>Jurisdiction and functions of the Commissioner</w:t>
      </w:r>
      <w:bookmarkEnd w:id="29"/>
      <w:bookmarkEnd w:id="30"/>
      <w:bookmarkEnd w:id="31"/>
      <w:bookmarkEnd w:id="32"/>
      <w:bookmarkEnd w:id="33"/>
      <w:bookmarkEnd w:id="34"/>
      <w:bookmarkEnd w:id="35"/>
    </w:p>
    <w:p>
      <w:pPr>
        <w:pStyle w:val="Heading3"/>
      </w:pPr>
      <w:bookmarkStart w:id="36" w:name="_Toc153965010"/>
      <w:bookmarkStart w:id="37" w:name="_Toc153968668"/>
      <w:bookmarkStart w:id="38" w:name="_Toc153978065"/>
      <w:bookmarkStart w:id="39" w:name="_Toc174718050"/>
      <w:bookmarkStart w:id="40" w:name="_Toc174718695"/>
      <w:bookmarkStart w:id="41" w:name="_Toc174718801"/>
      <w:bookmarkStart w:id="42" w:name="_Toc174950798"/>
      <w:r>
        <w:rPr>
          <w:rStyle w:val="CharDivNo"/>
        </w:rPr>
        <w:t>Division 1</w:t>
      </w:r>
      <w:r>
        <w:rPr>
          <w:snapToGrid w:val="0"/>
        </w:rPr>
        <w:t> — </w:t>
      </w:r>
      <w:r>
        <w:rPr>
          <w:rStyle w:val="CharDivText"/>
        </w:rPr>
        <w:t>Extent of jurisdiction</w:t>
      </w:r>
      <w:bookmarkEnd w:id="36"/>
      <w:bookmarkEnd w:id="37"/>
      <w:bookmarkEnd w:id="38"/>
      <w:bookmarkEnd w:id="39"/>
      <w:bookmarkEnd w:id="40"/>
      <w:bookmarkEnd w:id="41"/>
      <w:bookmarkEnd w:id="42"/>
    </w:p>
    <w:p>
      <w:pPr>
        <w:pStyle w:val="Heading5"/>
        <w:rPr>
          <w:snapToGrid w:val="0"/>
        </w:rPr>
      </w:pPr>
      <w:bookmarkStart w:id="43" w:name="_Toc174950799"/>
      <w:r>
        <w:rPr>
          <w:rStyle w:val="CharSectno"/>
        </w:rPr>
        <w:t>13</w:t>
      </w:r>
      <w:r>
        <w:rPr>
          <w:snapToGrid w:val="0"/>
        </w:rPr>
        <w:t>.</w:t>
      </w:r>
      <w:r>
        <w:rPr>
          <w:snapToGrid w:val="0"/>
        </w:rPr>
        <w:tab/>
        <w:t>Departments and authorities subject to investigation</w:t>
      </w:r>
      <w:bookmarkEnd w:id="43"/>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 xml:space="preserve">Magistrates Court </w:t>
      </w:r>
      <w:r>
        <w:rPr>
          <w:i/>
          <w:snapToGrid w:val="0"/>
        </w:rPr>
        <w:lastRenderedPageBreak/>
        <w:t>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the Liquor Licensing Court</w:t>
      </w:r>
      <w:r>
        <w:rPr>
          <w:snapToGrid w:val="0"/>
          <w:vertAlign w:val="superscript"/>
        </w:rPr>
        <w:t> 2</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keepNext/>
        <w:spacing w:before="70"/>
      </w:pPr>
      <w:r>
        <w:lastRenderedPageBreak/>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lastRenderedPageBreak/>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No. 13 of 1982 s. 9; No. 14 of 1994 s. 19(1); No. 29 of 1996 s. 26; No. 78 of 1996 s. 10 and 21; No. 41 of 1997 s. 34; No. 47 of 1999 s. 25; No. 55 of 2004 s. 1325; No. 59 of 2004 s. 141.]</w:t>
      </w:r>
    </w:p>
    <w:p>
      <w:pPr>
        <w:pStyle w:val="Heading5"/>
        <w:rPr>
          <w:snapToGrid w:val="0"/>
        </w:rPr>
      </w:pPr>
      <w:bookmarkStart w:id="44" w:name="_Toc174950800"/>
      <w:r>
        <w:rPr>
          <w:rStyle w:val="CharSectno"/>
        </w:rPr>
        <w:t>14</w:t>
      </w:r>
      <w:r>
        <w:rPr>
          <w:snapToGrid w:val="0"/>
        </w:rPr>
        <w:t>.</w:t>
      </w:r>
      <w:r>
        <w:rPr>
          <w:snapToGrid w:val="0"/>
        </w:rPr>
        <w:tab/>
        <w:t>Matters subject to investigation</w:t>
      </w:r>
      <w:bookmarkEnd w:id="44"/>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lastRenderedPageBreak/>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No. 68 of 1976 s. 4; No. 124 of 1984 s. 4; No. 78 of 1996 s. 21; No. 78 of 2003 s. 72(1).]</w:t>
      </w:r>
    </w:p>
    <w:p>
      <w:pPr>
        <w:pStyle w:val="Heading3"/>
        <w:spacing w:before="300"/>
      </w:pPr>
      <w:bookmarkStart w:id="45" w:name="_Toc153965013"/>
      <w:bookmarkStart w:id="46" w:name="_Toc153968671"/>
      <w:bookmarkStart w:id="47" w:name="_Toc153978068"/>
      <w:bookmarkStart w:id="48" w:name="_Toc174718053"/>
      <w:bookmarkStart w:id="49" w:name="_Toc174718698"/>
      <w:bookmarkStart w:id="50" w:name="_Toc174718804"/>
      <w:bookmarkStart w:id="51" w:name="_Toc174950801"/>
      <w:r>
        <w:rPr>
          <w:rStyle w:val="CharDivNo"/>
        </w:rPr>
        <w:lastRenderedPageBreak/>
        <w:t>Division 2</w:t>
      </w:r>
      <w:r>
        <w:rPr>
          <w:snapToGrid w:val="0"/>
        </w:rPr>
        <w:t> — </w:t>
      </w:r>
      <w:r>
        <w:rPr>
          <w:rStyle w:val="CharDivText"/>
        </w:rPr>
        <w:t>Initiation of investigations</w:t>
      </w:r>
      <w:bookmarkEnd w:id="45"/>
      <w:bookmarkEnd w:id="46"/>
      <w:bookmarkEnd w:id="47"/>
      <w:bookmarkEnd w:id="48"/>
      <w:bookmarkEnd w:id="49"/>
      <w:bookmarkEnd w:id="50"/>
      <w:bookmarkEnd w:id="51"/>
    </w:p>
    <w:p>
      <w:pPr>
        <w:pStyle w:val="Heading5"/>
        <w:rPr>
          <w:snapToGrid w:val="0"/>
        </w:rPr>
      </w:pPr>
      <w:bookmarkStart w:id="52" w:name="_Toc174950802"/>
      <w:r>
        <w:rPr>
          <w:rStyle w:val="CharSectno"/>
        </w:rPr>
        <w:t>15</w:t>
      </w:r>
      <w:r>
        <w:rPr>
          <w:snapToGrid w:val="0"/>
        </w:rPr>
        <w:t>.</w:t>
      </w:r>
      <w:r>
        <w:rPr>
          <w:snapToGrid w:val="0"/>
        </w:rPr>
        <w:tab/>
        <w:t>Investigations on reference by Parliament</w:t>
      </w:r>
      <w:bookmarkEnd w:id="52"/>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No. 68 of 1976 s. 5.]</w:t>
      </w:r>
    </w:p>
    <w:p>
      <w:pPr>
        <w:pStyle w:val="Heading5"/>
        <w:rPr>
          <w:snapToGrid w:val="0"/>
        </w:rPr>
      </w:pPr>
      <w:bookmarkStart w:id="53" w:name="_Toc174950803"/>
      <w:r>
        <w:rPr>
          <w:rStyle w:val="CharSectno"/>
        </w:rPr>
        <w:t>16</w:t>
      </w:r>
      <w:r>
        <w:rPr>
          <w:snapToGrid w:val="0"/>
        </w:rPr>
        <w:t>.</w:t>
      </w:r>
      <w:r>
        <w:rPr>
          <w:snapToGrid w:val="0"/>
        </w:rPr>
        <w:tab/>
        <w:t>Initiation of investigations</w:t>
      </w:r>
      <w:bookmarkEnd w:id="53"/>
    </w:p>
    <w:p>
      <w:pPr>
        <w:pStyle w:val="Subsection"/>
        <w:rPr>
          <w:snapToGrid w:val="0"/>
        </w:rPr>
      </w:pPr>
      <w:r>
        <w:rPr>
          <w:snapToGrid w:val="0"/>
        </w:rPr>
        <w:tab/>
        <w:t>(1)</w:t>
      </w:r>
      <w:r>
        <w:rPr>
          <w:snapToGrid w:val="0"/>
        </w:rPr>
        <w:tab/>
        <w:t xml:space="preserve">Without prejudice to the provisions of section 15 any investigation that the Commissioner is authorised to conduct </w:t>
      </w:r>
      <w:r>
        <w:rPr>
          <w:snapToGrid w:val="0"/>
        </w:rPr>
        <w:lastRenderedPageBreak/>
        <w:t>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54" w:name="_Toc174950804"/>
      <w:r>
        <w:rPr>
          <w:rStyle w:val="CharSectno"/>
        </w:rPr>
        <w:t>17</w:t>
      </w:r>
      <w:r>
        <w:rPr>
          <w:snapToGrid w:val="0"/>
        </w:rPr>
        <w:t>.</w:t>
      </w:r>
      <w:r>
        <w:rPr>
          <w:snapToGrid w:val="0"/>
        </w:rPr>
        <w:tab/>
        <w:t>Complaints to Commissioner</w:t>
      </w:r>
      <w:bookmarkEnd w:id="54"/>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No. 124 of 1984 s. 5; No. 78 of 1996 s. 11.]</w:t>
      </w:r>
    </w:p>
    <w:p>
      <w:pPr>
        <w:pStyle w:val="Heading5"/>
        <w:rPr>
          <w:snapToGrid w:val="0"/>
        </w:rPr>
      </w:pPr>
      <w:bookmarkStart w:id="55" w:name="_Toc174950805"/>
      <w:r>
        <w:rPr>
          <w:rStyle w:val="CharSectno"/>
        </w:rPr>
        <w:lastRenderedPageBreak/>
        <w:t>17A</w:t>
      </w:r>
      <w:r>
        <w:rPr>
          <w:snapToGrid w:val="0"/>
        </w:rPr>
        <w:t>.</w:t>
      </w:r>
      <w:r>
        <w:rPr>
          <w:snapToGrid w:val="0"/>
        </w:rPr>
        <w:tab/>
        <w:t>Complaints by persons in custody</w:t>
      </w:r>
      <w:bookmarkEnd w:id="55"/>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lastRenderedPageBreak/>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No. 124 of 1984 s. 6; amended: No. 47 of 1987 s. 26; No. 113 of 1987 s. 31; No. 78 of 1996 s. 12; No. 47 of 1999 s. 26; No. 25 of 2014 s. 75; No. 4 of 2015 s. 87(3).]</w:t>
      </w:r>
    </w:p>
    <w:p>
      <w:pPr>
        <w:pStyle w:val="Heading5"/>
        <w:rPr>
          <w:snapToGrid w:val="0"/>
        </w:rPr>
      </w:pPr>
      <w:bookmarkStart w:id="56" w:name="_Toc174950806"/>
      <w:r>
        <w:rPr>
          <w:rStyle w:val="CharSectno"/>
        </w:rPr>
        <w:t>18</w:t>
      </w:r>
      <w:r>
        <w:rPr>
          <w:snapToGrid w:val="0"/>
        </w:rPr>
        <w:t>.</w:t>
      </w:r>
      <w:r>
        <w:rPr>
          <w:snapToGrid w:val="0"/>
        </w:rPr>
        <w:tab/>
        <w:t>Refusal to investigate complaints</w:t>
      </w:r>
      <w:bookmarkEnd w:id="56"/>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lastRenderedPageBreak/>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57" w:name="_Toc153965019"/>
      <w:bookmarkStart w:id="58" w:name="_Toc153968677"/>
      <w:bookmarkStart w:id="59" w:name="_Toc153978074"/>
      <w:bookmarkStart w:id="60" w:name="_Toc174718059"/>
      <w:bookmarkStart w:id="61" w:name="_Toc174718704"/>
      <w:bookmarkStart w:id="62" w:name="_Toc174718810"/>
      <w:bookmarkStart w:id="63" w:name="_Toc174950807"/>
      <w:r>
        <w:rPr>
          <w:rStyle w:val="CharDivNo"/>
        </w:rPr>
        <w:t>Division 3A</w:t>
      </w:r>
      <w:r>
        <w:t> — </w:t>
      </w:r>
      <w:r>
        <w:rPr>
          <w:rStyle w:val="CharDivText"/>
        </w:rPr>
        <w:t>Deaths of certain children</w:t>
      </w:r>
      <w:bookmarkEnd w:id="57"/>
      <w:bookmarkEnd w:id="58"/>
      <w:bookmarkEnd w:id="59"/>
      <w:bookmarkEnd w:id="60"/>
      <w:bookmarkEnd w:id="61"/>
      <w:bookmarkEnd w:id="62"/>
      <w:bookmarkEnd w:id="63"/>
    </w:p>
    <w:p>
      <w:pPr>
        <w:pStyle w:val="Footnoteheading"/>
      </w:pPr>
      <w:r>
        <w:tab/>
        <w:t>[Heading inserted: No. 10 of 2009 s. 7.]</w:t>
      </w:r>
    </w:p>
    <w:p>
      <w:pPr>
        <w:pStyle w:val="Heading5"/>
      </w:pPr>
      <w:bookmarkStart w:id="64" w:name="_Toc174950808"/>
      <w:r>
        <w:rPr>
          <w:rStyle w:val="CharSectno"/>
        </w:rPr>
        <w:t>19A</w:t>
      </w:r>
      <w:r>
        <w:t>.</w:t>
      </w:r>
      <w:r>
        <w:tab/>
        <w:t>Terms used</w:t>
      </w:r>
      <w:bookmarkEnd w:id="64"/>
    </w:p>
    <w:p>
      <w:pPr>
        <w:pStyle w:val="Subsection"/>
      </w:pPr>
      <w:r>
        <w:tab/>
        <w:t>(1)</w:t>
      </w:r>
      <w:r>
        <w:tab/>
        <w:t>In this Division —</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w:t>
      </w:r>
      <w:r>
        <w:rPr>
          <w:iCs/>
        </w:rPr>
        <w:lastRenderedPageBreak/>
        <w:t xml:space="preserve">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No. 10 of 2009 s. 7; amended: No. 25 of 2022 s. 6.]</w:t>
      </w:r>
    </w:p>
    <w:p>
      <w:pPr>
        <w:pStyle w:val="Heading5"/>
      </w:pPr>
      <w:bookmarkStart w:id="65" w:name="_Toc174950809"/>
      <w:r>
        <w:rPr>
          <w:rStyle w:val="CharSectno"/>
        </w:rPr>
        <w:t>19B</w:t>
      </w:r>
      <w:r>
        <w:t>.</w:t>
      </w:r>
      <w:r>
        <w:tab/>
        <w:t>Functions as to investigable deaths</w:t>
      </w:r>
      <w:bookmarkEnd w:id="65"/>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lastRenderedPageBreak/>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No. 10 of 2009 s. 7.]</w:t>
      </w:r>
    </w:p>
    <w:p>
      <w:pPr>
        <w:pStyle w:val="Heading3"/>
      </w:pPr>
      <w:bookmarkStart w:id="66" w:name="_Toc153965022"/>
      <w:bookmarkStart w:id="67" w:name="_Toc153968680"/>
      <w:bookmarkStart w:id="68" w:name="_Toc153978077"/>
      <w:bookmarkStart w:id="69" w:name="_Toc174718062"/>
      <w:bookmarkStart w:id="70" w:name="_Toc174718707"/>
      <w:bookmarkStart w:id="71" w:name="_Toc174718813"/>
      <w:bookmarkStart w:id="72" w:name="_Toc174950810"/>
      <w:r>
        <w:rPr>
          <w:rStyle w:val="CharDivNo"/>
        </w:rPr>
        <w:t>Division 3B</w:t>
      </w:r>
      <w:r>
        <w:t> — </w:t>
      </w:r>
      <w:r>
        <w:rPr>
          <w:rStyle w:val="CharDivText"/>
        </w:rPr>
        <w:t>Reportable conduct scheme</w:t>
      </w:r>
      <w:bookmarkEnd w:id="66"/>
      <w:bookmarkEnd w:id="67"/>
      <w:bookmarkEnd w:id="68"/>
      <w:bookmarkEnd w:id="69"/>
      <w:bookmarkEnd w:id="70"/>
      <w:bookmarkEnd w:id="71"/>
      <w:bookmarkEnd w:id="72"/>
    </w:p>
    <w:p>
      <w:pPr>
        <w:pStyle w:val="Footnoteheading"/>
      </w:pPr>
      <w:r>
        <w:tab/>
        <w:t>[Heading inserted: No. 25 of 2022 s. 7.]</w:t>
      </w:r>
    </w:p>
    <w:p>
      <w:pPr>
        <w:pStyle w:val="Heading4"/>
      </w:pPr>
      <w:bookmarkStart w:id="73" w:name="_Toc153965023"/>
      <w:bookmarkStart w:id="74" w:name="_Toc153968681"/>
      <w:bookmarkStart w:id="75" w:name="_Toc153978078"/>
      <w:bookmarkStart w:id="76" w:name="_Toc174718063"/>
      <w:bookmarkStart w:id="77" w:name="_Toc174718708"/>
      <w:bookmarkStart w:id="78" w:name="_Toc174718814"/>
      <w:bookmarkStart w:id="79" w:name="_Toc174950811"/>
      <w:r>
        <w:t>Subdivision 1 — Preliminary</w:t>
      </w:r>
      <w:bookmarkEnd w:id="73"/>
      <w:bookmarkEnd w:id="74"/>
      <w:bookmarkEnd w:id="75"/>
      <w:bookmarkEnd w:id="76"/>
      <w:bookmarkEnd w:id="77"/>
      <w:bookmarkEnd w:id="78"/>
      <w:bookmarkEnd w:id="79"/>
    </w:p>
    <w:p>
      <w:pPr>
        <w:pStyle w:val="Footnoteheading"/>
      </w:pPr>
      <w:r>
        <w:tab/>
        <w:t>[Heading inserted: No. 25 of 2022 s. 7.]</w:t>
      </w:r>
    </w:p>
    <w:p>
      <w:pPr>
        <w:pStyle w:val="Heading5"/>
      </w:pPr>
      <w:bookmarkStart w:id="80" w:name="_Toc174950812"/>
      <w:r>
        <w:rPr>
          <w:rStyle w:val="CharSectno"/>
        </w:rPr>
        <w:t>19C</w:t>
      </w:r>
      <w:r>
        <w:t>.</w:t>
      </w:r>
      <w:r>
        <w:tab/>
        <w:t>Terms used</w:t>
      </w:r>
      <w:bookmarkEnd w:id="80"/>
    </w:p>
    <w:p>
      <w:pPr>
        <w:pStyle w:val="Subsection"/>
      </w:pPr>
      <w:r>
        <w:tab/>
      </w:r>
      <w:r>
        <w:tab/>
        <w:t>In this Division —</w:t>
      </w:r>
    </w:p>
    <w:p>
      <w:pPr>
        <w:pStyle w:val="Defstart"/>
      </w:pPr>
      <w:r>
        <w:tab/>
      </w:r>
      <w:r>
        <w:rPr>
          <w:rStyle w:val="CharDefText"/>
        </w:rPr>
        <w:t>child</w:t>
      </w:r>
      <w:r>
        <w:t xml:space="preserve"> means a person who is under 18 years of age;</w:t>
      </w:r>
    </w:p>
    <w:p>
      <w:pPr>
        <w:pStyle w:val="Defstart"/>
      </w:pPr>
      <w:r>
        <w:tab/>
      </w:r>
      <w:r>
        <w:rPr>
          <w:rStyle w:val="CharDefText"/>
        </w:rPr>
        <w:t>commencement day</w:t>
      </w:r>
      <w:r>
        <w:t xml:space="preserve"> means the day on which the </w:t>
      </w:r>
      <w:r>
        <w:rPr>
          <w:i/>
        </w:rPr>
        <w:t xml:space="preserve">Parliamentary Commissioner Amendment (Reportable Conduct) Act 2022 </w:t>
      </w:r>
      <w:r>
        <w:t>section 7 comes into operation;</w:t>
      </w:r>
    </w:p>
    <w:p>
      <w:pPr>
        <w:pStyle w:val="Defstart"/>
      </w:pPr>
      <w:r>
        <w:tab/>
      </w:r>
      <w:r>
        <w:rPr>
          <w:rStyle w:val="CharDefText"/>
        </w:rPr>
        <w:t>employee</w:t>
      </w:r>
      <w:r>
        <w:t>, of a relevant entity, has the meaning given in section 19D;</w:t>
      </w:r>
    </w:p>
    <w:p>
      <w:pPr>
        <w:pStyle w:val="Defstart"/>
        <w:rPr>
          <w:color w:val="000000"/>
          <w:szCs w:val="24"/>
        </w:rPr>
      </w:pPr>
      <w:r>
        <w:tab/>
      </w:r>
      <w:r>
        <w:rPr>
          <w:rStyle w:val="CharDefText"/>
        </w:rPr>
        <w:t>investigation</w:t>
      </w:r>
      <w:r>
        <w:t xml:space="preserve">, of a matter, </w:t>
      </w:r>
      <w:r>
        <w:rPr>
          <w:color w:val="000000"/>
          <w:szCs w:val="24"/>
        </w:rPr>
        <w:t>includes any preliminary or other inquiry into, or examination of, the matter;</w:t>
      </w:r>
    </w:p>
    <w:p>
      <w:pPr>
        <w:pStyle w:val="Defstart"/>
        <w:keepNext/>
      </w:pPr>
      <w:r>
        <w:lastRenderedPageBreak/>
        <w:tab/>
      </w:r>
      <w:r>
        <w:rPr>
          <w:rStyle w:val="CharDefText"/>
        </w:rPr>
        <w:t>investigation information</w:t>
      </w:r>
      <w:r>
        <w:t xml:space="preserve"> means information — </w:t>
      </w:r>
    </w:p>
    <w:p>
      <w:pPr>
        <w:pStyle w:val="Defpara"/>
      </w:pPr>
      <w:r>
        <w:tab/>
        <w:t>(a)</w:t>
      </w:r>
      <w:r>
        <w:tab/>
        <w:t>relating to a reportable allegation or a reportable conviction involving an employee of a relevant entity; or</w:t>
      </w:r>
    </w:p>
    <w:p>
      <w:pPr>
        <w:pStyle w:val="Defpara"/>
      </w:pPr>
      <w:r>
        <w:tab/>
        <w:t>(b)</w:t>
      </w:r>
      <w:r>
        <w:tab/>
        <w:t>obtained as a result of an investigation into a reportable allegation or reportable conviction conducted by the Commissioner or a relevant entity; or</w:t>
      </w:r>
    </w:p>
    <w:p>
      <w:pPr>
        <w:pStyle w:val="Defpara"/>
      </w:pPr>
      <w:r>
        <w:tab/>
        <w:t>(c)</w:t>
      </w:r>
      <w:r>
        <w:tab/>
        <w:t xml:space="preserve">relating to any of the following — </w:t>
      </w:r>
    </w:p>
    <w:p>
      <w:pPr>
        <w:pStyle w:val="Defsubpara"/>
      </w:pPr>
      <w:r>
        <w:tab/>
        <w:t>(i)</w:t>
      </w:r>
      <w:r>
        <w:tab/>
        <w:t>the progress, conduct or findings of an investigation referred to in paragraph (b);</w:t>
      </w:r>
    </w:p>
    <w:p>
      <w:pPr>
        <w:pStyle w:val="Defsubpara"/>
      </w:pPr>
      <w:r>
        <w:tab/>
        <w:t>(ii)</w:t>
      </w:r>
      <w:r>
        <w:tab/>
        <w:t>any disciplinary or other action taken or not taken in relation to an employee of a relevant entity as a result of the findings of an investigation referred to in paragraph (b);</w:t>
      </w:r>
    </w:p>
    <w:p>
      <w:pPr>
        <w:pStyle w:val="Defsubpara"/>
      </w:pPr>
      <w:r>
        <w:tab/>
        <w:t>(iii)</w:t>
      </w:r>
      <w:r>
        <w:tab/>
        <w:t>any action taken, or proposed to be taken, by a relevant entity, as a result of the findings of an investigation referred to in paragraph (b), to improve the identification or prevention of reportable conduct, or the reporting, notification or investigation of reportable allegations and reportable convictions, involving employees of the relevant entity;</w:t>
      </w:r>
    </w:p>
    <w:p>
      <w:pPr>
        <w:pStyle w:val="Defstart"/>
      </w:pPr>
      <w:r>
        <w:tab/>
      </w:r>
      <w:r>
        <w:rPr>
          <w:rStyle w:val="CharDefText"/>
        </w:rPr>
        <w:t>physical assault</w:t>
      </w:r>
      <w:r>
        <w:t xml:space="preserve"> means — </w:t>
      </w:r>
    </w:p>
    <w:p>
      <w:pPr>
        <w:pStyle w:val="Defpara"/>
      </w:pPr>
      <w:r>
        <w:tab/>
        <w:t>(a)</w:t>
      </w:r>
      <w:r>
        <w:tab/>
        <w:t>the intentional or reckless application of physical force without lawful justification or excuse; or</w:t>
      </w:r>
    </w:p>
    <w:p>
      <w:pPr>
        <w:pStyle w:val="Defpara"/>
      </w:pPr>
      <w:r>
        <w:tab/>
        <w:t>(b)</w:t>
      </w:r>
      <w:r>
        <w:tab/>
        <w:t>any act that intentionally or recklessly causes another person to apprehend immediate and unlawful violence;</w:t>
      </w:r>
    </w:p>
    <w:p>
      <w:pPr>
        <w:pStyle w:val="Defstart"/>
      </w:pPr>
      <w:r>
        <w:tab/>
      </w:r>
      <w:r>
        <w:rPr>
          <w:rStyle w:val="CharDefText"/>
        </w:rPr>
        <w:t>sexual misconduct</w:t>
      </w:r>
      <w:r>
        <w:t xml:space="preserve"> — </w:t>
      </w:r>
    </w:p>
    <w:p>
      <w:pPr>
        <w:pStyle w:val="Defpara"/>
      </w:pPr>
      <w:r>
        <w:tab/>
        <w:t>(a)</w:t>
      </w:r>
      <w:r>
        <w:tab/>
        <w:t>includes misconduct against, with or in the presence of, a child that is sexual in nature; but</w:t>
      </w:r>
    </w:p>
    <w:p>
      <w:pPr>
        <w:pStyle w:val="Defpara"/>
      </w:pPr>
      <w:r>
        <w:tab/>
        <w:t>(b)</w:t>
      </w:r>
      <w:r>
        <w:tab/>
        <w:t>does not include a sexual offence;</w:t>
      </w:r>
    </w:p>
    <w:p>
      <w:pPr>
        <w:pStyle w:val="Defstart"/>
      </w:pPr>
      <w:r>
        <w:tab/>
      </w:r>
      <w:r>
        <w:rPr>
          <w:rStyle w:val="CharDefText"/>
        </w:rPr>
        <w:t>sexual offence</w:t>
      </w:r>
      <w:r>
        <w:t xml:space="preserve"> — </w:t>
      </w:r>
    </w:p>
    <w:p>
      <w:pPr>
        <w:pStyle w:val="Defpara"/>
      </w:pPr>
      <w:r>
        <w:tab/>
        <w:t>(a)</w:t>
      </w:r>
      <w:r>
        <w:tab/>
        <w:t xml:space="preserve">means an offence of a sexual nature under a law of this State, another State, a Territory or the Commonwealth, </w:t>
      </w:r>
      <w:r>
        <w:lastRenderedPageBreak/>
        <w:t>committed against, with or in the presence of, a child; and</w:t>
      </w:r>
    </w:p>
    <w:p>
      <w:pPr>
        <w:pStyle w:val="Defpara"/>
      </w:pPr>
      <w:r>
        <w:tab/>
        <w:t>(b)</w:t>
      </w:r>
      <w:r>
        <w:tab/>
        <w:t xml:space="preserve">includes, without limitation — </w:t>
      </w:r>
    </w:p>
    <w:p>
      <w:pPr>
        <w:pStyle w:val="Defsubpara"/>
      </w:pPr>
      <w:r>
        <w:tab/>
        <w:t>(i)</w:t>
      </w:r>
      <w:r>
        <w:tab/>
        <w:t xml:space="preserve">an offence under </w:t>
      </w:r>
      <w:r>
        <w:rPr>
          <w:i/>
          <w:iCs/>
        </w:rPr>
        <w:t>The Criminal Code</w:t>
      </w:r>
      <w:r>
        <w:t xml:space="preserve"> Chapter XXXI committed against, with or in the presence of, a child; and</w:t>
      </w:r>
    </w:p>
    <w:p>
      <w:pPr>
        <w:pStyle w:val="Defsubpara"/>
      </w:pPr>
      <w:r>
        <w:tab/>
        <w:t>(ii)</w:t>
      </w:r>
      <w:r>
        <w:tab/>
        <w:t xml:space="preserve">an offence of a sexual nature under </w:t>
      </w:r>
      <w:r>
        <w:rPr>
          <w:i/>
          <w:iCs/>
        </w:rPr>
        <w:t>The Criminal Code</w:t>
      </w:r>
      <w:r>
        <w:t xml:space="preserve"> Chapter XXV; and</w:t>
      </w:r>
    </w:p>
    <w:p>
      <w:pPr>
        <w:pStyle w:val="Defsubpara"/>
      </w:pPr>
      <w:r>
        <w:tab/>
        <w:t>(iii)</w:t>
      </w:r>
      <w:r>
        <w:tab/>
        <w:t xml:space="preserve">an offence of a sexual nature under any other provision of </w:t>
      </w:r>
      <w:r>
        <w:rPr>
          <w:i/>
          <w:iCs/>
        </w:rPr>
        <w:t>The Criminal Code</w:t>
      </w:r>
      <w:r>
        <w:t xml:space="preserve"> committed against, with or in the presence of, a child; and</w:t>
      </w:r>
    </w:p>
    <w:p>
      <w:pPr>
        <w:pStyle w:val="Defsubpara"/>
      </w:pPr>
      <w:r>
        <w:tab/>
        <w:t>(iv)</w:t>
      </w:r>
      <w:r>
        <w:tab/>
        <w:t>an offence under a law of another State, a Territory or the Commonwealth the elements of which, if they had occurred in this State, would have constituted an offence of a kind referred to in subparagraph (i), (ii) or (iii); and</w:t>
      </w:r>
    </w:p>
    <w:p>
      <w:pPr>
        <w:pStyle w:val="Defsubpara"/>
      </w:pPr>
      <w:r>
        <w:tab/>
        <w:t>(v)</w:t>
      </w:r>
      <w:r>
        <w:tab/>
        <w:t>an offence of attempting, or of conspiracy or incitement, to commit an offence of a kind referred to in subparagraphs (i) to (iv) or paragraph (a); and</w:t>
      </w:r>
    </w:p>
    <w:p>
      <w:pPr>
        <w:pStyle w:val="Defsubpara"/>
      </w:pPr>
      <w:r>
        <w:tab/>
        <w:t>(vi)</w:t>
      </w:r>
      <w:r>
        <w:tab/>
        <w:t>an offence that, at the time it was committed (whether before, on or after commencement day), was an offence of a kind referred to in paragraph (a).</w:t>
      </w:r>
    </w:p>
    <w:p>
      <w:pPr>
        <w:pStyle w:val="Footnotesection"/>
      </w:pPr>
      <w:r>
        <w:tab/>
        <w:t>[Section 19C inserted: No. 25 of 2022 s. 7.]</w:t>
      </w:r>
    </w:p>
    <w:p>
      <w:pPr>
        <w:pStyle w:val="Heading5"/>
      </w:pPr>
      <w:bookmarkStart w:id="81" w:name="_Toc174950813"/>
      <w:r>
        <w:rPr>
          <w:rStyle w:val="CharSectno"/>
        </w:rPr>
        <w:t>19D</w:t>
      </w:r>
      <w:r>
        <w:t>.</w:t>
      </w:r>
      <w:r>
        <w:tab/>
        <w:t>Employees of relevant entities</w:t>
      </w:r>
      <w:bookmarkEnd w:id="81"/>
    </w:p>
    <w:p>
      <w:pPr>
        <w:pStyle w:val="Subsection"/>
      </w:pPr>
      <w:r>
        <w:tab/>
        <w:t>(1)</w:t>
      </w:r>
      <w:r>
        <w:tab/>
        <w:t xml:space="preserve">An </w:t>
      </w:r>
      <w:r>
        <w:rPr>
          <w:rStyle w:val="CharDefText"/>
        </w:rPr>
        <w:t>employee</w:t>
      </w:r>
      <w:r>
        <w:t xml:space="preserve">, of a relevant entity, is an individual who has reached 18 years of age and is — </w:t>
      </w:r>
    </w:p>
    <w:p>
      <w:pPr>
        <w:pStyle w:val="Indenta"/>
      </w:pPr>
      <w:r>
        <w:tab/>
        <w:t>(a)</w:t>
      </w:r>
      <w:r>
        <w:tab/>
        <w:t>an officer or employee of the relevant entity, whether or not the individual’s work is in connection with any work or activities of the entity that relate to children; or</w:t>
      </w:r>
    </w:p>
    <w:p>
      <w:pPr>
        <w:pStyle w:val="Indenta"/>
      </w:pPr>
      <w:r>
        <w:lastRenderedPageBreak/>
        <w:tab/>
        <w:t>(b)</w:t>
      </w:r>
      <w:r>
        <w:tab/>
        <w:t>engaged by the entity to provide services to children, including as a volunteer or contractor; or</w:t>
      </w:r>
    </w:p>
    <w:p>
      <w:pPr>
        <w:pStyle w:val="Indenta"/>
      </w:pPr>
      <w:r>
        <w:tab/>
        <w:t>(c)</w:t>
      </w:r>
      <w:r>
        <w:tab/>
        <w:t>engaged by another person or body to provide services to children on behalf of the entity, including as a volunteer or contractor; or</w:t>
      </w:r>
    </w:p>
    <w:p>
      <w:pPr>
        <w:pStyle w:val="Indenta"/>
      </w:pPr>
      <w:r>
        <w:tab/>
        <w:t>(d)</w:t>
      </w:r>
      <w:r>
        <w:tab/>
        <w:t>engaged by the entity as a carer (as defined in the CCS Act section 3), whether for payment or not; or</w:t>
      </w:r>
    </w:p>
    <w:p>
      <w:pPr>
        <w:pStyle w:val="Indenta"/>
      </w:pPr>
      <w:r>
        <w:tab/>
        <w:t>(e)</w:t>
      </w:r>
      <w:r>
        <w:tab/>
        <w:t>a family day care educator or family day care educator assistant (as those terms are defined in the Education and Care Services National Law (Western Australia) section 5(1)) engaged by or registered with the entity.</w:t>
      </w:r>
    </w:p>
    <w:p>
      <w:pPr>
        <w:pStyle w:val="Subsection"/>
      </w:pPr>
      <w:r>
        <w:tab/>
        <w:t>(2)</w:t>
      </w:r>
      <w:r>
        <w:tab/>
        <w:t xml:space="preserve">For the purposes of subsection (1)(a), if the relevant entity is a religious body, a reference to an officer or employee — </w:t>
      </w:r>
    </w:p>
    <w:p>
      <w:pPr>
        <w:pStyle w:val="Indenta"/>
      </w:pPr>
      <w:r>
        <w:tab/>
        <w:t>(a)</w:t>
      </w:r>
      <w:r>
        <w:tab/>
        <w:t>includes a reference to a minister of religion and a religious leader of the religious body; but</w:t>
      </w:r>
    </w:p>
    <w:p>
      <w:pPr>
        <w:pStyle w:val="Indenta"/>
      </w:pPr>
      <w:r>
        <w:tab/>
        <w:t>(b)</w:t>
      </w:r>
      <w:r>
        <w:tab/>
        <w:t>does not include a reference to a person only because the person participates in worship.</w:t>
      </w:r>
    </w:p>
    <w:p>
      <w:pPr>
        <w:pStyle w:val="Subsection"/>
      </w:pPr>
      <w:r>
        <w:tab/>
        <w:t>(3)</w:t>
      </w:r>
      <w:r>
        <w:tab/>
        <w:t xml:space="preserve">For the purposes of subsection (1)(a), if the relevant entity is the Police Force of Western Australia, a reference to an officer or employee includes a reference to a person appointed under the </w:t>
      </w:r>
      <w:r>
        <w:rPr>
          <w:i/>
          <w:iCs/>
        </w:rPr>
        <w:t xml:space="preserve">Police Act 1892 </w:t>
      </w:r>
      <w:r>
        <w:rPr>
          <w:iCs/>
        </w:rPr>
        <w:t xml:space="preserve">Part I </w:t>
      </w:r>
      <w:r>
        <w:t>as an officer or constable of the Police Force.</w:t>
      </w:r>
    </w:p>
    <w:p>
      <w:pPr>
        <w:pStyle w:val="Subsection"/>
      </w:pPr>
      <w:r>
        <w:tab/>
        <w:t>(4)</w:t>
      </w:r>
      <w:r>
        <w:tab/>
        <w:t xml:space="preserve">For the purposes of subsection (1)(b) and (c), a reference to a contractor includes a reference to the following — </w:t>
      </w:r>
    </w:p>
    <w:p>
      <w:pPr>
        <w:pStyle w:val="Indenta"/>
      </w:pPr>
      <w:r>
        <w:tab/>
        <w:t>(a)</w:t>
      </w:r>
      <w:r>
        <w:tab/>
        <w:t xml:space="preserve">an officer of, or a person employed or engaged to work for, a contractor; </w:t>
      </w:r>
    </w:p>
    <w:p>
      <w:pPr>
        <w:pStyle w:val="Indenta"/>
      </w:pPr>
      <w:r>
        <w:tab/>
        <w:t>(b)</w:t>
      </w:r>
      <w:r>
        <w:tab/>
        <w:t xml:space="preserve">a subcontractor of a contractor; </w:t>
      </w:r>
    </w:p>
    <w:p>
      <w:pPr>
        <w:pStyle w:val="Indenta"/>
      </w:pPr>
      <w:r>
        <w:tab/>
        <w:t>(c)</w:t>
      </w:r>
      <w:r>
        <w:tab/>
        <w:t xml:space="preserve">an officer of, or a person employed or engaged to work for, a subcontractor; </w:t>
      </w:r>
    </w:p>
    <w:p>
      <w:pPr>
        <w:pStyle w:val="Indenta"/>
      </w:pPr>
      <w:r>
        <w:tab/>
        <w:t>(d)</w:t>
      </w:r>
      <w:r>
        <w:tab/>
        <w:t>a volunteer working for a contractor or a subcontractor.</w:t>
      </w:r>
    </w:p>
    <w:p>
      <w:pPr>
        <w:pStyle w:val="Footnotesection"/>
      </w:pPr>
      <w:r>
        <w:tab/>
        <w:t>[Section 19D inserted: No. 25 of 2022 s. 7.]</w:t>
      </w:r>
    </w:p>
    <w:p>
      <w:pPr>
        <w:pStyle w:val="Heading5"/>
      </w:pPr>
      <w:bookmarkStart w:id="82" w:name="_Toc174950814"/>
      <w:r>
        <w:rPr>
          <w:rStyle w:val="CharSectno"/>
        </w:rPr>
        <w:lastRenderedPageBreak/>
        <w:t>19E</w:t>
      </w:r>
      <w:r>
        <w:t>.</w:t>
      </w:r>
      <w:r>
        <w:tab/>
        <w:t>Head of a relevant entity</w:t>
      </w:r>
      <w:bookmarkEnd w:id="82"/>
    </w:p>
    <w:p>
      <w:pPr>
        <w:pStyle w:val="Subsection"/>
      </w:pPr>
      <w:r>
        <w:tab/>
        <w:t>(1)</w:t>
      </w:r>
      <w:r>
        <w:tab/>
        <w:t xml:space="preserve">The </w:t>
      </w:r>
      <w:r>
        <w:rPr>
          <w:rStyle w:val="CharDefText"/>
        </w:rPr>
        <w:t>head</w:t>
      </w:r>
      <w:r>
        <w:t xml:space="preserve"> of a relevant entity that is a department or an organisation, as those terms are defined in the </w:t>
      </w:r>
      <w:r>
        <w:rPr>
          <w:i/>
        </w:rPr>
        <w:t xml:space="preserve">Public Sector Management Act 1994 </w:t>
      </w:r>
      <w:r>
        <w:t xml:space="preserve">section 3(1), is — </w:t>
      </w:r>
    </w:p>
    <w:p>
      <w:pPr>
        <w:pStyle w:val="Indenta"/>
      </w:pPr>
      <w:r>
        <w:tab/>
        <w:t>(a)</w:t>
      </w:r>
      <w:r>
        <w:tab/>
        <w:t xml:space="preserve">the chief executive officer or chief employee of the department or organisation; or </w:t>
      </w:r>
    </w:p>
    <w:p>
      <w:pPr>
        <w:pStyle w:val="Indenta"/>
      </w:pPr>
      <w:r>
        <w:tab/>
        <w:t>(b)</w:t>
      </w:r>
      <w:r>
        <w:tab/>
        <w:t>the delegate of the chief executive officer or the chief employee of the department or organisation.</w:t>
      </w:r>
    </w:p>
    <w:p>
      <w:pPr>
        <w:pStyle w:val="Subsection"/>
      </w:pPr>
      <w:r>
        <w:tab/>
        <w:t>(2)</w:t>
      </w:r>
      <w:r>
        <w:tab/>
        <w:t xml:space="preserve">The </w:t>
      </w:r>
      <w:r>
        <w:rPr>
          <w:rStyle w:val="CharDefText"/>
        </w:rPr>
        <w:t>head</w:t>
      </w:r>
      <w:r>
        <w:t xml:space="preserve"> of a relevant entity that is an authority, other than a department or an organisation referred to in subsection (1) is — </w:t>
      </w:r>
    </w:p>
    <w:p>
      <w:pPr>
        <w:pStyle w:val="Indenta"/>
      </w:pPr>
      <w:r>
        <w:tab/>
        <w:t>(a)</w:t>
      </w:r>
      <w:r>
        <w:tab/>
        <w:t>the chief executive officer of the authority; or</w:t>
      </w:r>
    </w:p>
    <w:p>
      <w:pPr>
        <w:pStyle w:val="Indenta"/>
      </w:pPr>
      <w:r>
        <w:tab/>
        <w:t>(b)</w:t>
      </w:r>
      <w:r>
        <w:tab/>
        <w:t>if there is no chief executive officer — the president, chairperson or other principal or presiding member of the authority, or if the authority is constituted by a single person, that person; or</w:t>
      </w:r>
    </w:p>
    <w:p>
      <w:pPr>
        <w:pStyle w:val="Indenta"/>
      </w:pPr>
      <w:r>
        <w:tab/>
        <w:t>(c)</w:t>
      </w:r>
      <w:r>
        <w:tab/>
        <w:t>the delegate of a person referred to in paragraph (a) or (b).</w:t>
      </w:r>
    </w:p>
    <w:p>
      <w:pPr>
        <w:pStyle w:val="Subsection"/>
      </w:pPr>
      <w:r>
        <w:tab/>
        <w:t>(3)</w:t>
      </w:r>
      <w:r>
        <w:tab/>
        <w:t xml:space="preserve">The </w:t>
      </w:r>
      <w:r>
        <w:rPr>
          <w:rStyle w:val="CharDefText"/>
        </w:rPr>
        <w:t>head</w:t>
      </w:r>
      <w:r>
        <w:t xml:space="preserve"> of a relevant entity that is not a department, organisation or authority referred to in subsection (1) or (2) is — </w:t>
      </w:r>
    </w:p>
    <w:p>
      <w:pPr>
        <w:pStyle w:val="Indenta"/>
      </w:pPr>
      <w:r>
        <w:tab/>
        <w:t>(a)</w:t>
      </w:r>
      <w:r>
        <w:tab/>
        <w:t>the chief executive officer of the relevant entity (however described); or</w:t>
      </w:r>
    </w:p>
    <w:p>
      <w:pPr>
        <w:pStyle w:val="Indenta"/>
      </w:pPr>
      <w:r>
        <w:tab/>
        <w:t>(b)</w:t>
      </w:r>
      <w:r>
        <w:tab/>
        <w:t>if there is no chief executive officer — the principal officer of the relevant entity (however described); or</w:t>
      </w:r>
    </w:p>
    <w:p>
      <w:pPr>
        <w:pStyle w:val="Indenta"/>
      </w:pPr>
      <w:r>
        <w:tab/>
        <w:t>(c)</w:t>
      </w:r>
      <w:r>
        <w:tab/>
        <w:t>if there is no chief executive officer or principal officer of the relevant entity — a person, or the holder of a position, in the relevant entity nominated by the entity and approved by the Commissioner under section 19Q; or</w:t>
      </w:r>
    </w:p>
    <w:p>
      <w:pPr>
        <w:pStyle w:val="Indenta"/>
      </w:pPr>
      <w:r>
        <w:tab/>
        <w:t>(d)</w:t>
      </w:r>
      <w:r>
        <w:tab/>
        <w:t>the delegate of a person referred to in paragraph (a), (b) or (c).</w:t>
      </w:r>
    </w:p>
    <w:p>
      <w:pPr>
        <w:pStyle w:val="Subsection"/>
      </w:pPr>
      <w:r>
        <w:lastRenderedPageBreak/>
        <w:tab/>
        <w:t>(4)</w:t>
      </w:r>
      <w:r>
        <w:tab/>
        <w:t>The regulations may prescribe a person or class of persons to be the head of a relevant entity.</w:t>
      </w:r>
    </w:p>
    <w:p>
      <w:pPr>
        <w:pStyle w:val="Subsection"/>
      </w:pPr>
      <w:r>
        <w:tab/>
        <w:t>(5)</w:t>
      </w:r>
      <w:r>
        <w:tab/>
        <w:t>Regulations referred to in subsection (4) have effect despite subsections (1), (2) and (3).</w:t>
      </w:r>
    </w:p>
    <w:p>
      <w:pPr>
        <w:pStyle w:val="Footnotesection"/>
      </w:pPr>
      <w:r>
        <w:tab/>
        <w:t>[Section 19E inserted: No. 25 of 2022 s. 7.]</w:t>
      </w:r>
    </w:p>
    <w:p>
      <w:pPr>
        <w:pStyle w:val="Heading5"/>
      </w:pPr>
      <w:bookmarkStart w:id="83" w:name="_Toc174950815"/>
      <w:r>
        <w:rPr>
          <w:rStyle w:val="CharSectno"/>
        </w:rPr>
        <w:t>19F</w:t>
      </w:r>
      <w:r>
        <w:t>.</w:t>
      </w:r>
      <w:r>
        <w:tab/>
        <w:t>Reportable allegation</w:t>
      </w:r>
      <w:bookmarkEnd w:id="83"/>
    </w:p>
    <w:p>
      <w:pPr>
        <w:pStyle w:val="Subsection"/>
      </w:pPr>
      <w:r>
        <w:tab/>
        <w:t>(1)</w:t>
      </w:r>
      <w:r>
        <w:tab/>
        <w:t xml:space="preserve">A </w:t>
      </w:r>
      <w:r>
        <w:rPr>
          <w:rStyle w:val="CharDefText"/>
        </w:rPr>
        <w:t>reportable allegation</w:t>
      </w:r>
      <w:r>
        <w:t xml:space="preserve"> is any information that leads a person to form the belief on reasonable grounds that an employee of a relevant entity has engaged in reportable conduct or conduct that may involve reportable conduct, whether or not the conduct is alleged to have occurred in the course of the employee’s employment.</w:t>
      </w:r>
    </w:p>
    <w:p>
      <w:pPr>
        <w:pStyle w:val="Subsection"/>
      </w:pPr>
      <w:r>
        <w:tab/>
        <w:t>(2)</w:t>
      </w:r>
      <w:r>
        <w:tab/>
        <w:t xml:space="preserve">However, a </w:t>
      </w:r>
      <w:r>
        <w:rPr>
          <w:rStyle w:val="CharDefText"/>
        </w:rPr>
        <w:t>reportable allegation</w:t>
      </w:r>
      <w:r>
        <w:t xml:space="preserve"> does not include information relating to a reportable conviction.</w:t>
      </w:r>
    </w:p>
    <w:p>
      <w:pPr>
        <w:pStyle w:val="Footnotesection"/>
      </w:pPr>
      <w:r>
        <w:tab/>
        <w:t>[Section 19F inserted: No. 25 of 2022 s. 7.]</w:t>
      </w:r>
    </w:p>
    <w:p>
      <w:pPr>
        <w:pStyle w:val="Heading5"/>
      </w:pPr>
      <w:bookmarkStart w:id="84" w:name="_Toc174950816"/>
      <w:r>
        <w:rPr>
          <w:rStyle w:val="CharSectno"/>
        </w:rPr>
        <w:t>19G</w:t>
      </w:r>
      <w:r>
        <w:t>.</w:t>
      </w:r>
      <w:r>
        <w:tab/>
        <w:t>Reportable conduct</w:t>
      </w:r>
      <w:bookmarkEnd w:id="84"/>
    </w:p>
    <w:p>
      <w:pPr>
        <w:pStyle w:val="Subsection"/>
      </w:pPr>
      <w:r>
        <w:tab/>
        <w:t>(1)</w:t>
      </w:r>
      <w:r>
        <w:tab/>
      </w:r>
      <w:r>
        <w:rPr>
          <w:rStyle w:val="CharDefText"/>
        </w:rPr>
        <w:t>Reportable conduct</w:t>
      </w:r>
      <w:r>
        <w:t xml:space="preserve"> is the following conduct, whether or not a criminal proceeding in relation to the conduct has been commenced or concluded and whether the conduct occurred before, on or after commencement day — </w:t>
      </w:r>
    </w:p>
    <w:p>
      <w:pPr>
        <w:pStyle w:val="Indenta"/>
      </w:pPr>
      <w:r>
        <w:tab/>
        <w:t>(a)</w:t>
      </w:r>
      <w:r>
        <w:tab/>
        <w:t>a sexual offence;</w:t>
      </w:r>
    </w:p>
    <w:p>
      <w:pPr>
        <w:pStyle w:val="Indenta"/>
      </w:pPr>
      <w:r>
        <w:tab/>
        <w:t>(b)</w:t>
      </w:r>
      <w:r>
        <w:tab/>
        <w:t>sexual misconduct;</w:t>
      </w:r>
    </w:p>
    <w:p>
      <w:pPr>
        <w:pStyle w:val="Indenta"/>
      </w:pPr>
      <w:r>
        <w:tab/>
        <w:t>(c)</w:t>
      </w:r>
      <w:r>
        <w:tab/>
        <w:t>a physical assault committed against, with or in the presence of, a child;</w:t>
      </w:r>
    </w:p>
    <w:p>
      <w:pPr>
        <w:pStyle w:val="Indenta"/>
      </w:pPr>
      <w:r>
        <w:tab/>
        <w:t>(ca)</w:t>
      </w:r>
      <w:r>
        <w:tab/>
        <w:t>significant neglect of a child;</w:t>
      </w:r>
    </w:p>
    <w:p>
      <w:pPr>
        <w:pStyle w:val="Indenta"/>
      </w:pPr>
      <w:r>
        <w:tab/>
        <w:t>(cb)</w:t>
      </w:r>
      <w:r>
        <w:tab/>
        <w:t>any behaviour that causes significant emotional or psychological harm to a child;</w:t>
      </w:r>
    </w:p>
    <w:p>
      <w:pPr>
        <w:pStyle w:val="Indenta"/>
      </w:pPr>
      <w:r>
        <w:tab/>
        <w:t>(d)</w:t>
      </w:r>
      <w:r>
        <w:tab/>
        <w:t>an offence prescribed by the regulations for the purposes of this paragraph.</w:t>
      </w:r>
    </w:p>
    <w:p>
      <w:pPr>
        <w:pStyle w:val="Subsection"/>
      </w:pPr>
      <w:r>
        <w:lastRenderedPageBreak/>
        <w:tab/>
        <w:t>(2)</w:t>
      </w:r>
      <w:r>
        <w:tab/>
        <w:t xml:space="preserve">However, </w:t>
      </w:r>
      <w:r>
        <w:rPr>
          <w:rStyle w:val="CharDefText"/>
        </w:rPr>
        <w:t>reportable conduct</w:t>
      </w:r>
      <w:r>
        <w:t xml:space="preserve"> does not include conduct that is — </w:t>
      </w:r>
    </w:p>
    <w:p>
      <w:pPr>
        <w:pStyle w:val="Indenta"/>
      </w:pPr>
      <w:r>
        <w:tab/>
        <w:t>(a)</w:t>
      </w:r>
      <w:r>
        <w:tab/>
        <w:t>reasonable for the discipline, management or care of a child or of another person in the presence of a child, having regard to —</w:t>
      </w:r>
    </w:p>
    <w:p>
      <w:pPr>
        <w:pStyle w:val="Indenti"/>
      </w:pPr>
      <w:r>
        <w:tab/>
        <w:t>(i)</w:t>
      </w:r>
      <w:r>
        <w:tab/>
        <w:t>the characteristics of the child, including the age, health and developmental stage of the child; and</w:t>
      </w:r>
    </w:p>
    <w:p>
      <w:pPr>
        <w:pStyle w:val="Indenti"/>
      </w:pPr>
      <w:r>
        <w:tab/>
        <w:t xml:space="preserve">(ii) </w:t>
      </w:r>
      <w:r>
        <w:tab/>
        <w:t>any relevant code of conduct or professional standard that at the time applied to the discipline, management or care of the child or the other person;</w:t>
      </w:r>
    </w:p>
    <w:p>
      <w:pPr>
        <w:pStyle w:val="Indenta"/>
      </w:pPr>
      <w:r>
        <w:tab/>
      </w:r>
      <w:r>
        <w:tab/>
        <w:t>or</w:t>
      </w:r>
    </w:p>
    <w:p>
      <w:pPr>
        <w:pStyle w:val="Indenta"/>
      </w:pPr>
      <w:r>
        <w:tab/>
        <w:t>(b)</w:t>
      </w:r>
      <w:r>
        <w:tab/>
        <w:t>trivial or negligible and that has been or will be investigated and recorded as part of another workplace procedure; or</w:t>
      </w:r>
    </w:p>
    <w:p>
      <w:pPr>
        <w:pStyle w:val="Indenta"/>
      </w:pPr>
      <w:r>
        <w:tab/>
        <w:t>(c)</w:t>
      </w:r>
      <w:r>
        <w:tab/>
        <w:t>of a class or kind exempt from being reportable conduct under section 19N(1).</w:t>
      </w:r>
    </w:p>
    <w:p>
      <w:pPr>
        <w:pStyle w:val="Subsection"/>
      </w:pPr>
      <w:r>
        <w:tab/>
        <w:t>(3)</w:t>
      </w:r>
      <w:r>
        <w:tab/>
        <w:t xml:space="preserve">For the purposes of this section, </w:t>
      </w:r>
      <w:r>
        <w:rPr>
          <w:rStyle w:val="CharDefText"/>
        </w:rPr>
        <w:t>conduct</w:t>
      </w:r>
      <w:r>
        <w:t xml:space="preserve"> includes an act or omission.</w:t>
      </w:r>
    </w:p>
    <w:p>
      <w:pPr>
        <w:pStyle w:val="Footnotesection"/>
      </w:pPr>
      <w:r>
        <w:tab/>
        <w:t>[Section 19G inserted: No. 25 of 2022 s. 7; amended: No. 25 of 2022 s. 26.]</w:t>
      </w:r>
    </w:p>
    <w:p>
      <w:pPr>
        <w:pStyle w:val="Heading5"/>
      </w:pPr>
      <w:bookmarkStart w:id="85" w:name="_Toc174950817"/>
      <w:r>
        <w:rPr>
          <w:rStyle w:val="CharSectno"/>
        </w:rPr>
        <w:t>19H</w:t>
      </w:r>
      <w:r>
        <w:t>.</w:t>
      </w:r>
      <w:r>
        <w:tab/>
        <w:t>Reportable conviction</w:t>
      </w:r>
      <w:bookmarkEnd w:id="85"/>
    </w:p>
    <w:p>
      <w:pPr>
        <w:pStyle w:val="Subsection"/>
      </w:pPr>
      <w:r>
        <w:tab/>
        <w:t>(1)</w:t>
      </w:r>
      <w:r>
        <w:tab/>
        <w:t xml:space="preserve">A </w:t>
      </w:r>
      <w:r>
        <w:rPr>
          <w:rStyle w:val="CharDefText"/>
        </w:rPr>
        <w:t>reportable conviction</w:t>
      </w:r>
      <w:r>
        <w:t xml:space="preserve"> is a conviction, whether before, on or after commencement day, for an offence under a law of this State, another State, a Territory or the Commonwealth that is an offence referred to in section 19G(1)(a) or (d).</w:t>
      </w:r>
    </w:p>
    <w:p>
      <w:pPr>
        <w:pStyle w:val="Subsection"/>
      </w:pPr>
      <w:r>
        <w:tab/>
        <w:t>(2)</w:t>
      </w:r>
      <w:r>
        <w:tab/>
        <w:t xml:space="preserve">For the purposes of subsection (1), a </w:t>
      </w:r>
      <w:r>
        <w:rPr>
          <w:rStyle w:val="CharDefText"/>
          <w:rFonts w:eastAsia="Arial Unicode MS"/>
        </w:rPr>
        <w:t>conviction</w:t>
      </w:r>
      <w:r>
        <w:t xml:space="preserve"> for an offence committed by a person is a reference to any of the following — </w:t>
      </w:r>
    </w:p>
    <w:p>
      <w:pPr>
        <w:pStyle w:val="Indenta"/>
      </w:pPr>
      <w:r>
        <w:tab/>
        <w:t>(a)</w:t>
      </w:r>
      <w:r>
        <w:tab/>
        <w:t>a court making a formal finding of guilt in relation to the offence;</w:t>
      </w:r>
    </w:p>
    <w:p>
      <w:pPr>
        <w:pStyle w:val="Indenta"/>
      </w:pPr>
      <w:r>
        <w:lastRenderedPageBreak/>
        <w:tab/>
        <w:t>(b)</w:t>
      </w:r>
      <w:r>
        <w:tab/>
        <w:t>if there has been no formal finding of guilt before conviction — a court convicting the person of the offence;</w:t>
      </w:r>
    </w:p>
    <w:p>
      <w:pPr>
        <w:pStyle w:val="Indenta"/>
      </w:pPr>
      <w:r>
        <w:tab/>
        <w:t>(c)</w:t>
      </w:r>
      <w:r>
        <w:tab/>
        <w:t>a court accepting a plea of guilty from the person in relation to the offence;</w:t>
      </w:r>
    </w:p>
    <w:p>
      <w:pPr>
        <w:pStyle w:val="Indenta"/>
      </w:pPr>
      <w:r>
        <w:tab/>
        <w:t>(d)</w:t>
      </w:r>
      <w:r>
        <w:tab/>
        <w:t xml:space="preserve">a court acquitting the person following a finding under </w:t>
      </w:r>
      <w:r>
        <w:rPr>
          <w:i/>
        </w:rPr>
        <w:t>The Criminal Code</w:t>
      </w:r>
      <w:r>
        <w:t xml:space="preserve"> section 27 that the person is not guilty of the offence on account of unsoundness of mind or an acquittal following an equivalent finding under a law of another State, a Territory or the Commonwealth.</w:t>
      </w:r>
    </w:p>
    <w:p>
      <w:pPr>
        <w:pStyle w:val="Subsection"/>
        <w:rPr>
          <w:rFonts w:eastAsia="Arial Unicode MS"/>
        </w:rPr>
      </w:pPr>
      <w:r>
        <w:rPr>
          <w:rFonts w:eastAsia="Arial Unicode MS"/>
        </w:rPr>
        <w:tab/>
        <w:t>(3)</w:t>
      </w:r>
      <w:r>
        <w:rPr>
          <w:rFonts w:eastAsia="Arial Unicode MS"/>
        </w:rPr>
        <w:tab/>
        <w:t xml:space="preserve">For the purposes of subsection (1), a reference to a </w:t>
      </w:r>
      <w:r>
        <w:rPr>
          <w:rStyle w:val="CharDefText"/>
          <w:rFonts w:eastAsia="Arial Unicode MS"/>
        </w:rPr>
        <w:t>conviction</w:t>
      </w:r>
      <w:r>
        <w:rPr>
          <w:rFonts w:eastAsia="Arial Unicode MS"/>
        </w:rPr>
        <w:t xml:space="preserve"> includes a reference to a conviction that is a spent conviction.</w:t>
      </w:r>
    </w:p>
    <w:p>
      <w:pPr>
        <w:pStyle w:val="Subsection"/>
      </w:pPr>
      <w:r>
        <w:tab/>
        <w:t>(4)</w:t>
      </w:r>
      <w:r>
        <w:tab/>
        <w:t>For the purposes of subsection (3), an offence becomes spent if, under a law of this State, another State, a Territory or the Commonwealth, the person concerned is permitted not to disclose the fact that the person was convicted or found guilty of the offence.</w:t>
      </w:r>
    </w:p>
    <w:p>
      <w:pPr>
        <w:pStyle w:val="Subsection"/>
      </w:pPr>
      <w:r>
        <w:tab/>
        <w:t>(5)</w:t>
      </w:r>
      <w:r>
        <w:tab/>
        <w:t xml:space="preserve">For the purposes of subsection (1), a reference to a </w:t>
      </w:r>
      <w:r>
        <w:rPr>
          <w:rStyle w:val="CharDefText"/>
        </w:rPr>
        <w:t>conviction</w:t>
      </w:r>
      <w:r>
        <w:t xml:space="preserve"> does not include a reference to a conviction that is subsequently quashed or set aside by a court.</w:t>
      </w:r>
    </w:p>
    <w:p>
      <w:pPr>
        <w:pStyle w:val="Footnotesection"/>
      </w:pPr>
      <w:r>
        <w:tab/>
        <w:t>[Section 19H inserted: No. 25 of 2022 s. 7.]</w:t>
      </w:r>
    </w:p>
    <w:p>
      <w:pPr>
        <w:pStyle w:val="Heading5"/>
      </w:pPr>
      <w:bookmarkStart w:id="86" w:name="_Toc174950818"/>
      <w:r>
        <w:rPr>
          <w:rStyle w:val="CharSectno"/>
        </w:rPr>
        <w:t>19I</w:t>
      </w:r>
      <w:r>
        <w:t>.</w:t>
      </w:r>
      <w:r>
        <w:tab/>
        <w:t>Entities to which reportable conduct scheme applies</w:t>
      </w:r>
      <w:bookmarkEnd w:id="86"/>
    </w:p>
    <w:p>
      <w:pPr>
        <w:pStyle w:val="Subsection"/>
      </w:pPr>
      <w:r>
        <w:tab/>
      </w:r>
      <w:r>
        <w:tab/>
        <w:t xml:space="preserve">The reportable conduct scheme applies to an entity set out in column 2 of Schedule 2 that — </w:t>
      </w:r>
    </w:p>
    <w:p>
      <w:pPr>
        <w:pStyle w:val="Indenta"/>
      </w:pPr>
      <w:r>
        <w:tab/>
        <w:t>(a)</w:t>
      </w:r>
      <w:r>
        <w:tab/>
        <w:t>exercises care, supervision or authority over children as part of its primary functions or otherwise; and</w:t>
      </w:r>
    </w:p>
    <w:p>
      <w:pPr>
        <w:pStyle w:val="Indenta"/>
      </w:pPr>
      <w:r>
        <w:tab/>
        <w:t>(b)</w:t>
      </w:r>
      <w:r>
        <w:tab/>
        <w:t>is not exempt under section 19O(1).</w:t>
      </w:r>
    </w:p>
    <w:p>
      <w:pPr>
        <w:pStyle w:val="Footnotesection"/>
      </w:pPr>
      <w:r>
        <w:tab/>
        <w:t>[Section 19I inserted: No. 25 of 2022 s. 7.]</w:t>
      </w:r>
    </w:p>
    <w:p>
      <w:pPr>
        <w:pStyle w:val="Heading5"/>
      </w:pPr>
      <w:bookmarkStart w:id="87" w:name="_Toc174950819"/>
      <w:r>
        <w:rPr>
          <w:rStyle w:val="CharSectno"/>
        </w:rPr>
        <w:lastRenderedPageBreak/>
        <w:t>19J</w:t>
      </w:r>
      <w:r>
        <w:t>.</w:t>
      </w:r>
      <w:r>
        <w:tab/>
        <w:t>Object and principles</w:t>
      </w:r>
      <w:bookmarkEnd w:id="87"/>
    </w:p>
    <w:p>
      <w:pPr>
        <w:pStyle w:val="Subsection"/>
      </w:pPr>
      <w:r>
        <w:tab/>
        <w:t>(1)</w:t>
      </w:r>
      <w:r>
        <w:tab/>
        <w:t xml:space="preserve">The object of this Division is to protect children from harm by establishing and implementing a scheme for — </w:t>
      </w:r>
    </w:p>
    <w:p>
      <w:pPr>
        <w:pStyle w:val="Indenta"/>
      </w:pPr>
      <w:r>
        <w:tab/>
        <w:t>(a)</w:t>
      </w:r>
      <w:r>
        <w:tab/>
        <w:t>preventing reportable conduct; and</w:t>
      </w:r>
    </w:p>
    <w:p>
      <w:pPr>
        <w:pStyle w:val="Indenta"/>
      </w:pPr>
      <w:r>
        <w:tab/>
        <w:t>(b)</w:t>
      </w:r>
      <w:r>
        <w:tab/>
        <w:t>reporting, notifying and investigating reportable allegations and reportable convictions; and</w:t>
      </w:r>
    </w:p>
    <w:p>
      <w:pPr>
        <w:pStyle w:val="Indenta"/>
      </w:pPr>
      <w:r>
        <w:tab/>
        <w:t>(c)</w:t>
      </w:r>
      <w:r>
        <w:tab/>
        <w:t>taking appropriate action in response to findings of reportable conduct.</w:t>
      </w:r>
    </w:p>
    <w:p>
      <w:pPr>
        <w:pStyle w:val="Subsection"/>
      </w:pPr>
      <w:r>
        <w:tab/>
        <w:t>(2)</w:t>
      </w:r>
      <w:r>
        <w:tab/>
        <w:t xml:space="preserve">The reportable conduct scheme is based on the principles that — </w:t>
      </w:r>
    </w:p>
    <w:p>
      <w:pPr>
        <w:pStyle w:val="Indenta"/>
      </w:pPr>
      <w:r>
        <w:tab/>
        <w:t>(a)</w:t>
      </w:r>
      <w:r>
        <w:tab/>
        <w:t xml:space="preserve">if a child is able to form views on a matter concerning a reportable allegation or reportable conviction and it is appropriate in the circumstances to consult the child — </w:t>
      </w:r>
    </w:p>
    <w:p>
      <w:pPr>
        <w:pStyle w:val="Indenti"/>
      </w:pPr>
      <w:r>
        <w:tab/>
        <w:t>(i)</w:t>
      </w:r>
      <w:r>
        <w:tab/>
        <w:t>the child must be given the opportunity to express the views freely; and</w:t>
      </w:r>
    </w:p>
    <w:p>
      <w:pPr>
        <w:pStyle w:val="Indenti"/>
        <w:keepNext/>
      </w:pPr>
      <w:r>
        <w:tab/>
        <w:t>(ii)</w:t>
      </w:r>
      <w:r>
        <w:tab/>
        <w:t>the views are to be given due weight in the investigation in accordance with the developmental capacity of the child and the circumstances;</w:t>
      </w:r>
    </w:p>
    <w:p>
      <w:pPr>
        <w:pStyle w:val="Indenta"/>
      </w:pPr>
      <w:r>
        <w:tab/>
      </w:r>
      <w:r>
        <w:tab/>
        <w:t>and</w:t>
      </w:r>
    </w:p>
    <w:p>
      <w:pPr>
        <w:pStyle w:val="Indenta"/>
      </w:pPr>
      <w:r>
        <w:tab/>
        <w:t>(b)</w:t>
      </w:r>
      <w:r>
        <w:tab/>
        <w:t>criminal conduct or suspected criminal conduct should be reported to the police; and</w:t>
      </w:r>
    </w:p>
    <w:p>
      <w:pPr>
        <w:pStyle w:val="Indenta"/>
      </w:pPr>
      <w:r>
        <w:tab/>
        <w:t>(c)</w:t>
      </w:r>
      <w:r>
        <w:tab/>
        <w:t>the Commissioner and others involved in the reportable conduct scheme should work in collaboration to ensure a fair process is used in the investigation of reportable allegations and reportable convictions; and</w:t>
      </w:r>
    </w:p>
    <w:p>
      <w:pPr>
        <w:pStyle w:val="Indenta"/>
      </w:pPr>
      <w:r>
        <w:tab/>
        <w:t>(d)</w:t>
      </w:r>
      <w:r>
        <w:tab/>
        <w:t>employees who are the subject of reportable allegations are entitled to be afforded natural justice in investigations into their conduct.</w:t>
      </w:r>
    </w:p>
    <w:p>
      <w:pPr>
        <w:pStyle w:val="Footnotesection"/>
      </w:pPr>
      <w:r>
        <w:tab/>
        <w:t>[Section 19J inserted: No. 25 of 2022 s. 7.]</w:t>
      </w:r>
    </w:p>
    <w:p>
      <w:pPr>
        <w:pStyle w:val="Heading5"/>
      </w:pPr>
      <w:bookmarkStart w:id="88" w:name="_Toc174950820"/>
      <w:r>
        <w:rPr>
          <w:rStyle w:val="CharSectno"/>
        </w:rPr>
        <w:lastRenderedPageBreak/>
        <w:t>19K</w:t>
      </w:r>
      <w:r>
        <w:t>.</w:t>
      </w:r>
      <w:r>
        <w:tab/>
        <w:t>Paramount consideration</w:t>
      </w:r>
      <w:bookmarkEnd w:id="88"/>
    </w:p>
    <w:p>
      <w:pPr>
        <w:pStyle w:val="Subsection"/>
      </w:pPr>
      <w:r>
        <w:tab/>
      </w:r>
      <w:r>
        <w:tab/>
        <w:t>The Commissioner and any other person performing functions under this Division must regard the best interests of children as the paramount consideration.</w:t>
      </w:r>
    </w:p>
    <w:p>
      <w:pPr>
        <w:pStyle w:val="Footnotesection"/>
      </w:pPr>
      <w:r>
        <w:tab/>
        <w:t>[Section 19K inserted: No. 25 of 2022 s. 7.]</w:t>
      </w:r>
    </w:p>
    <w:p>
      <w:pPr>
        <w:pStyle w:val="Heading5"/>
      </w:pPr>
      <w:bookmarkStart w:id="89" w:name="_Toc174950821"/>
      <w:r>
        <w:rPr>
          <w:rStyle w:val="CharSectno"/>
        </w:rPr>
        <w:t>19L</w:t>
      </w:r>
      <w:r>
        <w:t>.</w:t>
      </w:r>
      <w:r>
        <w:tab/>
        <w:t>Certain provisions not applicable if entity is agent of Crown</w:t>
      </w:r>
      <w:bookmarkEnd w:id="89"/>
    </w:p>
    <w:p>
      <w:pPr>
        <w:pStyle w:val="Subsection"/>
      </w:pPr>
      <w:r>
        <w:tab/>
      </w:r>
      <w:r>
        <w:tab/>
        <w:t>Sections 19U(6), 19W(7), 19Z(4) and 19ZC(4) do not apply if the relevant entity is an agent of the Crown.</w:t>
      </w:r>
    </w:p>
    <w:p>
      <w:pPr>
        <w:pStyle w:val="Footnotesection"/>
      </w:pPr>
      <w:r>
        <w:tab/>
        <w:t>[Section 19L inserted: No. 25 of 2022 s. 7.]</w:t>
      </w:r>
    </w:p>
    <w:p>
      <w:pPr>
        <w:pStyle w:val="Heading4"/>
      </w:pPr>
      <w:bookmarkStart w:id="90" w:name="_Toc153965034"/>
      <w:bookmarkStart w:id="91" w:name="_Toc153968692"/>
      <w:bookmarkStart w:id="92" w:name="_Toc153978089"/>
      <w:bookmarkStart w:id="93" w:name="_Toc174718074"/>
      <w:bookmarkStart w:id="94" w:name="_Toc174718719"/>
      <w:bookmarkStart w:id="95" w:name="_Toc174718825"/>
      <w:bookmarkStart w:id="96" w:name="_Toc174950822"/>
      <w:r>
        <w:t>Subdivision 2 — Role of Commissioner</w:t>
      </w:r>
      <w:bookmarkEnd w:id="90"/>
      <w:bookmarkEnd w:id="91"/>
      <w:bookmarkEnd w:id="92"/>
      <w:bookmarkEnd w:id="93"/>
      <w:bookmarkEnd w:id="94"/>
      <w:bookmarkEnd w:id="95"/>
      <w:bookmarkEnd w:id="96"/>
    </w:p>
    <w:p>
      <w:pPr>
        <w:pStyle w:val="Footnoteheading"/>
      </w:pPr>
      <w:r>
        <w:tab/>
        <w:t>[Heading inserted: No. 25 of 2022 s. 7.]</w:t>
      </w:r>
    </w:p>
    <w:p>
      <w:pPr>
        <w:pStyle w:val="Heading5"/>
      </w:pPr>
      <w:bookmarkStart w:id="97" w:name="_Toc174950823"/>
      <w:r>
        <w:rPr>
          <w:rStyle w:val="CharSectno"/>
        </w:rPr>
        <w:t>19M</w:t>
      </w:r>
      <w:r>
        <w:t>.</w:t>
      </w:r>
      <w:r>
        <w:tab/>
        <w:t>Functions of Commissioner in relation to scheme</w:t>
      </w:r>
      <w:bookmarkEnd w:id="97"/>
    </w:p>
    <w:p>
      <w:pPr>
        <w:pStyle w:val="Subsection"/>
      </w:pPr>
      <w:r>
        <w:tab/>
        <w:t>(1)</w:t>
      </w:r>
      <w:r>
        <w:tab/>
        <w:t xml:space="preserve">The Commissioner has the following functions in relation to the reportable conduct scheme — </w:t>
      </w:r>
    </w:p>
    <w:p>
      <w:pPr>
        <w:pStyle w:val="Indenta"/>
      </w:pPr>
      <w:r>
        <w:tab/>
        <w:t>(a)</w:t>
      </w:r>
      <w:r>
        <w:tab/>
        <w:t>to oversee and monitor the reportable conduct scheme;</w:t>
      </w:r>
    </w:p>
    <w:p>
      <w:pPr>
        <w:pStyle w:val="Indenta"/>
      </w:pPr>
      <w:r>
        <w:tab/>
        <w:t>(b)</w:t>
      </w:r>
      <w:r>
        <w:tab/>
        <w:t>to educate and provide advice to relevant entities in order to assist them to identify and prevent reportable conduct and to notify and investigate reportable allegations and reportable convictions;</w:t>
      </w:r>
    </w:p>
    <w:p>
      <w:pPr>
        <w:pStyle w:val="Indenta"/>
      </w:pPr>
      <w:r>
        <w:tab/>
        <w:t>(c)</w:t>
      </w:r>
      <w:r>
        <w:tab/>
        <w:t>to support relevant entities to make continuous improvement in the identification and prevention of reportable conduct and the reporting, notification and investigation of reportable allegations and reportable convictions;</w:t>
      </w:r>
    </w:p>
    <w:p>
      <w:pPr>
        <w:pStyle w:val="Indenta"/>
      </w:pPr>
      <w:r>
        <w:tab/>
        <w:t>(d)</w:t>
      </w:r>
      <w:r>
        <w:tab/>
        <w:t>to monitor the investigation of reportable allegations and reportable convictions by relevant entities;</w:t>
      </w:r>
    </w:p>
    <w:p>
      <w:pPr>
        <w:pStyle w:val="Indenta"/>
      </w:pPr>
      <w:r>
        <w:tab/>
        <w:t>(e)</w:t>
      </w:r>
      <w:r>
        <w:tab/>
        <w:t>if the Commissioner considers it to be in the public interest to do so — to investigate reportable allegations and reportable convictions;</w:t>
      </w:r>
    </w:p>
    <w:p>
      <w:pPr>
        <w:pStyle w:val="Indenta"/>
      </w:pPr>
      <w:r>
        <w:lastRenderedPageBreak/>
        <w:tab/>
        <w:t>(f)</w:t>
      </w:r>
      <w:r>
        <w:tab/>
        <w:t>if the Commissioner considers it to be in the public interest to do so — to investigate whether reportable allegations or reportable convictions have been appropriately handled or investigated or responded to by the head of a relevant entity;</w:t>
      </w:r>
    </w:p>
    <w:p>
      <w:pPr>
        <w:pStyle w:val="Indenta"/>
      </w:pPr>
      <w:r>
        <w:tab/>
        <w:t>(g)</w:t>
      </w:r>
      <w:r>
        <w:tab/>
        <w:t>to make recommendations to relevant entities in relation to the findings of the investigations referred to in paragraph (e) or (f);</w:t>
      </w:r>
    </w:p>
    <w:p>
      <w:pPr>
        <w:pStyle w:val="Indenta"/>
      </w:pPr>
      <w:r>
        <w:tab/>
        <w:t>(h)</w:t>
      </w:r>
      <w:r>
        <w:tab/>
        <w:t>to monitor the compliance of relevant entities with the reportable conduct scheme and whether appropriate and timely action is taken by a relevant entity;</w:t>
      </w:r>
    </w:p>
    <w:p>
      <w:pPr>
        <w:pStyle w:val="Indenta"/>
      </w:pPr>
      <w:r>
        <w:tab/>
        <w:t>(i)</w:t>
      </w:r>
      <w:r>
        <w:tab/>
        <w:t>to monitor a relevant entity’s systems for preventing, notifying and dealing with reportable conduct;</w:t>
      </w:r>
    </w:p>
    <w:p>
      <w:pPr>
        <w:pStyle w:val="Indenta"/>
      </w:pPr>
      <w:r>
        <w:tab/>
        <w:t>(j)</w:t>
      </w:r>
      <w:r>
        <w:tab/>
        <w:t>to report to Parliament on the reportable conduct scheme;</w:t>
      </w:r>
    </w:p>
    <w:p>
      <w:pPr>
        <w:pStyle w:val="Indenta"/>
      </w:pPr>
      <w:r>
        <w:tab/>
        <w:t>(k)</w:t>
      </w:r>
      <w:r>
        <w:tab/>
        <w:t>to perform any other function conferred on the Commissioner under this Division.</w:t>
      </w:r>
    </w:p>
    <w:p>
      <w:pPr>
        <w:pStyle w:val="Subsection"/>
      </w:pPr>
      <w:r>
        <w:tab/>
        <w:t>(2)</w:t>
      </w:r>
      <w:r>
        <w:tab/>
        <w:t>Without limiting the Commissioner’s investigation powers under this Act, the Commissioner may exercise any power and perform any function the Commissioner has under Divisions 3 and 4 for the purpose of performing the Commissioner’s functions under this Division.</w:t>
      </w:r>
    </w:p>
    <w:p>
      <w:pPr>
        <w:pStyle w:val="Footnotesection"/>
      </w:pPr>
      <w:r>
        <w:tab/>
        <w:t>[Section 19M inserted: No. 25 of 2022 s. 7.]</w:t>
      </w:r>
    </w:p>
    <w:p>
      <w:pPr>
        <w:pStyle w:val="Heading5"/>
      </w:pPr>
      <w:bookmarkStart w:id="98" w:name="_Toc174950824"/>
      <w:r>
        <w:rPr>
          <w:rStyle w:val="CharSectno"/>
        </w:rPr>
        <w:t>19N</w:t>
      </w:r>
      <w:r>
        <w:t>.</w:t>
      </w:r>
      <w:r>
        <w:tab/>
        <w:t>Commissioner may exempt conduct</w:t>
      </w:r>
      <w:bookmarkEnd w:id="98"/>
    </w:p>
    <w:p>
      <w:pPr>
        <w:pStyle w:val="Subsection"/>
      </w:pPr>
      <w:r>
        <w:tab/>
        <w:t>(1)</w:t>
      </w:r>
      <w:r>
        <w:tab/>
        <w:t>The Commissioner may, in accordance with the regulations, exempt a class or kind of conduct of employees of a relevant entity, or a class or kind of relevant entity, from being reportable conduct.</w:t>
      </w:r>
    </w:p>
    <w:p>
      <w:pPr>
        <w:pStyle w:val="Subsection"/>
      </w:pPr>
      <w:r>
        <w:tab/>
        <w:t>(2)</w:t>
      </w:r>
      <w:r>
        <w:tab/>
        <w:t>The Commissioner must publish the details of an exempt class or kind of conduct on the Commissioner’s website.</w:t>
      </w:r>
    </w:p>
    <w:p>
      <w:pPr>
        <w:pStyle w:val="Footnotesection"/>
      </w:pPr>
      <w:r>
        <w:tab/>
        <w:t>[Section 19N inserted: No. 25 of 2022 s. 7.]</w:t>
      </w:r>
    </w:p>
    <w:p>
      <w:pPr>
        <w:pStyle w:val="Heading5"/>
      </w:pPr>
      <w:bookmarkStart w:id="99" w:name="_Toc174950825"/>
      <w:r>
        <w:rPr>
          <w:rStyle w:val="CharSectno"/>
        </w:rPr>
        <w:lastRenderedPageBreak/>
        <w:t>19O</w:t>
      </w:r>
      <w:r>
        <w:t>.</w:t>
      </w:r>
      <w:r>
        <w:tab/>
        <w:t>Commissioner may exempt entities</w:t>
      </w:r>
      <w:bookmarkEnd w:id="99"/>
    </w:p>
    <w:p>
      <w:pPr>
        <w:pStyle w:val="Subsection"/>
      </w:pPr>
      <w:r>
        <w:tab/>
        <w:t>(1)</w:t>
      </w:r>
      <w:r>
        <w:tab/>
        <w:t>The Commissioner may exempt an entity from the reportable conduct scheme.</w:t>
      </w:r>
    </w:p>
    <w:p>
      <w:pPr>
        <w:pStyle w:val="Subsection"/>
      </w:pPr>
      <w:r>
        <w:tab/>
        <w:t>(2)</w:t>
      </w:r>
      <w:r>
        <w:tab/>
        <w:t>The Commissioner must give written notice to an entity of an exemption under subsection (1) that relates to the entity.</w:t>
      </w:r>
    </w:p>
    <w:p>
      <w:pPr>
        <w:pStyle w:val="Subsection"/>
      </w:pPr>
      <w:r>
        <w:tab/>
        <w:t>(3)</w:t>
      </w:r>
      <w:r>
        <w:tab/>
        <w:t>An exemption under subsection (1) continues until the Commissioner gives the entity written notice that the exemption is revoked.</w:t>
      </w:r>
    </w:p>
    <w:p>
      <w:pPr>
        <w:pStyle w:val="Footnotesection"/>
      </w:pPr>
      <w:r>
        <w:tab/>
        <w:t>[Section 19O inserted: No. 25 of 2022 s. 7.]</w:t>
      </w:r>
    </w:p>
    <w:p>
      <w:pPr>
        <w:pStyle w:val="Heading5"/>
      </w:pPr>
      <w:bookmarkStart w:id="100" w:name="_Toc174950826"/>
      <w:r>
        <w:rPr>
          <w:rStyle w:val="CharSectno"/>
        </w:rPr>
        <w:t>19P</w:t>
      </w:r>
      <w:r>
        <w:t>.</w:t>
      </w:r>
      <w:r>
        <w:tab/>
        <w:t>Commissioner may exempt investigations</w:t>
      </w:r>
      <w:bookmarkEnd w:id="100"/>
    </w:p>
    <w:p>
      <w:pPr>
        <w:pStyle w:val="Subsection"/>
      </w:pPr>
      <w:r>
        <w:tab/>
        <w:t>(1)</w:t>
      </w:r>
      <w:r>
        <w:tab/>
        <w:t>The Commissioner may exempt the head of a relevant entity from commencing or continuing an investigation.</w:t>
      </w:r>
    </w:p>
    <w:p>
      <w:pPr>
        <w:pStyle w:val="Subsection"/>
      </w:pPr>
      <w:r>
        <w:tab/>
        <w:t>(2)</w:t>
      </w:r>
      <w:r>
        <w:tab/>
        <w:t>An exemption under subsection (1) may be for a specified period.</w:t>
      </w:r>
    </w:p>
    <w:p>
      <w:pPr>
        <w:pStyle w:val="Subsection"/>
      </w:pPr>
      <w:r>
        <w:tab/>
        <w:t>(3)</w:t>
      </w:r>
      <w:r>
        <w:tab/>
        <w:t xml:space="preserve">Without limiting subsection (1), the Commissioner may exempt the head of the relevant entity if — </w:t>
      </w:r>
    </w:p>
    <w:p>
      <w:pPr>
        <w:pStyle w:val="Indenta"/>
      </w:pPr>
      <w:r>
        <w:tab/>
        <w:t>(a)</w:t>
      </w:r>
      <w:r>
        <w:tab/>
        <w:t>the matter is already being dealt with or investigated by another appropriate person or body; or</w:t>
      </w:r>
    </w:p>
    <w:p>
      <w:pPr>
        <w:pStyle w:val="Indenta"/>
      </w:pPr>
      <w:r>
        <w:tab/>
        <w:t>(b)</w:t>
      </w:r>
      <w:r>
        <w:tab/>
        <w:t>the Commissioner is of the opinion that the report of the matter to the relevant entity under section 19T is frivolous or vexatious or not made in good faith; or</w:t>
      </w:r>
    </w:p>
    <w:p>
      <w:pPr>
        <w:pStyle w:val="Indenta"/>
      </w:pPr>
      <w:r>
        <w:tab/>
        <w:t>(c)</w:t>
      </w:r>
      <w:r>
        <w:tab/>
        <w:t>the head of the relevant entity has made a request for the exemption in a notice under section 19Y.</w:t>
      </w:r>
    </w:p>
    <w:p>
      <w:pPr>
        <w:pStyle w:val="Subsection"/>
      </w:pPr>
      <w:r>
        <w:tab/>
        <w:t>(4)</w:t>
      </w:r>
      <w:r>
        <w:tab/>
        <w:t>The Commissioner must give written notice to the head of the relevant entity of an exemption under subsection (1) that relates to the entity.</w:t>
      </w:r>
    </w:p>
    <w:p>
      <w:pPr>
        <w:pStyle w:val="Subsection"/>
      </w:pPr>
      <w:r>
        <w:tab/>
        <w:t>(5)</w:t>
      </w:r>
      <w:r>
        <w:tab/>
        <w:t xml:space="preserve">An exemption under subsection (1) continues until — </w:t>
      </w:r>
    </w:p>
    <w:p>
      <w:pPr>
        <w:pStyle w:val="Indenta"/>
      </w:pPr>
      <w:r>
        <w:tab/>
        <w:t>(a)</w:t>
      </w:r>
      <w:r>
        <w:tab/>
        <w:t>the Commissioner gives the head of the relevant entity written notice that the exemption is revoked; or</w:t>
      </w:r>
    </w:p>
    <w:p>
      <w:pPr>
        <w:pStyle w:val="Indenta"/>
      </w:pPr>
      <w:r>
        <w:lastRenderedPageBreak/>
        <w:tab/>
        <w:t>(b)</w:t>
      </w:r>
      <w:r>
        <w:tab/>
        <w:t>if the exemption is for a specified period — the end of the specified period.</w:t>
      </w:r>
    </w:p>
    <w:p>
      <w:pPr>
        <w:pStyle w:val="Subsection"/>
      </w:pPr>
      <w:r>
        <w:tab/>
        <w:t>(6)</w:t>
      </w:r>
      <w:r>
        <w:tab/>
        <w:t>The head of the relevant entity is not required to provide a report of an investigation under section 19Z(1) if the investigation is exempt under this section.</w:t>
      </w:r>
    </w:p>
    <w:p>
      <w:pPr>
        <w:pStyle w:val="Footnotesection"/>
      </w:pPr>
      <w:r>
        <w:tab/>
        <w:t>[Section 19P inserted: No. 25 of 2022 s. 7.]</w:t>
      </w:r>
    </w:p>
    <w:p>
      <w:pPr>
        <w:pStyle w:val="Heading5"/>
      </w:pPr>
      <w:bookmarkStart w:id="101" w:name="_Toc174950827"/>
      <w:r>
        <w:rPr>
          <w:rStyle w:val="CharSectno"/>
        </w:rPr>
        <w:t>19Q</w:t>
      </w:r>
      <w:r>
        <w:t>.</w:t>
      </w:r>
      <w:r>
        <w:tab/>
        <w:t>Commissioner may approve head of relevant entity in certain circumstances</w:t>
      </w:r>
      <w:bookmarkEnd w:id="101"/>
    </w:p>
    <w:p>
      <w:pPr>
        <w:pStyle w:val="Subsection"/>
      </w:pPr>
      <w:r>
        <w:tab/>
        <w:t>(1)</w:t>
      </w:r>
      <w:r>
        <w:tab/>
        <w:t xml:space="preserve">This section applies to a relevant entity if — </w:t>
      </w:r>
    </w:p>
    <w:p>
      <w:pPr>
        <w:pStyle w:val="Indenta"/>
      </w:pPr>
      <w:r>
        <w:tab/>
        <w:t>(a)</w:t>
      </w:r>
      <w:r>
        <w:tab/>
        <w:t xml:space="preserve">the entity is not a department or an organisation, as those terms are defined in the </w:t>
      </w:r>
      <w:r>
        <w:rPr>
          <w:i/>
        </w:rPr>
        <w:t xml:space="preserve">Public Sector Management Act 1994 </w:t>
      </w:r>
      <w:r>
        <w:t>section 3(1), or an authority; and</w:t>
      </w:r>
    </w:p>
    <w:p>
      <w:pPr>
        <w:pStyle w:val="Indenta"/>
      </w:pPr>
      <w:r>
        <w:tab/>
        <w:t>(b)</w:t>
      </w:r>
      <w:r>
        <w:tab/>
        <w:t>there is no chief executive officer of the entity (however described) or principal officer of the entity (however described); and</w:t>
      </w:r>
    </w:p>
    <w:p>
      <w:pPr>
        <w:pStyle w:val="Indenta"/>
      </w:pPr>
      <w:r>
        <w:tab/>
        <w:t>(c)</w:t>
      </w:r>
      <w:r>
        <w:tab/>
        <w:t>the regulations do not prescribe a person to be the head of the entity.</w:t>
      </w:r>
    </w:p>
    <w:p>
      <w:pPr>
        <w:pStyle w:val="Subsection"/>
      </w:pPr>
      <w:r>
        <w:tab/>
        <w:t>(2)</w:t>
      </w:r>
      <w:r>
        <w:tab/>
        <w:t>The relevant entity must nominate a person or the holder of a position in the entity to be the head of the entity.</w:t>
      </w:r>
    </w:p>
    <w:p>
      <w:pPr>
        <w:pStyle w:val="Subsection"/>
      </w:pPr>
      <w:r>
        <w:tab/>
        <w:t>(3)</w:t>
      </w:r>
      <w:r>
        <w:tab/>
        <w:t>The nomination must be in writing and given to the Commissioner.</w:t>
      </w:r>
    </w:p>
    <w:p>
      <w:pPr>
        <w:pStyle w:val="Subsection"/>
      </w:pPr>
      <w:r>
        <w:tab/>
        <w:t>(4)</w:t>
      </w:r>
      <w:r>
        <w:tab/>
        <w:t>The Commissioner may, by written notice given to the relevant entity, approve the person or holder of the position in the entity nominated by the entity under subsection (2) to be the head of the entity.</w:t>
      </w:r>
    </w:p>
    <w:p>
      <w:pPr>
        <w:pStyle w:val="Subsection"/>
      </w:pPr>
      <w:r>
        <w:tab/>
        <w:t>(5)</w:t>
      </w:r>
      <w:r>
        <w:tab/>
        <w:t>The Commissioner may, by written notice given to the entity, revoke an approval under subsection (4).</w:t>
      </w:r>
    </w:p>
    <w:p>
      <w:pPr>
        <w:pStyle w:val="Footnotesection"/>
      </w:pPr>
      <w:r>
        <w:tab/>
        <w:t>[Section 19Q inserted: No. 25 of 2022 s. 7.]</w:t>
      </w:r>
    </w:p>
    <w:p>
      <w:pPr>
        <w:pStyle w:val="Heading4"/>
      </w:pPr>
      <w:bookmarkStart w:id="102" w:name="_Toc153965040"/>
      <w:bookmarkStart w:id="103" w:name="_Toc153968698"/>
      <w:bookmarkStart w:id="104" w:name="_Toc153978095"/>
      <w:bookmarkStart w:id="105" w:name="_Toc174718080"/>
      <w:bookmarkStart w:id="106" w:name="_Toc174718725"/>
      <w:bookmarkStart w:id="107" w:name="_Toc174718831"/>
      <w:bookmarkStart w:id="108" w:name="_Toc174950828"/>
      <w:r>
        <w:lastRenderedPageBreak/>
        <w:t>Subdivision 3 — Systems to deal with reportable conduct</w:t>
      </w:r>
      <w:bookmarkEnd w:id="102"/>
      <w:bookmarkEnd w:id="103"/>
      <w:bookmarkEnd w:id="104"/>
      <w:bookmarkEnd w:id="105"/>
      <w:bookmarkEnd w:id="106"/>
      <w:bookmarkEnd w:id="107"/>
      <w:bookmarkEnd w:id="108"/>
    </w:p>
    <w:p>
      <w:pPr>
        <w:pStyle w:val="Footnoteheading"/>
      </w:pPr>
      <w:r>
        <w:tab/>
        <w:t>[Heading inserted: No. 25 of 2022 s. 7.]</w:t>
      </w:r>
    </w:p>
    <w:p>
      <w:pPr>
        <w:pStyle w:val="Heading5"/>
      </w:pPr>
      <w:bookmarkStart w:id="109" w:name="_Toc174950829"/>
      <w:r>
        <w:rPr>
          <w:rStyle w:val="CharSectno"/>
        </w:rPr>
        <w:t>19R</w:t>
      </w:r>
      <w:r>
        <w:t>.</w:t>
      </w:r>
      <w:r>
        <w:tab/>
        <w:t>Head of relevant entity must ensure systems in place</w:t>
      </w:r>
      <w:bookmarkEnd w:id="109"/>
    </w:p>
    <w:p>
      <w:pPr>
        <w:pStyle w:val="Subsection"/>
      </w:pPr>
      <w:r>
        <w:tab/>
      </w:r>
      <w:r>
        <w:tab/>
        <w:t xml:space="preserve">The head of a relevant entity must ensure that the relevant entity has in place — </w:t>
      </w:r>
    </w:p>
    <w:p>
      <w:pPr>
        <w:pStyle w:val="Indenta"/>
      </w:pPr>
      <w:r>
        <w:tab/>
        <w:t>(a)</w:t>
      </w:r>
      <w:r>
        <w:tab/>
        <w:t>a system for preventing reportable conduct by employees of the relevant entity in the course of their employment; and</w:t>
      </w:r>
    </w:p>
    <w:p>
      <w:pPr>
        <w:pStyle w:val="Indenta"/>
      </w:pPr>
      <w:r>
        <w:tab/>
        <w:t>(b)</w:t>
      </w:r>
      <w:r>
        <w:tab/>
        <w:t>a system for enabling any person, including an employee of the relevant entity, to report to the head of the relevant entity a reportable allegation or reportable conviction involving an employee of the relevant entity; and</w:t>
      </w:r>
    </w:p>
    <w:p>
      <w:pPr>
        <w:pStyle w:val="Indenta"/>
      </w:pPr>
      <w:r>
        <w:tab/>
        <w:t>(c)</w:t>
      </w:r>
      <w:r>
        <w:tab/>
        <w:t>a system for enabling any person, including an employee of the relevant entity, to report to the Commissioner a reportable allegation or reportable conviction involving the head of the relevant entity; and</w:t>
      </w:r>
    </w:p>
    <w:p>
      <w:pPr>
        <w:pStyle w:val="Indenta"/>
      </w:pPr>
      <w:r>
        <w:tab/>
        <w:t>(d)</w:t>
      </w:r>
      <w:r>
        <w:tab/>
        <w:t xml:space="preserve">a system for notifying the Commissioner of a report to the head of the relevant entity of a reportable allegation or reportable conviction involving an employee of the relevant entity; and </w:t>
      </w:r>
    </w:p>
    <w:p>
      <w:pPr>
        <w:pStyle w:val="Indenta"/>
      </w:pPr>
      <w:r>
        <w:tab/>
        <w:t>(e)</w:t>
      </w:r>
      <w:r>
        <w:tab/>
        <w:t>a system for investigating a reportable allegation or reportable conviction relating to an employee of the relevant entity and taking appropriate action in response to a finding of reportable conduct; and</w:t>
      </w:r>
    </w:p>
    <w:p>
      <w:pPr>
        <w:pStyle w:val="Indenta"/>
      </w:pPr>
      <w:r>
        <w:tab/>
        <w:t>(f)</w:t>
      </w:r>
      <w:r>
        <w:tab/>
        <w:t>a system for the receipt, handling and disclosure of investigation information.</w:t>
      </w:r>
    </w:p>
    <w:p>
      <w:pPr>
        <w:pStyle w:val="Footnotesection"/>
      </w:pPr>
      <w:r>
        <w:tab/>
        <w:t>[Section 19R inserted: No. 25 of 2022 s. 7.]</w:t>
      </w:r>
    </w:p>
    <w:p>
      <w:pPr>
        <w:pStyle w:val="Heading5"/>
      </w:pPr>
      <w:bookmarkStart w:id="110" w:name="_Toc174950830"/>
      <w:r>
        <w:rPr>
          <w:rStyle w:val="CharSectno"/>
        </w:rPr>
        <w:lastRenderedPageBreak/>
        <w:t>19S</w:t>
      </w:r>
      <w:r>
        <w:t>.</w:t>
      </w:r>
      <w:r>
        <w:tab/>
        <w:t>Commissioner may require information about systems</w:t>
      </w:r>
      <w:bookmarkEnd w:id="110"/>
    </w:p>
    <w:p>
      <w:pPr>
        <w:pStyle w:val="Subsection"/>
      </w:pPr>
      <w:r>
        <w:tab/>
        <w:t>(1)</w:t>
      </w:r>
      <w:r>
        <w:tab/>
        <w:t>The Commissioner may request the head of a relevant entity to provide to the Commissioner any information about a system referred to in section 19R.</w:t>
      </w:r>
    </w:p>
    <w:p>
      <w:pPr>
        <w:pStyle w:val="Subsection"/>
      </w:pPr>
      <w:r>
        <w:tab/>
        <w:t>(2)</w:t>
      </w:r>
      <w:r>
        <w:tab/>
        <w:t>The head of a relevant entity must comply with a request under subsection (1).</w:t>
      </w:r>
    </w:p>
    <w:p>
      <w:pPr>
        <w:pStyle w:val="Subsection"/>
      </w:pPr>
      <w:r>
        <w:tab/>
        <w:t>(3)</w:t>
      </w:r>
      <w:r>
        <w:tab/>
        <w:t>The Commissioner may make recommendations for action to be taken by the head of a relevant entity in relation to a system referred to in section 19R and may provide the head of the relevant entity with any necessary information relating to the recommendations.</w:t>
      </w:r>
    </w:p>
    <w:p>
      <w:pPr>
        <w:pStyle w:val="Footnotesection"/>
      </w:pPr>
      <w:r>
        <w:tab/>
        <w:t>[Section 19S inserted: No. 25 of 2022 s. 7.]</w:t>
      </w:r>
    </w:p>
    <w:p>
      <w:pPr>
        <w:pStyle w:val="Heading4"/>
      </w:pPr>
      <w:bookmarkStart w:id="111" w:name="_Toc153965043"/>
      <w:bookmarkStart w:id="112" w:name="_Toc153968701"/>
      <w:bookmarkStart w:id="113" w:name="_Toc153978098"/>
      <w:bookmarkStart w:id="114" w:name="_Toc174718083"/>
      <w:bookmarkStart w:id="115" w:name="_Toc174718728"/>
      <w:bookmarkStart w:id="116" w:name="_Toc174718834"/>
      <w:bookmarkStart w:id="117" w:name="_Toc174950831"/>
      <w:r>
        <w:t>Subdivision 4 — Notice, investigation and reporting</w:t>
      </w:r>
      <w:bookmarkEnd w:id="111"/>
      <w:bookmarkEnd w:id="112"/>
      <w:bookmarkEnd w:id="113"/>
      <w:bookmarkEnd w:id="114"/>
      <w:bookmarkEnd w:id="115"/>
      <w:bookmarkEnd w:id="116"/>
      <w:bookmarkEnd w:id="117"/>
    </w:p>
    <w:p>
      <w:pPr>
        <w:pStyle w:val="Footnoteheading"/>
      </w:pPr>
      <w:r>
        <w:tab/>
        <w:t>[Heading inserted: No. 25 of 2022 s. 7.]</w:t>
      </w:r>
    </w:p>
    <w:p>
      <w:pPr>
        <w:pStyle w:val="Heading5"/>
      </w:pPr>
      <w:bookmarkStart w:id="118" w:name="_Toc174950832"/>
      <w:r>
        <w:rPr>
          <w:rStyle w:val="CharSectno"/>
        </w:rPr>
        <w:t>19T</w:t>
      </w:r>
      <w:r>
        <w:t>.</w:t>
      </w:r>
      <w:r>
        <w:tab/>
        <w:t>Report of reportable allegation or reportable conviction</w:t>
      </w:r>
      <w:bookmarkEnd w:id="118"/>
    </w:p>
    <w:p>
      <w:pPr>
        <w:pStyle w:val="Subsection"/>
      </w:pPr>
      <w:r>
        <w:tab/>
        <w:t>(1)</w:t>
      </w:r>
      <w:r>
        <w:tab/>
        <w:t xml:space="preserve">This section applies if a person becomes aware of — </w:t>
      </w:r>
    </w:p>
    <w:p>
      <w:pPr>
        <w:pStyle w:val="Indenta"/>
      </w:pPr>
      <w:r>
        <w:tab/>
        <w:t>(a)</w:t>
      </w:r>
      <w:r>
        <w:tab/>
        <w:t>information that leads the person to form the belief on reasonable grounds that an employee of a relevant entity has engaged in reportable conduct or conduct that may involve reportable conduct, whether or not the conduct is alleged to have occurred in the course of the employee’s employment; or</w:t>
      </w:r>
    </w:p>
    <w:p>
      <w:pPr>
        <w:pStyle w:val="Indenta"/>
      </w:pPr>
      <w:r>
        <w:tab/>
        <w:t>(b)</w:t>
      </w:r>
      <w:r>
        <w:tab/>
        <w:t>a reportable conviction involving an employee of a relevant entity.</w:t>
      </w:r>
    </w:p>
    <w:p>
      <w:pPr>
        <w:pStyle w:val="Subsection"/>
      </w:pPr>
      <w:r>
        <w:tab/>
        <w:t>(2)</w:t>
      </w:r>
      <w:r>
        <w:tab/>
        <w:t xml:space="preserve">If the person is a relevant employee of the relevant entity, the person must, as soon as practicable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lastRenderedPageBreak/>
        <w:tab/>
        <w:t>(3)</w:t>
      </w:r>
      <w:r>
        <w:tab/>
        <w:t xml:space="preserve">If the person is not a relevant employee of the relevant entity, the person may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(4)</w:t>
      </w:r>
      <w:r>
        <w:tab/>
        <w:t xml:space="preserve">For the purposes of subsections (2) and (3), a person is a </w:t>
      </w:r>
      <w:r>
        <w:rPr>
          <w:rStyle w:val="CharDefText"/>
        </w:rPr>
        <w:t>relevant employee</w:t>
      </w:r>
      <w:r>
        <w:t xml:space="preserve"> of a relevant entity if the person is an employee of the relevant entity under section 19D(1)(a).</w:t>
      </w:r>
    </w:p>
    <w:p>
      <w:pPr>
        <w:pStyle w:val="Subsection"/>
      </w:pPr>
      <w:r>
        <w:tab/>
        <w:t>(5)</w:t>
      </w:r>
      <w:r>
        <w:tab/>
        <w:t>A person who has made a report to the head of the relevant entity under this section may report the matter to the Commissioner if the person is not satisfied with the response of the head of the relevant entity to the report.</w:t>
      </w:r>
    </w:p>
    <w:p>
      <w:pPr>
        <w:pStyle w:val="Footnotesection"/>
      </w:pPr>
      <w:r>
        <w:tab/>
        <w:t>[Section 19T inserted: No. 25 of 2022 s. 7.]</w:t>
      </w:r>
    </w:p>
    <w:p>
      <w:pPr>
        <w:pStyle w:val="Heading5"/>
      </w:pPr>
      <w:bookmarkStart w:id="119" w:name="_Toc174950833"/>
      <w:r>
        <w:rPr>
          <w:rStyle w:val="CharSectno"/>
        </w:rPr>
        <w:t>19U</w:t>
      </w:r>
      <w:r>
        <w:t>.</w:t>
      </w:r>
      <w:r>
        <w:tab/>
        <w:t>Head of relevant entity must notify Commissioner</w:t>
      </w:r>
      <w:bookmarkEnd w:id="119"/>
    </w:p>
    <w:p>
      <w:pPr>
        <w:pStyle w:val="Subsection"/>
      </w:pPr>
      <w:r>
        <w:tab/>
        <w:t>(1)</w:t>
      </w:r>
      <w:r>
        <w:tab/>
        <w:t>This section applies if the head of a relevant entity becomes aware of a reportable allegation or a reportable conviction involving a person who is an employee of the relevant entity.</w:t>
      </w:r>
    </w:p>
    <w:p>
      <w:pPr>
        <w:pStyle w:val="Subsection"/>
      </w:pPr>
      <w:r>
        <w:tab/>
        <w:t>(2)</w:t>
      </w:r>
      <w:r>
        <w:tab/>
        <w:t xml:space="preserve">The head of the relevant entity must give written notice to the Commissioner of the following information within 7 working days after becoming aware of the reportable allegation or reportable conviction — </w:t>
      </w:r>
    </w:p>
    <w:p>
      <w:pPr>
        <w:pStyle w:val="Indenta"/>
      </w:pPr>
      <w:r>
        <w:tab/>
        <w:t>(a)</w:t>
      </w:r>
      <w:r>
        <w:tab/>
        <w:t>details of the reportable allegation or reportable conviction;</w:t>
      </w:r>
    </w:p>
    <w:p>
      <w:pPr>
        <w:pStyle w:val="Indenta"/>
      </w:pPr>
      <w:r>
        <w:tab/>
        <w:t>(b)</w:t>
      </w:r>
      <w:r>
        <w:tab/>
        <w:t>the name (including any former name or alias) of the employee;</w:t>
      </w:r>
    </w:p>
    <w:p>
      <w:pPr>
        <w:pStyle w:val="Indenta"/>
      </w:pPr>
      <w:r>
        <w:tab/>
        <w:t>(c)</w:t>
      </w:r>
      <w:r>
        <w:tab/>
        <w:t>the date of birth of the employee;</w:t>
      </w:r>
    </w:p>
    <w:p>
      <w:pPr>
        <w:pStyle w:val="Indenta"/>
      </w:pPr>
      <w:r>
        <w:tab/>
        <w:t>(d)</w:t>
      </w:r>
      <w:r>
        <w:tab/>
        <w:t xml:space="preserve">the identifying number of any application made by the employee for an assessment notice under the </w:t>
      </w:r>
      <w:r>
        <w:rPr>
          <w:i/>
        </w:rPr>
        <w:t>Working with Children (Criminal Record Checking) Act 2004</w:t>
      </w:r>
      <w:r>
        <w:t xml:space="preserve"> or any current assessment notice issued to the employee under that Act;</w:t>
      </w:r>
    </w:p>
    <w:p>
      <w:pPr>
        <w:pStyle w:val="Indenta"/>
      </w:pPr>
      <w:r>
        <w:lastRenderedPageBreak/>
        <w:tab/>
        <w:t>(e)</w:t>
      </w:r>
      <w:r>
        <w:tab/>
        <w:t>whether the police have been contacted about the reportable allegation or reportable conviction;</w:t>
      </w:r>
    </w:p>
    <w:p>
      <w:pPr>
        <w:pStyle w:val="Indenta"/>
      </w:pPr>
      <w:r>
        <w:tab/>
        <w:t>(f)</w:t>
      </w:r>
      <w:r>
        <w:tab/>
        <w:t>the risk assessment made and the risk management action taken, or proposed to be taken, by the relevant entity;</w:t>
      </w:r>
    </w:p>
    <w:p>
      <w:pPr>
        <w:pStyle w:val="Indenta"/>
      </w:pPr>
      <w:r>
        <w:tab/>
        <w:t>(g)</w:t>
      </w:r>
      <w:r>
        <w:tab/>
        <w:t>the name, address and telephone number of the relevant entity;</w:t>
      </w:r>
    </w:p>
    <w:p>
      <w:pPr>
        <w:pStyle w:val="Indenta"/>
      </w:pPr>
      <w:r>
        <w:tab/>
        <w:t>(h)</w:t>
      </w:r>
      <w:r>
        <w:tab/>
        <w:t>the name of the head of the relevant entity;</w:t>
      </w:r>
    </w:p>
    <w:p>
      <w:pPr>
        <w:pStyle w:val="Indenta"/>
      </w:pPr>
      <w:r>
        <w:tab/>
        <w:t>(i)</w:t>
      </w:r>
      <w:r>
        <w:tab/>
        <w:t>how the head of the relevant entity intends to proceed with the matter;</w:t>
      </w:r>
    </w:p>
    <w:p>
      <w:pPr>
        <w:pStyle w:val="Indenta"/>
      </w:pPr>
      <w:r>
        <w:tab/>
        <w:t>(j)</w:t>
      </w:r>
      <w:r>
        <w:tab/>
        <w:t>any information prescribed by the regulations.</w:t>
      </w:r>
    </w:p>
    <w:p>
      <w:pPr>
        <w:pStyle w:val="Subsection"/>
      </w:pPr>
      <w:r>
        <w:tab/>
        <w:t>(3)</w:t>
      </w:r>
      <w:r>
        <w:tab/>
        <w:t>The head of the relevant entity is only required to provide information under subsection (2)(a), (b), (c), (d), (e) and (j) of which the head of the relevant entity is aware.</w:t>
      </w:r>
    </w:p>
    <w:p>
      <w:pPr>
        <w:pStyle w:val="Subsection"/>
      </w:pPr>
      <w:r>
        <w:tab/>
        <w:t>(4)</w:t>
      </w:r>
      <w:r>
        <w:tab/>
        <w:t xml:space="preserve">The Commissioner, at the request of the head of the relevant entity, may, in writing — </w:t>
      </w:r>
    </w:p>
    <w:p>
      <w:pPr>
        <w:pStyle w:val="Indenta"/>
      </w:pPr>
      <w:r>
        <w:tab/>
        <w:t>(a)</w:t>
      </w:r>
      <w:r>
        <w:tab/>
        <w:t>extend the time for giving a notice under this section; or</w:t>
      </w:r>
    </w:p>
    <w:p>
      <w:pPr>
        <w:pStyle w:val="Indenta"/>
      </w:pPr>
      <w:r>
        <w:tab/>
        <w:t>(b)</w:t>
      </w:r>
      <w:r>
        <w:tab/>
        <w:t>exempt the relevant entity from providing information that the entity would otherwise be required to provide under this section.</w:t>
      </w:r>
    </w:p>
    <w:p>
      <w:pPr>
        <w:pStyle w:val="Subsection"/>
      </w:pPr>
      <w:r>
        <w:tab/>
        <w:t>(5)</w:t>
      </w:r>
      <w:r>
        <w:tab/>
        <w:t>This section does not apply in relation to conduct of employees of a relevant entity that is of a class or kind that is exempt under section 19N(1).</w:t>
      </w:r>
    </w:p>
    <w:p>
      <w:pPr>
        <w:pStyle w:val="Subsection"/>
      </w:pPr>
      <w:r>
        <w:tab/>
        <w:t>(6)</w:t>
      </w:r>
      <w:r>
        <w:tab/>
        <w:t>It is an offence for the head of a relevant entity to fail, without reasonable excuse, to comply with subsection (2).</w:t>
      </w:r>
    </w:p>
    <w:p>
      <w:pPr>
        <w:pStyle w:val="Penstart"/>
        <w:rPr>
          <w:snapToGrid w:val="0"/>
        </w:rPr>
      </w:pPr>
      <w:r>
        <w:tab/>
        <w:t>Penalty for this subsection:</w:t>
      </w:r>
      <w:r>
        <w:rPr>
          <w:snapToGrid w:val="0"/>
        </w:rPr>
        <w:t xml:space="preserve"> a fine of $5 000.</w:t>
      </w:r>
    </w:p>
    <w:p>
      <w:pPr>
        <w:pStyle w:val="Subsection"/>
      </w:pPr>
      <w:r>
        <w:tab/>
        <w:t>(7)</w:t>
      </w:r>
      <w:r>
        <w:tab/>
        <w:t>It is a defence to a charge for an offence against subsection (6) for the person charged to prove that the person honestly and reasonably believed that another person had notified the Commissioner of the reportable allegation or reportable conviction in accordance with subsection (2).</w:t>
      </w:r>
    </w:p>
    <w:p>
      <w:pPr>
        <w:pStyle w:val="Footnotesection"/>
      </w:pPr>
      <w:r>
        <w:lastRenderedPageBreak/>
        <w:tab/>
        <w:t>[Section 19U inserted: No. 25 of 2022 s. 7.]</w:t>
      </w:r>
    </w:p>
    <w:p>
      <w:pPr>
        <w:pStyle w:val="Heading5"/>
      </w:pPr>
      <w:bookmarkStart w:id="120" w:name="_Toc174950834"/>
      <w:r>
        <w:rPr>
          <w:rStyle w:val="CharSectno"/>
        </w:rPr>
        <w:t>19V</w:t>
      </w:r>
      <w:r>
        <w:t>.</w:t>
      </w:r>
      <w:r>
        <w:tab/>
        <w:t>Information may be disclosed to Commissioner or head of entity</w:t>
      </w:r>
      <w:bookmarkEnd w:id="120"/>
    </w:p>
    <w:p>
      <w:pPr>
        <w:pStyle w:val="Subsection"/>
      </w:pPr>
      <w:r>
        <w:tab/>
        <w:t>(1)</w:t>
      </w:r>
      <w:r>
        <w:tab/>
        <w:t xml:space="preserve">The head of a relevant entity may disclose any information to the Commissioner that the head of the relevant entity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Subsection"/>
      </w:pPr>
      <w:r>
        <w:tab/>
        <w:t>(2)</w:t>
      </w:r>
      <w:r>
        <w:tab/>
        <w:t xml:space="preserve">A person may disclose any information to the Commissioner that the person believes on reasonable grounds — </w:t>
      </w:r>
    </w:p>
    <w:p>
      <w:pPr>
        <w:pStyle w:val="Indenta"/>
      </w:pPr>
      <w:r>
        <w:tab/>
        <w:t>(a)</w:t>
      </w:r>
      <w:r>
        <w:tab/>
        <w:t>reveals reportable conduct involving the head of a relevant entity; or</w:t>
      </w:r>
    </w:p>
    <w:p>
      <w:pPr>
        <w:pStyle w:val="Indenta"/>
      </w:pPr>
      <w:r>
        <w:tab/>
        <w:t>(b)</w:t>
      </w:r>
      <w:r>
        <w:tab/>
        <w:t>is otherwise relevant to a reportable allegation involving the head of a relevant entity.</w:t>
      </w:r>
    </w:p>
    <w:p>
      <w:pPr>
        <w:pStyle w:val="Subsection"/>
      </w:pPr>
      <w:r>
        <w:tab/>
        <w:t>(3)</w:t>
      </w:r>
      <w:r>
        <w:tab/>
        <w:t xml:space="preserve">A person who makes a report to the head of a relevant entity under section 19T may disclose any information to the head of the relevant entity that the person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Subsection"/>
        <w:keepNext/>
      </w:pPr>
      <w:r>
        <w:tab/>
        <w:t>(4)</w:t>
      </w:r>
      <w:r>
        <w:tab/>
        <w:t xml:space="preserve">A person who has made a report to the head of the relevant entity under section 19T and is not satisfied with the response of the head of the relevant entity to the report may disclose any information to the Commissioner that the person believes on reasonable grounds — </w:t>
      </w:r>
    </w:p>
    <w:p>
      <w:pPr>
        <w:pStyle w:val="Indenta"/>
      </w:pPr>
      <w:r>
        <w:tab/>
        <w:t>(a)</w:t>
      </w:r>
      <w:r>
        <w:tab/>
        <w:t>reveals reportable conduct involving an employee of the relevant entity; or</w:t>
      </w:r>
    </w:p>
    <w:p>
      <w:pPr>
        <w:pStyle w:val="Indenta"/>
      </w:pPr>
      <w:r>
        <w:lastRenderedPageBreak/>
        <w:tab/>
        <w:t>(b)</w:t>
      </w:r>
      <w:r>
        <w:tab/>
        <w:t>is otherwise relevant to a reportable allegation involving an employee of the relevant entity.</w:t>
      </w:r>
    </w:p>
    <w:p>
      <w:pPr>
        <w:pStyle w:val="Footnotesection"/>
      </w:pPr>
      <w:r>
        <w:tab/>
        <w:t>[Section 19V inserted: No. 25 of 2022 s. 7.]</w:t>
      </w:r>
    </w:p>
    <w:p>
      <w:pPr>
        <w:pStyle w:val="Heading5"/>
      </w:pPr>
      <w:bookmarkStart w:id="121" w:name="_Toc174950835"/>
      <w:r>
        <w:rPr>
          <w:rStyle w:val="CharSectno"/>
        </w:rPr>
        <w:t>19W</w:t>
      </w:r>
      <w:r>
        <w:t>.</w:t>
      </w:r>
      <w:r>
        <w:tab/>
        <w:t>Head of relevant entity must respond to reportable allegation or reportable conviction</w:t>
      </w:r>
      <w:bookmarkEnd w:id="121"/>
    </w:p>
    <w:p>
      <w:pPr>
        <w:pStyle w:val="Subsection"/>
      </w:pPr>
      <w:r>
        <w:tab/>
        <w:t>(1)</w:t>
      </w:r>
      <w:r>
        <w:tab/>
        <w:t xml:space="preserve">As soon as practicable after the head of a relevant entity becomes aware of a reportable allegation or reportable conviction involving an employee of the relevant entity, the head of the relevant entity — </w:t>
      </w:r>
    </w:p>
    <w:p>
      <w:pPr>
        <w:pStyle w:val="Indenta"/>
      </w:pPr>
      <w:r>
        <w:tab/>
        <w:t>(a)</w:t>
      </w:r>
      <w:r>
        <w:tab/>
        <w:t xml:space="preserve">must — </w:t>
      </w:r>
    </w:p>
    <w:p>
      <w:pPr>
        <w:pStyle w:val="Indenti"/>
      </w:pPr>
      <w:r>
        <w:tab/>
        <w:t>(i)</w:t>
      </w:r>
      <w:r>
        <w:tab/>
        <w:t>investigate the reportable allegation or reportable conviction; or</w:t>
      </w:r>
    </w:p>
    <w:p>
      <w:pPr>
        <w:pStyle w:val="Indenti"/>
      </w:pPr>
      <w:r>
        <w:tab/>
        <w:t>(ii)</w:t>
      </w:r>
      <w:r>
        <w:tab/>
        <w:t>arrange for an employee of the relevant entity to investigate the reportable allegation or reportable conviction on behalf of the head of the relevant entity; or</w:t>
      </w:r>
    </w:p>
    <w:p>
      <w:pPr>
        <w:pStyle w:val="Indenti"/>
      </w:pPr>
      <w:r>
        <w:tab/>
        <w:t>(iii)</w:t>
      </w:r>
      <w:r>
        <w:tab/>
        <w:t>engage a person or body as an independent investigator to investigate the reportable allegation or reportable conviction on behalf of the head of the relevant entity;</w:t>
      </w:r>
    </w:p>
    <w:p>
      <w:pPr>
        <w:pStyle w:val="Indenta"/>
      </w:pPr>
      <w:r>
        <w:tab/>
      </w:r>
      <w:r>
        <w:tab/>
        <w:t>and</w:t>
      </w:r>
    </w:p>
    <w:p>
      <w:pPr>
        <w:pStyle w:val="Indenta"/>
      </w:pPr>
      <w:r>
        <w:tab/>
        <w:t>(b)</w:t>
      </w:r>
      <w:r>
        <w:tab/>
        <w:t>must inform the Commissioner of the name and contact details of the person or body, or position or unit in the relevant entity, responsible for conducting the investigation on behalf of the relevant entity.</w:t>
      </w:r>
    </w:p>
    <w:p>
      <w:pPr>
        <w:pStyle w:val="Subsection"/>
      </w:pPr>
      <w:r>
        <w:tab/>
        <w:t>(2)</w:t>
      </w:r>
      <w:r>
        <w:tab/>
        <w:t>The head of a relevant entity must take all reasonable steps to ensure that an investigation under subsection (1) is carried out in a timely way.</w:t>
      </w:r>
    </w:p>
    <w:p>
      <w:pPr>
        <w:pStyle w:val="Subsection"/>
      </w:pPr>
      <w:r>
        <w:tab/>
        <w:t>(3)</w:t>
      </w:r>
      <w:r>
        <w:tab/>
        <w:t xml:space="preserve">As soon as practicable after conducting an investigation in relation to an employee under subsection (1), the head of a relevant entity must either — </w:t>
      </w:r>
    </w:p>
    <w:p>
      <w:pPr>
        <w:pStyle w:val="Indenta"/>
      </w:pPr>
      <w:r>
        <w:lastRenderedPageBreak/>
        <w:tab/>
        <w:t>(a)</w:t>
      </w:r>
      <w:r>
        <w:tab/>
        <w:t>make a finding of reportable conduct in relation to the employee if the head of relevant entity has formed the view, on reasonable grounds, that reportable conduct involving the employee has occurred; or</w:t>
      </w:r>
    </w:p>
    <w:p>
      <w:pPr>
        <w:pStyle w:val="Indenta"/>
      </w:pPr>
      <w:r>
        <w:tab/>
        <w:t>(b)</w:t>
      </w:r>
      <w:r>
        <w:tab/>
        <w:t>make a finding that there are no grounds, or no reasonable grounds, for the head of the relevant entity to form the view that reportable conduct involving the employee has occurred.</w:t>
      </w:r>
    </w:p>
    <w:p>
      <w:pPr>
        <w:pStyle w:val="Subsection"/>
      </w:pPr>
      <w:r>
        <w:tab/>
        <w:t>(4)</w:t>
      </w:r>
      <w:r>
        <w:tab/>
        <w:t xml:space="preserve">As soon as practicable after making a finding of reportable conduct in relation to an employee under this Act, the head of the relevant entity must ensure that — </w:t>
      </w:r>
    </w:p>
    <w:p>
      <w:pPr>
        <w:pStyle w:val="Indenta"/>
      </w:pPr>
      <w:r>
        <w:tab/>
        <w:t>(a)</w:t>
      </w:r>
      <w:r>
        <w:tab/>
        <w:t>appropriate action is taken in relation to the employee in response to the finding; and</w:t>
      </w:r>
    </w:p>
    <w:p>
      <w:pPr>
        <w:pStyle w:val="Indenta"/>
      </w:pPr>
      <w:r>
        <w:tab/>
        <w:t>(b)</w:t>
      </w:r>
      <w:r>
        <w:tab/>
        <w:t>if the head of the relevant entity has formed the view that it is needed, appropriate action is taken to improve the identification or prevention of reportable conduct or the reporting, notification or investigation of reportable allegations and reportable convictions involving employees of the relevant entity.</w:t>
      </w:r>
    </w:p>
    <w:p>
      <w:pPr>
        <w:pStyle w:val="Subsection"/>
      </w:pPr>
      <w:r>
        <w:tab/>
        <w:t>(5)</w:t>
      </w:r>
      <w:r>
        <w:tab/>
        <w:t>The Commissioner may, in writing, request the head of a relevant entity to provide investigation information to the Commissioner.</w:t>
      </w:r>
    </w:p>
    <w:p>
      <w:pPr>
        <w:pStyle w:val="Subsection"/>
      </w:pPr>
      <w:r>
        <w:tab/>
        <w:t>(6)</w:t>
      </w:r>
      <w:r>
        <w:tab/>
        <w:t>The head of a relevant entity must comply with a request under subsection (5).</w:t>
      </w:r>
    </w:p>
    <w:p>
      <w:pPr>
        <w:pStyle w:val="Subsection"/>
        <w:keepNext/>
      </w:pPr>
      <w:r>
        <w:tab/>
        <w:t>(7)</w:t>
      </w:r>
      <w:r>
        <w:tab/>
        <w:t>It is an offence for the head of a relevant entity to fail, without reasonable excuse, to comply with subsection (1) or (6).</w:t>
      </w:r>
    </w:p>
    <w:p>
      <w:pPr>
        <w:pStyle w:val="Penstart"/>
        <w:keepNext/>
        <w:rPr>
          <w:snapToGrid w:val="0"/>
        </w:rPr>
      </w:pPr>
      <w:r>
        <w:tab/>
        <w:t>Penalty for this subsection:</w:t>
      </w:r>
      <w:r>
        <w:rPr>
          <w:snapToGrid w:val="0"/>
        </w:rPr>
        <w:t xml:space="preserve"> a fine of $5 000.</w:t>
      </w:r>
    </w:p>
    <w:p>
      <w:pPr>
        <w:pStyle w:val="Footnotesection"/>
      </w:pPr>
      <w:r>
        <w:tab/>
        <w:t>[Section 19W inserted: No. 25 of 2022 s. 7.]</w:t>
      </w:r>
    </w:p>
    <w:p>
      <w:pPr>
        <w:pStyle w:val="Heading5"/>
      </w:pPr>
      <w:bookmarkStart w:id="122" w:name="_Toc174950836"/>
      <w:r>
        <w:rPr>
          <w:rStyle w:val="CharSectno"/>
        </w:rPr>
        <w:lastRenderedPageBreak/>
        <w:t>19X</w:t>
      </w:r>
      <w:r>
        <w:t>.</w:t>
      </w:r>
      <w:r>
        <w:tab/>
        <w:t>Informing employee of certain matters and giving employee opportunity to make submissions</w:t>
      </w:r>
      <w:bookmarkEnd w:id="122"/>
    </w:p>
    <w:p>
      <w:pPr>
        <w:pStyle w:val="Subsection"/>
      </w:pPr>
      <w:r>
        <w:tab/>
        <w:t>(1)</w:t>
      </w:r>
      <w:r>
        <w:tab/>
        <w:t>This section applies if an employee of a relevant entity is the subject of an investigation under section 19W(1).</w:t>
      </w:r>
    </w:p>
    <w:p>
      <w:pPr>
        <w:pStyle w:val="Subsection"/>
      </w:pPr>
      <w:r>
        <w:tab/>
        <w:t>(2)</w:t>
      </w:r>
      <w:r>
        <w:tab/>
        <w:t xml:space="preserve">Before any adverse finding in relation to the employee is made as a result of the investigation, the head of the relevant entity — </w:t>
      </w:r>
    </w:p>
    <w:p>
      <w:pPr>
        <w:pStyle w:val="Indenta"/>
      </w:pPr>
      <w:r>
        <w:tab/>
        <w:t>(a)</w:t>
      </w:r>
      <w:r>
        <w:tab/>
        <w:t xml:space="preserve">must — </w:t>
      </w:r>
    </w:p>
    <w:p>
      <w:pPr>
        <w:pStyle w:val="Indenti"/>
      </w:pPr>
      <w:r>
        <w:tab/>
        <w:t>(i)</w:t>
      </w:r>
      <w:r>
        <w:tab/>
        <w:t>inform the employee that the employee is the subject of the investigation; and</w:t>
      </w:r>
    </w:p>
    <w:p>
      <w:pPr>
        <w:pStyle w:val="Indenti"/>
      </w:pPr>
      <w:r>
        <w:tab/>
        <w:t>(ii)</w:t>
      </w:r>
      <w:r>
        <w:tab/>
        <w:t>inform the employee of the reportable allegation or reportable conviction being investigated; and</w:t>
      </w:r>
    </w:p>
    <w:p>
      <w:pPr>
        <w:pStyle w:val="Indenti"/>
      </w:pPr>
      <w:r>
        <w:tab/>
        <w:t>(iii)</w:t>
      </w:r>
      <w:r>
        <w:tab/>
        <w:t>give the employee an opportunity to make submissions to the head of the relevant entity setting out the employee’s response in relation to the reportable allegation or reportable conviction being investigated;</w:t>
      </w:r>
    </w:p>
    <w:p>
      <w:pPr>
        <w:pStyle w:val="Indenta"/>
      </w:pPr>
      <w:r>
        <w:tab/>
      </w:r>
      <w:r>
        <w:tab/>
        <w:t>and</w:t>
      </w:r>
    </w:p>
    <w:p>
      <w:pPr>
        <w:pStyle w:val="Indenta"/>
      </w:pPr>
      <w:r>
        <w:tab/>
        <w:t>(b)</w:t>
      </w:r>
      <w:r>
        <w:tab/>
        <w:t xml:space="preserve">must, after complying with paragraph (a) and considering any submissions made by the employee — </w:t>
      </w:r>
    </w:p>
    <w:p>
      <w:pPr>
        <w:pStyle w:val="Indenti"/>
      </w:pPr>
      <w:r>
        <w:tab/>
        <w:t>(i)</w:t>
      </w:r>
      <w:r>
        <w:tab/>
        <w:t>inform the employee of the proposed adverse finding; and</w:t>
      </w:r>
    </w:p>
    <w:p>
      <w:pPr>
        <w:pStyle w:val="Indenti"/>
      </w:pPr>
      <w:r>
        <w:tab/>
        <w:t>(ii)</w:t>
      </w:r>
      <w:r>
        <w:tab/>
        <w:t>give the employee an opportunity to make submissions to the head of the relevant entity setting out the employee’s responses in relation to the proposed adverse finding.</w:t>
      </w:r>
    </w:p>
    <w:p>
      <w:pPr>
        <w:pStyle w:val="Subsection"/>
        <w:keepNext/>
      </w:pPr>
      <w:r>
        <w:tab/>
        <w:t>(3)</w:t>
      </w:r>
      <w:r>
        <w:tab/>
        <w:t xml:space="preserve">Before any disciplinary or other action is taken in relation to the employee as a result of the findings of the investigation, the head of the relevant entity must — </w:t>
      </w:r>
    </w:p>
    <w:p>
      <w:pPr>
        <w:pStyle w:val="Indenta"/>
      </w:pPr>
      <w:r>
        <w:tab/>
        <w:t>(a)</w:t>
      </w:r>
      <w:r>
        <w:tab/>
        <w:t>inform the employee of the action that is proposed to be taken; and</w:t>
      </w:r>
    </w:p>
    <w:p>
      <w:pPr>
        <w:pStyle w:val="Indenta"/>
      </w:pPr>
      <w:r>
        <w:tab/>
        <w:t>(b)</w:t>
      </w:r>
      <w:r>
        <w:tab/>
        <w:t xml:space="preserve">give the employee an opportunity to make submissions to the head of the relevant entity setting out the </w:t>
      </w:r>
      <w:r>
        <w:lastRenderedPageBreak/>
        <w:t>employee’s response in relation to the action that is proposed to be taken.</w:t>
      </w:r>
    </w:p>
    <w:p>
      <w:pPr>
        <w:pStyle w:val="Footnotesection"/>
      </w:pPr>
      <w:r>
        <w:tab/>
        <w:t>[Section 19X inserted: No. 25 of 2022 s. 7.]</w:t>
      </w:r>
    </w:p>
    <w:p>
      <w:pPr>
        <w:pStyle w:val="Heading5"/>
      </w:pPr>
      <w:bookmarkStart w:id="123" w:name="_Toc174950837"/>
      <w:r>
        <w:rPr>
          <w:rStyle w:val="CharSectno"/>
        </w:rPr>
        <w:t>19Y</w:t>
      </w:r>
      <w:r>
        <w:t>.</w:t>
      </w:r>
      <w:r>
        <w:tab/>
        <w:t>Commissioner must be notified of matters affecting investigation</w:t>
      </w:r>
      <w:bookmarkEnd w:id="123"/>
    </w:p>
    <w:p>
      <w:pPr>
        <w:pStyle w:val="Subsection"/>
      </w:pPr>
      <w:r>
        <w:tab/>
        <w:t>(1)</w:t>
      </w:r>
      <w:r>
        <w:tab/>
        <w:t xml:space="preserve">The head of a relevant entity must, as soon as practicable, notify the Commissioner if, in relation to a matter being investigated under section 19W(1), the head of the relevant entity — </w:t>
      </w:r>
    </w:p>
    <w:p>
      <w:pPr>
        <w:pStyle w:val="Indenta"/>
      </w:pPr>
      <w:r>
        <w:tab/>
        <w:t>(a)</w:t>
      </w:r>
      <w:r>
        <w:tab/>
        <w:t xml:space="preserve">forms the view on reasonable grounds that — </w:t>
      </w:r>
    </w:p>
    <w:p>
      <w:pPr>
        <w:pStyle w:val="Indenti"/>
      </w:pPr>
      <w:r>
        <w:tab/>
        <w:t>(i)</w:t>
      </w:r>
      <w:r>
        <w:tab/>
        <w:t>the matter does not constitute reportable conduct; or</w:t>
      </w:r>
    </w:p>
    <w:p>
      <w:pPr>
        <w:pStyle w:val="Indenti"/>
      </w:pPr>
      <w:r>
        <w:tab/>
        <w:t>(ii)</w:t>
      </w:r>
      <w:r>
        <w:tab/>
        <w:t>the report of the matter to the relevant entity under section 19T is frivolous or vexatious or not made in good faith;</w:t>
      </w:r>
    </w:p>
    <w:p>
      <w:pPr>
        <w:pStyle w:val="Indenta"/>
      </w:pPr>
      <w:r>
        <w:tab/>
      </w:r>
      <w:r>
        <w:tab/>
        <w:t>or</w:t>
      </w:r>
    </w:p>
    <w:p>
      <w:pPr>
        <w:pStyle w:val="Indenta"/>
      </w:pPr>
      <w:r>
        <w:tab/>
        <w:t>(b)</w:t>
      </w:r>
      <w:r>
        <w:tab/>
        <w:t>becomes aware that another appropriate person or body is dealing with or investigating the matter; or</w:t>
      </w:r>
    </w:p>
    <w:p>
      <w:pPr>
        <w:pStyle w:val="Indenta"/>
      </w:pPr>
      <w:r>
        <w:tab/>
        <w:t>(c)</w:t>
      </w:r>
      <w:r>
        <w:tab/>
        <w:t>is required by law to comply with the directions of another person or body in relation to the investigation of the matter; or</w:t>
      </w:r>
    </w:p>
    <w:p>
      <w:pPr>
        <w:pStyle w:val="Indenta"/>
      </w:pPr>
      <w:r>
        <w:tab/>
        <w:t>(d)</w:t>
      </w:r>
      <w:r>
        <w:tab/>
        <w:t>is requested or directed by another appropriate person or body to cease, or discontinue for a period, the investigation of the matter.</w:t>
      </w:r>
    </w:p>
    <w:p>
      <w:pPr>
        <w:pStyle w:val="Subsection"/>
        <w:keepNext/>
      </w:pPr>
      <w:r>
        <w:tab/>
        <w:t>(2)</w:t>
      </w:r>
      <w:r>
        <w:tab/>
        <w:t xml:space="preserve">The notice must — </w:t>
      </w:r>
    </w:p>
    <w:p>
      <w:pPr>
        <w:pStyle w:val="Indenta"/>
      </w:pPr>
      <w:r>
        <w:tab/>
        <w:t>(a)</w:t>
      </w:r>
      <w:r>
        <w:tab/>
        <w:t>be given in writing and be in the form approved by the Commissioner (if any); and</w:t>
      </w:r>
    </w:p>
    <w:p>
      <w:pPr>
        <w:pStyle w:val="Indenta"/>
      </w:pPr>
      <w:r>
        <w:tab/>
        <w:t>(b)</w:t>
      </w:r>
      <w:r>
        <w:tab/>
        <w:t>contain the information required by the Commissioner.</w:t>
      </w:r>
    </w:p>
    <w:p>
      <w:pPr>
        <w:pStyle w:val="Subsection"/>
      </w:pPr>
      <w:r>
        <w:tab/>
        <w:t>(3)</w:t>
      </w:r>
      <w:r>
        <w:tab/>
        <w:t>The head of the relevant entity may, in the notice, request the Commissioner to exempt the head of the relevant entity under section 19P(1) from the requirement to continue the investigation.</w:t>
      </w:r>
    </w:p>
    <w:p>
      <w:pPr>
        <w:pStyle w:val="Footnotesection"/>
      </w:pPr>
      <w:r>
        <w:lastRenderedPageBreak/>
        <w:tab/>
        <w:t>[Section 19Y inserted: No. 25 of 2022 s. 7.]</w:t>
      </w:r>
    </w:p>
    <w:p>
      <w:pPr>
        <w:pStyle w:val="Heading5"/>
      </w:pPr>
      <w:bookmarkStart w:id="124" w:name="_Toc174950838"/>
      <w:r>
        <w:rPr>
          <w:rStyle w:val="CharSectno"/>
        </w:rPr>
        <w:t>19Z</w:t>
      </w:r>
      <w:r>
        <w:t>.</w:t>
      </w:r>
      <w:r>
        <w:tab/>
        <w:t>Head of relevant entity must report outcome of investigation to Commissioner</w:t>
      </w:r>
      <w:bookmarkEnd w:id="124"/>
    </w:p>
    <w:p>
      <w:pPr>
        <w:pStyle w:val="Subsection"/>
      </w:pPr>
      <w:r>
        <w:tab/>
        <w:t>(1)</w:t>
      </w:r>
      <w:r>
        <w:tab/>
        <w:t xml:space="preserve">The head of a relevant entity must, as soon as practicable after the end of an investigation under section 19W(1), give the Commissioner — </w:t>
      </w:r>
    </w:p>
    <w:p>
      <w:pPr>
        <w:pStyle w:val="Indenta"/>
      </w:pPr>
      <w:r>
        <w:tab/>
        <w:t>(a)</w:t>
      </w:r>
      <w:r>
        <w:tab/>
        <w:t xml:space="preserve">a written report setting out — </w:t>
      </w:r>
    </w:p>
    <w:p>
      <w:pPr>
        <w:pStyle w:val="Indenti"/>
      </w:pPr>
      <w:r>
        <w:tab/>
        <w:t>(i)</w:t>
      </w:r>
      <w:r>
        <w:tab/>
        <w:t>the findings of the investigation and the reasons for those findings; and</w:t>
      </w:r>
    </w:p>
    <w:p>
      <w:pPr>
        <w:pStyle w:val="Indenti"/>
      </w:pPr>
      <w:r>
        <w:tab/>
        <w:t>(ii)</w:t>
      </w:r>
      <w:r>
        <w:tab/>
        <w:t>any submissions made by the employee under section 19X; and</w:t>
      </w:r>
    </w:p>
    <w:p>
      <w:pPr>
        <w:pStyle w:val="Indenti"/>
      </w:pPr>
      <w:r>
        <w:tab/>
        <w:t>(iii)</w:t>
      </w:r>
      <w:r>
        <w:tab/>
        <w:t>any disciplinary or other action taken, or proposed to be taken, in relation to the employee as a result of the findings of the investigation; and</w:t>
      </w:r>
    </w:p>
    <w:p>
      <w:pPr>
        <w:pStyle w:val="Indenti"/>
      </w:pPr>
      <w:r>
        <w:tab/>
        <w:t>(iv)</w:t>
      </w:r>
      <w:r>
        <w:tab/>
        <w:t>if the entity does not propose to take any disciplinary or other action in relation to the employee — the reasons why no action is to be taken; and</w:t>
      </w:r>
    </w:p>
    <w:p>
      <w:pPr>
        <w:pStyle w:val="Indenti"/>
        <w:keepNext/>
      </w:pPr>
      <w:r>
        <w:tab/>
        <w:t>(v)</w:t>
      </w:r>
      <w:r>
        <w:tab/>
        <w:t>any action taken, or proposed to be taken, as a result of the findings of the investigation, to improve the identification or prevention of reportable conduct, or the reporting, notification or investigation of reportable allegations and reportable convictions, involving employees of the relevant entity;</w:t>
      </w:r>
    </w:p>
    <w:p>
      <w:pPr>
        <w:pStyle w:val="Indenta"/>
      </w:pPr>
      <w:r>
        <w:tab/>
      </w:r>
      <w:r>
        <w:tab/>
        <w:t>and</w:t>
      </w:r>
    </w:p>
    <w:p>
      <w:pPr>
        <w:pStyle w:val="Indenta"/>
      </w:pPr>
      <w:r>
        <w:tab/>
        <w:t>(b)</w:t>
      </w:r>
      <w:r>
        <w:tab/>
        <w:t>any other information that the head of the relevant entity considers relevant to the report.</w:t>
      </w:r>
    </w:p>
    <w:p>
      <w:pPr>
        <w:pStyle w:val="Subsection"/>
      </w:pPr>
      <w:r>
        <w:tab/>
        <w:t>(2)</w:t>
      </w:r>
      <w:r>
        <w:tab/>
        <w:t xml:space="preserve">After receiving the report and other information, the Commissioner may, by written notice given to the head of the relevant entity, request any additional information specified in </w:t>
      </w:r>
      <w:r>
        <w:lastRenderedPageBreak/>
        <w:t>the notice that the Commissioner considers relevant to determine whether —</w:t>
      </w:r>
    </w:p>
    <w:p>
      <w:pPr>
        <w:pStyle w:val="Indenta"/>
      </w:pPr>
      <w:r>
        <w:tab/>
        <w:t>(a)</w:t>
      </w:r>
      <w:r>
        <w:tab/>
        <w:t>the reportable allegation or reportable conviction was properly investigated; and</w:t>
      </w:r>
    </w:p>
    <w:p>
      <w:pPr>
        <w:pStyle w:val="Indenta"/>
      </w:pPr>
      <w:r>
        <w:tab/>
        <w:t>(b)</w:t>
      </w:r>
      <w:r>
        <w:tab/>
        <w:t>appropriate action was taken as a result of the investigation.</w:t>
      </w:r>
    </w:p>
    <w:p>
      <w:pPr>
        <w:pStyle w:val="Subsection"/>
      </w:pPr>
      <w:r>
        <w:tab/>
        <w:t>(3)</w:t>
      </w:r>
      <w:r>
        <w:tab/>
        <w:t>The head of a relevant entity must comply with a request under subsection (2).</w:t>
      </w:r>
    </w:p>
    <w:p>
      <w:pPr>
        <w:pStyle w:val="Subsection"/>
      </w:pPr>
      <w:r>
        <w:tab/>
        <w:t>(4)</w:t>
      </w:r>
      <w:r>
        <w:tab/>
        <w:t>It is an offence for the head of a relevant entity to fail, without reasonable excuse, to comply with subsection (1) or (3).</w:t>
      </w:r>
    </w:p>
    <w:p>
      <w:pPr>
        <w:pStyle w:val="Penstart"/>
        <w:rPr>
          <w:snapToGrid w:val="0"/>
        </w:rPr>
      </w:pPr>
      <w:r>
        <w:tab/>
        <w:t>Penalty for this subsection:</w:t>
      </w:r>
      <w:r>
        <w:rPr>
          <w:snapToGrid w:val="0"/>
        </w:rPr>
        <w:t xml:space="preserve"> a fine of $5 000.</w:t>
      </w:r>
    </w:p>
    <w:p>
      <w:pPr>
        <w:pStyle w:val="Footnotesection"/>
      </w:pPr>
      <w:r>
        <w:tab/>
        <w:t>[Section 19Z inserted: No. 25 of 2022 s. 7.]</w:t>
      </w:r>
    </w:p>
    <w:p>
      <w:pPr>
        <w:pStyle w:val="Heading5"/>
      </w:pPr>
      <w:bookmarkStart w:id="125" w:name="_Toc174950839"/>
      <w:r>
        <w:rPr>
          <w:rStyle w:val="CharSectno"/>
        </w:rPr>
        <w:t>19ZA</w:t>
      </w:r>
      <w:r>
        <w:t>.</w:t>
      </w:r>
      <w:r>
        <w:tab/>
        <w:t>Head of relevant entity must report outcome of investigation to employee if employee informed of investigation</w:t>
      </w:r>
      <w:bookmarkEnd w:id="125"/>
    </w:p>
    <w:p>
      <w:pPr>
        <w:pStyle w:val="Subsection"/>
      </w:pPr>
      <w:r>
        <w:tab/>
        <w:t>(1)</w:t>
      </w:r>
      <w:r>
        <w:tab/>
        <w:t>This section applies if an employee of a relevant entity is the subject of an investigation under section 19W(1) and the head of the relevant entity has informed the employee of the investigation.</w:t>
      </w:r>
    </w:p>
    <w:p>
      <w:pPr>
        <w:pStyle w:val="Subsection"/>
      </w:pPr>
      <w:r>
        <w:tab/>
        <w:t>(2)</w:t>
      </w:r>
      <w:r>
        <w:tab/>
        <w:t>The head of a relevant entity must, as soon as practicable after the end of an investigation under section 19W(1), give the employee —</w:t>
      </w:r>
    </w:p>
    <w:p>
      <w:pPr>
        <w:pStyle w:val="Indenta"/>
      </w:pPr>
      <w:r>
        <w:tab/>
        <w:t>(a)</w:t>
      </w:r>
      <w:r>
        <w:tab/>
        <w:t>written notice stating that the investigation has ended; and</w:t>
      </w:r>
    </w:p>
    <w:p>
      <w:pPr>
        <w:pStyle w:val="Indenta"/>
      </w:pPr>
      <w:r>
        <w:tab/>
        <w:t>(b)</w:t>
      </w:r>
      <w:r>
        <w:tab/>
        <w:t>a written report setting out the findings of the investigation and the reasons for those findings.</w:t>
      </w:r>
    </w:p>
    <w:p>
      <w:pPr>
        <w:pStyle w:val="Footnotesection"/>
      </w:pPr>
      <w:r>
        <w:tab/>
        <w:t>[Section 19ZA inserted: No. 25 of 2022 s. 7.]</w:t>
      </w:r>
    </w:p>
    <w:p>
      <w:pPr>
        <w:pStyle w:val="Heading5"/>
      </w:pPr>
      <w:bookmarkStart w:id="126" w:name="_Toc174950840"/>
      <w:r>
        <w:rPr>
          <w:rStyle w:val="CharSectno"/>
        </w:rPr>
        <w:lastRenderedPageBreak/>
        <w:t>19ZB</w:t>
      </w:r>
      <w:r>
        <w:t>.</w:t>
      </w:r>
      <w:r>
        <w:tab/>
        <w:t>Commissioner may conduct own investigation</w:t>
      </w:r>
      <w:bookmarkEnd w:id="126"/>
    </w:p>
    <w:p>
      <w:pPr>
        <w:pStyle w:val="Subsection"/>
        <w:keepNext/>
      </w:pPr>
      <w:r>
        <w:tab/>
        <w:t>(1)</w:t>
      </w:r>
      <w:r>
        <w:tab/>
        <w:t xml:space="preserve">The Commissioner may conduct an investigation into any of the following — </w:t>
      </w:r>
    </w:p>
    <w:p>
      <w:pPr>
        <w:pStyle w:val="Indenta"/>
      </w:pPr>
      <w:r>
        <w:tab/>
        <w:t>(a)</w:t>
      </w:r>
      <w:r>
        <w:tab/>
        <w:t>any reportable allegation or reportable conviction involving an employee of a relevant entity;</w:t>
      </w:r>
    </w:p>
    <w:p>
      <w:pPr>
        <w:pStyle w:val="Indenta"/>
      </w:pPr>
      <w:r>
        <w:tab/>
        <w:t>(b)</w:t>
      </w:r>
      <w:r>
        <w:tab/>
        <w:t>the handling or investigation by the head of a relevant entity of a reportable allegation or reportable conviction involving an employee of the relevant entity;</w:t>
      </w:r>
    </w:p>
    <w:p>
      <w:pPr>
        <w:pStyle w:val="Indenta"/>
      </w:pPr>
      <w:r>
        <w:tab/>
        <w:t>(c)</w:t>
      </w:r>
      <w:r>
        <w:tab/>
        <w:t>any action taken or not taken by the head of a relevant entity in response to a finding of reportable conduct in relation to an employee of the relevant entity.</w:t>
      </w:r>
    </w:p>
    <w:p>
      <w:pPr>
        <w:pStyle w:val="Subsection"/>
      </w:pPr>
      <w:r>
        <w:tab/>
        <w:t>(2)</w:t>
      </w:r>
      <w:r>
        <w:tab/>
        <w:t>The Commissioner must not conduct an investigation under this section unless the Commissioner considers that it is in the public interest to do so.</w:t>
      </w:r>
    </w:p>
    <w:p>
      <w:pPr>
        <w:pStyle w:val="Subsection"/>
      </w:pPr>
      <w:r>
        <w:tab/>
        <w:t>(3)</w:t>
      </w:r>
      <w:r>
        <w:tab/>
        <w:t>The Commissioner may decide to conduct an investigation under this section —</w:t>
      </w:r>
    </w:p>
    <w:p>
      <w:pPr>
        <w:pStyle w:val="Indenta"/>
      </w:pPr>
      <w:r>
        <w:tab/>
        <w:t>(a)</w:t>
      </w:r>
      <w:r>
        <w:tab/>
        <w:t>on the Commissioner’s own initiative; or</w:t>
      </w:r>
    </w:p>
    <w:p>
      <w:pPr>
        <w:pStyle w:val="Indenta"/>
      </w:pPr>
      <w:r>
        <w:tab/>
        <w:t>(b)</w:t>
      </w:r>
      <w:r>
        <w:tab/>
        <w:t>i</w:t>
      </w:r>
      <w:r>
        <w:rPr>
          <w:szCs w:val="24"/>
        </w:rPr>
        <w:t>n response to a report or disclosure under this Division</w:t>
      </w:r>
      <w:r>
        <w:t>; or</w:t>
      </w:r>
    </w:p>
    <w:p>
      <w:pPr>
        <w:pStyle w:val="Indenta"/>
      </w:pPr>
      <w:r>
        <w:tab/>
        <w:t>(c)</w:t>
      </w:r>
      <w:r>
        <w:tab/>
        <w:t xml:space="preserve">in response to </w:t>
      </w:r>
      <w:r>
        <w:rPr>
          <w:szCs w:val="24"/>
        </w:rPr>
        <w:t>a complaint made to the Commissioner by an employee of a relevant entity in relation to any of the following</w:t>
      </w:r>
      <w:r>
        <w:t xml:space="preserve"> — </w:t>
      </w:r>
    </w:p>
    <w:p>
      <w:pPr>
        <w:pStyle w:val="Indenti"/>
      </w:pPr>
      <w:r>
        <w:tab/>
        <w:t>(i)</w:t>
      </w:r>
      <w:r>
        <w:tab/>
      </w:r>
      <w:r>
        <w:rPr>
          <w:szCs w:val="24"/>
        </w:rPr>
        <w:t>the handling or investigation by the head of a relevant entity under this Division of a reportable allegation or reportable conviction involving the employee</w:t>
      </w:r>
      <w:r>
        <w:t>;</w:t>
      </w:r>
    </w:p>
    <w:p>
      <w:pPr>
        <w:pStyle w:val="Indenti"/>
      </w:pPr>
      <w:r>
        <w:tab/>
        <w:t>(ii)</w:t>
      </w:r>
      <w:r>
        <w:tab/>
        <w:t>a finding of reportable conduct in relation to the employee;</w:t>
      </w:r>
    </w:p>
    <w:p>
      <w:pPr>
        <w:pStyle w:val="Indenti"/>
      </w:pPr>
      <w:r>
        <w:tab/>
        <w:t>(iii)</w:t>
      </w:r>
      <w:r>
        <w:tab/>
        <w:t>any action taken or not taken by the head of a relevant entity in response to a finding of reportable conduct in relation to the employee;</w:t>
      </w:r>
    </w:p>
    <w:p>
      <w:pPr>
        <w:pStyle w:val="Indenta"/>
      </w:pPr>
      <w:r>
        <w:rPr>
          <w:szCs w:val="24"/>
        </w:rPr>
        <w:tab/>
      </w:r>
      <w:r>
        <w:rPr>
          <w:szCs w:val="24"/>
        </w:rPr>
        <w:tab/>
        <w:t>or</w:t>
      </w:r>
    </w:p>
    <w:p>
      <w:pPr>
        <w:pStyle w:val="Indenta"/>
      </w:pPr>
      <w:r>
        <w:lastRenderedPageBreak/>
        <w:tab/>
        <w:t>(d)</w:t>
      </w:r>
      <w:r>
        <w:tab/>
        <w:t xml:space="preserve">in response to </w:t>
      </w:r>
      <w:r>
        <w:rPr>
          <w:szCs w:val="24"/>
        </w:rPr>
        <w:t>a complaint made to the Commissioner by any other person in relation to any of the following that affects the person in the person’s personal capacity</w:t>
      </w:r>
      <w:r>
        <w:t xml:space="preserve"> — </w:t>
      </w:r>
    </w:p>
    <w:p>
      <w:pPr>
        <w:pStyle w:val="Indenti"/>
      </w:pPr>
      <w:r>
        <w:tab/>
        <w:t>(i)</w:t>
      </w:r>
      <w:r>
        <w:tab/>
      </w:r>
      <w:r>
        <w:rPr>
          <w:szCs w:val="24"/>
        </w:rPr>
        <w:t>the handling or investigation by the head of a relevant entity under this Division of a reportable allegation or reportable conviction involving an employee of the relevant entity</w:t>
      </w:r>
      <w:r>
        <w:t>;</w:t>
      </w:r>
    </w:p>
    <w:p>
      <w:pPr>
        <w:pStyle w:val="Indenti"/>
      </w:pPr>
      <w:r>
        <w:tab/>
        <w:t>(ii)</w:t>
      </w:r>
      <w:r>
        <w:tab/>
        <w:t>a finding of reportable conduct in relation to an employee of the relevant entity;</w:t>
      </w:r>
    </w:p>
    <w:p>
      <w:pPr>
        <w:pStyle w:val="Indenti"/>
      </w:pPr>
      <w:r>
        <w:tab/>
        <w:t>(iii)</w:t>
      </w:r>
      <w:r>
        <w:tab/>
        <w:t>any action taken or not taken by the head of a relevant entity in response to a finding of reportable conduct in relation to an employee of the relevant entity.</w:t>
      </w:r>
    </w:p>
    <w:p>
      <w:pPr>
        <w:pStyle w:val="Subsection"/>
      </w:pPr>
      <w:r>
        <w:tab/>
        <w:t>(4)</w:t>
      </w:r>
      <w:r>
        <w:tab/>
        <w:t xml:space="preserve">The Commissioner may make the following findings following an investigation under subsection (1)(a) — </w:t>
      </w:r>
    </w:p>
    <w:p>
      <w:pPr>
        <w:pStyle w:val="Indenta"/>
      </w:pPr>
      <w:r>
        <w:tab/>
        <w:t>(a)</w:t>
      </w:r>
      <w:r>
        <w:tab/>
        <w:t xml:space="preserve">in the case of an investigation of a reportable allegation involving an employee of a relevant entity — </w:t>
      </w:r>
    </w:p>
    <w:p>
      <w:pPr>
        <w:pStyle w:val="Indenti"/>
      </w:pPr>
      <w:r>
        <w:tab/>
        <w:t>(i)</w:t>
      </w:r>
      <w:r>
        <w:tab/>
        <w:t>that the Commissioner is of the opinion that the employee has engaged in reportable conduct; or</w:t>
      </w:r>
    </w:p>
    <w:p>
      <w:pPr>
        <w:pStyle w:val="Indenti"/>
      </w:pPr>
      <w:r>
        <w:tab/>
        <w:t>(ii)</w:t>
      </w:r>
      <w:r>
        <w:tab/>
        <w:t>that there are no grounds, or no reasonable grounds, for the Commissioner to form the opinion that the employee has engaged in reportable conduct;</w:t>
      </w:r>
    </w:p>
    <w:p>
      <w:pPr>
        <w:pStyle w:val="Indenta"/>
      </w:pPr>
      <w:r>
        <w:tab/>
        <w:t>(b)</w:t>
      </w:r>
      <w:r>
        <w:tab/>
        <w:t xml:space="preserve">in the case of an investigation of a reportable conviction involving an employee of a relevant entity — </w:t>
      </w:r>
    </w:p>
    <w:p>
      <w:pPr>
        <w:pStyle w:val="Indenti"/>
      </w:pPr>
      <w:r>
        <w:tab/>
        <w:t>(i)</w:t>
      </w:r>
      <w:r>
        <w:tab/>
        <w:t>that the employee has a reportable conviction; or</w:t>
      </w:r>
    </w:p>
    <w:p>
      <w:pPr>
        <w:pStyle w:val="Indenti"/>
      </w:pPr>
      <w:r>
        <w:tab/>
        <w:t>(ii)</w:t>
      </w:r>
      <w:r>
        <w:tab/>
        <w:t>that the employee does not have a reportable conviction.</w:t>
      </w:r>
    </w:p>
    <w:p>
      <w:pPr>
        <w:pStyle w:val="Footnotesection"/>
      </w:pPr>
      <w:r>
        <w:tab/>
        <w:t>[Section 19ZB inserted: No. 25 of 2022 s. 7.]</w:t>
      </w:r>
    </w:p>
    <w:p>
      <w:pPr>
        <w:pStyle w:val="Heading5"/>
      </w:pPr>
      <w:bookmarkStart w:id="127" w:name="_Toc174950841"/>
      <w:r>
        <w:rPr>
          <w:rStyle w:val="CharSectno"/>
        </w:rPr>
        <w:lastRenderedPageBreak/>
        <w:t>19ZC</w:t>
      </w:r>
      <w:r>
        <w:t>.</w:t>
      </w:r>
      <w:r>
        <w:tab/>
        <w:t>Notice to head of relevant entity of Commissioner’s investigation</w:t>
      </w:r>
      <w:bookmarkEnd w:id="127"/>
    </w:p>
    <w:p>
      <w:pPr>
        <w:pStyle w:val="Subsection"/>
      </w:pPr>
      <w:r>
        <w:tab/>
        <w:t>(1)</w:t>
      </w:r>
      <w:r>
        <w:tab/>
        <w:t>If the Commissioner decides to conduct an investigation under section 19ZB, the Commissioner must give the head of the relevant entity written notice stating —</w:t>
      </w:r>
    </w:p>
    <w:p>
      <w:pPr>
        <w:pStyle w:val="Indenta"/>
      </w:pPr>
      <w:r>
        <w:tab/>
        <w:t>(a)</w:t>
      </w:r>
      <w:r>
        <w:tab/>
        <w:t>that the Commissioner intends to conduct an investigation under section 19ZB; and</w:t>
      </w:r>
    </w:p>
    <w:p>
      <w:pPr>
        <w:pStyle w:val="Indenta"/>
      </w:pPr>
      <w:r>
        <w:tab/>
        <w:t>(b)</w:t>
      </w:r>
      <w:r>
        <w:tab/>
        <w:t>the matters to be investigated; and</w:t>
      </w:r>
    </w:p>
    <w:p>
      <w:pPr>
        <w:pStyle w:val="Indenta"/>
      </w:pPr>
      <w:r>
        <w:tab/>
        <w:t>(c)</w:t>
      </w:r>
      <w:r>
        <w:tab/>
        <w:t>whether the Commissioner requires the head of the relevant entity not to commence, or to suspend, an investigation into a matter the Commissioner has decided to investigate.</w:t>
      </w:r>
    </w:p>
    <w:p>
      <w:pPr>
        <w:pStyle w:val="Subsection"/>
      </w:pPr>
      <w:r>
        <w:tab/>
        <w:t>(2)</w:t>
      </w:r>
      <w:r>
        <w:tab/>
        <w:t>The Commissioner, on completing an investigation under section 19ZB, may require the head of the relevant entity to continue an investigation that is suspended under subsection (1)(c).</w:t>
      </w:r>
    </w:p>
    <w:p>
      <w:pPr>
        <w:pStyle w:val="Subsection"/>
      </w:pPr>
      <w:r>
        <w:tab/>
        <w:t>(3)</w:t>
      </w:r>
      <w:r>
        <w:tab/>
        <w:t>The head of a relevant entity must, as far as practicable, comply with a requirement of the Commissioner under subsection (1)(c) or (2).</w:t>
      </w:r>
    </w:p>
    <w:p>
      <w:pPr>
        <w:pStyle w:val="Subsection"/>
      </w:pPr>
      <w:r>
        <w:tab/>
        <w:t>(4)</w:t>
      </w:r>
      <w:r>
        <w:tab/>
        <w:t>It is an offence for the head of a relevant entity to fail, without reasonable excuse, to comply with subsection (3).</w:t>
      </w:r>
    </w:p>
    <w:p>
      <w:pPr>
        <w:pStyle w:val="Penstart"/>
        <w:rPr>
          <w:snapToGrid w:val="0"/>
        </w:rPr>
      </w:pPr>
      <w:r>
        <w:tab/>
        <w:t>Penalty for this subsection:</w:t>
      </w:r>
      <w:r>
        <w:rPr>
          <w:snapToGrid w:val="0"/>
        </w:rPr>
        <w:t xml:space="preserve"> a fine of $5 000.</w:t>
      </w:r>
    </w:p>
    <w:p>
      <w:pPr>
        <w:pStyle w:val="Footnotesection"/>
      </w:pPr>
      <w:r>
        <w:tab/>
        <w:t>[Section 19ZC inserted: No. 25 of 2022 s. 7.]</w:t>
      </w:r>
    </w:p>
    <w:p>
      <w:pPr>
        <w:pStyle w:val="Heading5"/>
      </w:pPr>
      <w:bookmarkStart w:id="128" w:name="_Toc174950842"/>
      <w:r>
        <w:rPr>
          <w:rStyle w:val="CharSectno"/>
        </w:rPr>
        <w:t>19ZD</w:t>
      </w:r>
      <w:r>
        <w:t>.</w:t>
      </w:r>
      <w:r>
        <w:tab/>
        <w:t>Provisions relating to investigation under section 19ZB(1)(a)</w:t>
      </w:r>
      <w:bookmarkEnd w:id="128"/>
    </w:p>
    <w:p>
      <w:pPr>
        <w:pStyle w:val="Subsection"/>
      </w:pPr>
      <w:r>
        <w:tab/>
        <w:t>(1)</w:t>
      </w:r>
      <w:r>
        <w:tab/>
        <w:t>This section applies if the Commissioner decides to conduct an investigation under section 19ZB(1)(a).</w:t>
      </w:r>
    </w:p>
    <w:p>
      <w:pPr>
        <w:pStyle w:val="Subsection"/>
      </w:pPr>
      <w:r>
        <w:tab/>
        <w:t>(2)</w:t>
      </w:r>
      <w:r>
        <w:tab/>
        <w:t>The Commissioner must give the employee who is the subject of the investigation written notice stating —</w:t>
      </w:r>
    </w:p>
    <w:p>
      <w:pPr>
        <w:pStyle w:val="Indenta"/>
      </w:pPr>
      <w:r>
        <w:tab/>
        <w:t>(a)</w:t>
      </w:r>
      <w:r>
        <w:tab/>
        <w:t>that the Commissioner intends to conduct an investigation under section 19ZB(1)(a); and</w:t>
      </w:r>
    </w:p>
    <w:p>
      <w:pPr>
        <w:pStyle w:val="Indenta"/>
      </w:pPr>
      <w:r>
        <w:lastRenderedPageBreak/>
        <w:tab/>
        <w:t>(b)</w:t>
      </w:r>
      <w:r>
        <w:tab/>
        <w:t>the reportable allegation or reportable conviction to be investigated.</w:t>
      </w:r>
    </w:p>
    <w:p>
      <w:pPr>
        <w:pStyle w:val="Subsection"/>
      </w:pPr>
      <w:r>
        <w:tab/>
        <w:t>(3)</w:t>
      </w:r>
      <w:r>
        <w:tab/>
        <w:t xml:space="preserve">As soon as practicable after the investigation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Subsection"/>
      </w:pPr>
      <w:r>
        <w:tab/>
        <w:t>(4)</w:t>
      </w:r>
      <w:r>
        <w:tab/>
        <w:t xml:space="preserve">The head of a relevant entity must not take any action to implement a recommendation of the Commissioner under subsection (3)(b) involving an employee of the relevant entity until the later of the following — </w:t>
      </w:r>
    </w:p>
    <w:p>
      <w:pPr>
        <w:pStyle w:val="Indenta"/>
      </w:pPr>
      <w:r>
        <w:tab/>
        <w:t>(a)</w:t>
      </w:r>
      <w:r>
        <w:tab/>
        <w:t>the end of the period under section 19ZF(2) for the employee to apply for a review of a finding of the Commissioner on the investigation;</w:t>
      </w:r>
    </w:p>
    <w:p>
      <w:pPr>
        <w:pStyle w:val="Indenta"/>
      </w:pPr>
      <w:r>
        <w:tab/>
        <w:t>(b)</w:t>
      </w:r>
      <w:r>
        <w:tab/>
        <w:t>if the employee makes an application under section 19ZF(1) for a review of a finding of the Commissioner on the investigation — the final determination of the review.</w:t>
      </w:r>
    </w:p>
    <w:p>
      <w:pPr>
        <w:pStyle w:val="Subsection"/>
      </w:pPr>
      <w:r>
        <w:tab/>
        <w:t>(5)</w:t>
      </w:r>
      <w:r>
        <w:tab/>
        <w:t xml:space="preserve">Nothing in subsection (4) prevents — </w:t>
      </w:r>
    </w:p>
    <w:p>
      <w:pPr>
        <w:pStyle w:val="Indenta"/>
      </w:pPr>
      <w:r>
        <w:tab/>
        <w:t>(a)</w:t>
      </w:r>
      <w:r>
        <w:tab/>
        <w:t>the CEO as defined in the CCS Act section 3 from taking action under that Act to safeguard or promote a child’s wellbeing; or</w:t>
      </w:r>
    </w:p>
    <w:p>
      <w:pPr>
        <w:pStyle w:val="Indenta"/>
      </w:pPr>
      <w:r>
        <w:tab/>
        <w:t>(b)</w:t>
      </w:r>
      <w:r>
        <w:tab/>
        <w:t>the head of a relevant entity taking any action that the head of the relevant entity considers should be taken to safeguard or promote a child’s wellbeing.</w:t>
      </w:r>
    </w:p>
    <w:p>
      <w:pPr>
        <w:pStyle w:val="Subsection"/>
      </w:pPr>
      <w:r>
        <w:lastRenderedPageBreak/>
        <w:tab/>
        <w:t>(6)</w:t>
      </w:r>
      <w:r>
        <w:tab/>
        <w:t xml:space="preserve">As soon as practicable after the investigation ends, the Commissioner must give the employee who was the subject of the investigation — </w:t>
      </w:r>
    </w:p>
    <w:p>
      <w:pPr>
        <w:pStyle w:val="Indenta"/>
      </w:pPr>
      <w:r>
        <w:tab/>
        <w:t>(a)</w:t>
      </w:r>
      <w:r>
        <w:tab/>
        <w:t>written notice stating that the investigation has ended; and</w:t>
      </w:r>
    </w:p>
    <w:p>
      <w:pPr>
        <w:pStyle w:val="Indenta"/>
      </w:pPr>
      <w:r>
        <w:tab/>
        <w:t>(b)</w:t>
      </w:r>
      <w:r>
        <w:tab/>
        <w:t xml:space="preserve">a written report setting out — </w:t>
      </w:r>
    </w:p>
    <w:p>
      <w:pPr>
        <w:pStyle w:val="Indenti"/>
      </w:pPr>
      <w:r>
        <w:tab/>
        <w:t>(i)</w:t>
      </w:r>
      <w:r>
        <w:tab/>
        <w:t>the findings of the investigation and the reasons for those findings; and</w:t>
      </w:r>
    </w:p>
    <w:p>
      <w:pPr>
        <w:pStyle w:val="Indenti"/>
      </w:pPr>
      <w:r>
        <w:tab/>
        <w:t>(ii)</w:t>
      </w:r>
      <w:r>
        <w:tab/>
        <w:t>any recommendation made under subsection (3)(b) in relation to the employee.</w:t>
      </w:r>
    </w:p>
    <w:p>
      <w:pPr>
        <w:pStyle w:val="Footnotesection"/>
      </w:pPr>
      <w:r>
        <w:tab/>
        <w:t>[Section 19ZD inserted: No. 25 of 2022 s. 7.]</w:t>
      </w:r>
    </w:p>
    <w:p>
      <w:pPr>
        <w:pStyle w:val="Heading5"/>
      </w:pPr>
      <w:bookmarkStart w:id="129" w:name="_Toc174950843"/>
      <w:r>
        <w:rPr>
          <w:rStyle w:val="CharSectno"/>
        </w:rPr>
        <w:t>19ZE</w:t>
      </w:r>
      <w:r>
        <w:t>.</w:t>
      </w:r>
      <w:r>
        <w:tab/>
        <w:t>Provision relating to investigation under section 19ZB(1)(b) or (c)</w:t>
      </w:r>
      <w:bookmarkEnd w:id="129"/>
    </w:p>
    <w:p>
      <w:pPr>
        <w:pStyle w:val="Subsection"/>
      </w:pPr>
      <w:r>
        <w:tab/>
      </w:r>
      <w:r>
        <w:tab/>
        <w:t xml:space="preserve">As soon as practicable after an investigation referred to in section 19ZB(1)(b) or (c)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Footnotesection"/>
      </w:pPr>
      <w:r>
        <w:tab/>
        <w:t>[Section 19ZE inserted: No. 25 of 2022 s. 7.]</w:t>
      </w:r>
    </w:p>
    <w:p>
      <w:pPr>
        <w:pStyle w:val="Heading5"/>
      </w:pPr>
      <w:bookmarkStart w:id="130" w:name="_Toc174950844"/>
      <w:r>
        <w:rPr>
          <w:rStyle w:val="CharSectno"/>
        </w:rPr>
        <w:t>19ZF</w:t>
      </w:r>
      <w:r>
        <w:t>.</w:t>
      </w:r>
      <w:r>
        <w:tab/>
        <w:t>Application to State Administrative Tribunal for review</w:t>
      </w:r>
      <w:bookmarkEnd w:id="130"/>
    </w:p>
    <w:p>
      <w:pPr>
        <w:pStyle w:val="Subsection"/>
      </w:pPr>
      <w:r>
        <w:tab/>
        <w:t>(1)</w:t>
      </w:r>
      <w:r>
        <w:tab/>
        <w:t>A person aggrieved by a finding of the Commissioner on an investigation conducted under section 19ZB(1)(a) may apply to the State Administrative Tribunal for a review of the finding.</w:t>
      </w:r>
    </w:p>
    <w:p>
      <w:pPr>
        <w:pStyle w:val="Subsection"/>
      </w:pPr>
      <w:r>
        <w:lastRenderedPageBreak/>
        <w:tab/>
        <w:t>(2)</w:t>
      </w:r>
      <w:r>
        <w:tab/>
        <w:t>An application under subsection (1) must be made within 28 days after the person is notified of the finding for which the review is sought.</w:t>
      </w:r>
    </w:p>
    <w:p>
      <w:pPr>
        <w:pStyle w:val="Subsection"/>
      </w:pPr>
      <w:r>
        <w:tab/>
        <w:t>(3)</w:t>
      </w:r>
      <w:r>
        <w:tab/>
        <w:t xml:space="preserve">For a review under this section, the State Administrative Tribunal must be constituted by a judicial member as defined in the </w:t>
      </w:r>
      <w:r>
        <w:rPr>
          <w:i/>
          <w:iCs/>
        </w:rPr>
        <w:t>State Administrative Tribunal Act 2004</w:t>
      </w:r>
      <w:r>
        <w:t xml:space="preserve"> section 3(1).</w:t>
      </w:r>
    </w:p>
    <w:p>
      <w:pPr>
        <w:pStyle w:val="Subsection"/>
      </w:pPr>
      <w:r>
        <w:tab/>
        <w:t>(4)</w:t>
      </w:r>
      <w:r>
        <w:tab/>
        <w:t xml:space="preserve">A finding of the Commissioner on an investigation conducted under section 19ZB(1)(a) is taken to be a decision for the purposes of the </w:t>
      </w:r>
      <w:r>
        <w:rPr>
          <w:i/>
          <w:iCs/>
        </w:rPr>
        <w:t xml:space="preserve">State Administrative Tribunal Act 2004 </w:t>
      </w:r>
      <w:r>
        <w:t>Part 3 Division 3.</w:t>
      </w:r>
    </w:p>
    <w:p>
      <w:pPr>
        <w:pStyle w:val="Footnotesection"/>
      </w:pPr>
      <w:r>
        <w:tab/>
        <w:t>[Section 19ZF inserted: No. 25 of 2022 s. 7.]</w:t>
      </w:r>
    </w:p>
    <w:p>
      <w:pPr>
        <w:pStyle w:val="Heading5"/>
      </w:pPr>
      <w:bookmarkStart w:id="131" w:name="_Toc174950845"/>
      <w:r>
        <w:rPr>
          <w:rStyle w:val="CharSectno"/>
        </w:rPr>
        <w:t>19ZG</w:t>
      </w:r>
      <w:r>
        <w:t>.</w:t>
      </w:r>
      <w:r>
        <w:tab/>
        <w:t>Concurrent investigations or proceedings</w:t>
      </w:r>
      <w:bookmarkEnd w:id="131"/>
    </w:p>
    <w:p>
      <w:pPr>
        <w:pStyle w:val="Subsection"/>
      </w:pPr>
      <w:r>
        <w:tab/>
        <w:t>(1)</w:t>
      </w:r>
      <w:r>
        <w:tab/>
        <w:t xml:space="preserve">This section applies if — </w:t>
      </w:r>
    </w:p>
    <w:p>
      <w:pPr>
        <w:pStyle w:val="Indenta"/>
      </w:pPr>
      <w:r>
        <w:tab/>
        <w:t>(a)</w:t>
      </w:r>
      <w:r>
        <w:tab/>
        <w:t>the Commissioner of Police advises the Commissioner or the head of a relevant entity that an investigation or finding under this Division is likely to compromise a police investigation; or</w:t>
      </w:r>
    </w:p>
    <w:p>
      <w:pPr>
        <w:pStyle w:val="Indenta"/>
      </w:pPr>
      <w:r>
        <w:tab/>
        <w:t>(b)</w:t>
      </w:r>
      <w:r>
        <w:tab/>
        <w:t xml:space="preserve">another person or body with authority to investigate the conduct of an employee of a relevant entity advises the Commissioner or the head of the relevant entity that an investigation or finding under this Division is likely to compromise an investigation by that person or body (a </w:t>
      </w:r>
      <w:r>
        <w:rPr>
          <w:rStyle w:val="CharDefText"/>
        </w:rPr>
        <w:t>relevant investigation</w:t>
      </w:r>
      <w:r>
        <w:t>).</w:t>
      </w:r>
    </w:p>
    <w:p>
      <w:pPr>
        <w:pStyle w:val="Subsection"/>
      </w:pPr>
      <w:r>
        <w:tab/>
        <w:t>(2)</w:t>
      </w:r>
      <w:r>
        <w:tab/>
        <w:t xml:space="preserve">The Commissioner or the head of the relevant entity may — </w:t>
      </w:r>
    </w:p>
    <w:p>
      <w:pPr>
        <w:pStyle w:val="Indenta"/>
      </w:pPr>
      <w:r>
        <w:tab/>
        <w:t>(a)</w:t>
      </w:r>
      <w:r>
        <w:tab/>
        <w:t>suspend the investigation or finding until otherwise advised; and</w:t>
      </w:r>
    </w:p>
    <w:p>
      <w:pPr>
        <w:pStyle w:val="Indenta"/>
      </w:pPr>
      <w:r>
        <w:tab/>
        <w:t>(b)</w:t>
      </w:r>
      <w:r>
        <w:tab/>
        <w:t>take steps to manage any risks while the investigation or finding is suspended.</w:t>
      </w:r>
    </w:p>
    <w:p>
      <w:pPr>
        <w:pStyle w:val="Subsection"/>
        <w:keepNext/>
      </w:pPr>
      <w:r>
        <w:tab/>
        <w:t>(3)</w:t>
      </w:r>
      <w:r>
        <w:tab/>
        <w:t xml:space="preserve">Before making a decision under subsection (2)(a) about whether to suspend or continue an investigation, the Commissioner or </w:t>
      </w:r>
      <w:r>
        <w:lastRenderedPageBreak/>
        <w:t xml:space="preserve">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(4)</w:t>
      </w:r>
      <w:r>
        <w:tab/>
        <w:t xml:space="preserve">Before making a decision under subsection (2)(b) about the steps to be taken to manage risks,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(5)</w:t>
      </w:r>
      <w:r>
        <w:tab/>
        <w:t xml:space="preserve">If the head of the relevant entity decides to suspend an investigation or finding under this section, the head of the relevant entity must advise the Commissioner of — </w:t>
      </w:r>
    </w:p>
    <w:p>
      <w:pPr>
        <w:pStyle w:val="Indenta"/>
      </w:pPr>
      <w:r>
        <w:tab/>
        <w:t>(a)</w:t>
      </w:r>
      <w:r>
        <w:tab/>
        <w:t>the suspension; and</w:t>
      </w:r>
    </w:p>
    <w:p>
      <w:pPr>
        <w:pStyle w:val="Indenta"/>
      </w:pPr>
      <w:r>
        <w:tab/>
        <w:t>(b)</w:t>
      </w:r>
      <w:r>
        <w:tab/>
        <w:t>the steps being taken to manage the risks.</w:t>
      </w:r>
    </w:p>
    <w:p>
      <w:pPr>
        <w:pStyle w:val="Subsection"/>
      </w:pPr>
      <w:r>
        <w:tab/>
        <w:t>(6)</w:t>
      </w:r>
      <w:r>
        <w:tab/>
        <w:t>If the Commissioner or the head of the relevant entity decides not to suspend the investigation, the Commissioner or the head of the relevant entity must ensure the investigation is conducted in a way that does not compromise the police investigation or the relevant investigation, as the case requires.</w:t>
      </w:r>
    </w:p>
    <w:p>
      <w:pPr>
        <w:pStyle w:val="Subsection"/>
      </w:pPr>
      <w:r>
        <w:tab/>
        <w:t>(7)</w:t>
      </w:r>
      <w:r>
        <w:tab/>
        <w:t>This section does not affect the operation of any other Act.</w:t>
      </w:r>
    </w:p>
    <w:p>
      <w:pPr>
        <w:pStyle w:val="Subsection"/>
      </w:pPr>
      <w:r>
        <w:tab/>
        <w:t>(8)</w:t>
      </w:r>
      <w:r>
        <w:tab/>
        <w:t>In this section, a reference to a police investigation or relevant investigation includes a reference to any court proceeding (including an appeal) arising out of the investigation.</w:t>
      </w:r>
    </w:p>
    <w:p>
      <w:pPr>
        <w:pStyle w:val="Footnotesection"/>
      </w:pPr>
      <w:r>
        <w:tab/>
        <w:t>[Section 19ZG inserted: No. 25 of 2022 s. 7.]</w:t>
      </w:r>
    </w:p>
    <w:p>
      <w:pPr>
        <w:pStyle w:val="Heading4"/>
      </w:pPr>
      <w:bookmarkStart w:id="132" w:name="_Toc153965058"/>
      <w:bookmarkStart w:id="133" w:name="_Toc153968716"/>
      <w:bookmarkStart w:id="134" w:name="_Toc153978113"/>
      <w:bookmarkStart w:id="135" w:name="_Toc174718098"/>
      <w:bookmarkStart w:id="136" w:name="_Toc174718743"/>
      <w:bookmarkStart w:id="137" w:name="_Toc174718849"/>
      <w:bookmarkStart w:id="138" w:name="_Toc174950846"/>
      <w:r>
        <w:lastRenderedPageBreak/>
        <w:t>Subdivision 5 — Disclosure of information</w:t>
      </w:r>
      <w:bookmarkEnd w:id="132"/>
      <w:bookmarkEnd w:id="133"/>
      <w:bookmarkEnd w:id="134"/>
      <w:bookmarkEnd w:id="135"/>
      <w:bookmarkEnd w:id="136"/>
      <w:bookmarkEnd w:id="137"/>
      <w:bookmarkEnd w:id="138"/>
    </w:p>
    <w:p>
      <w:pPr>
        <w:pStyle w:val="Footnoteheading"/>
        <w:keepNext/>
      </w:pPr>
      <w:r>
        <w:tab/>
        <w:t>[Heading inserted: No. 25 of 2022 s. 7.]</w:t>
      </w:r>
    </w:p>
    <w:p>
      <w:pPr>
        <w:pStyle w:val="Heading5"/>
      </w:pPr>
      <w:bookmarkStart w:id="139" w:name="_Toc174950847"/>
      <w:r>
        <w:rPr>
          <w:rStyle w:val="CharSectno"/>
        </w:rPr>
        <w:t>19ZH</w:t>
      </w:r>
      <w:r>
        <w:t>.</w:t>
      </w:r>
      <w:r>
        <w:tab/>
        <w:t>Disclosure of information to child, parent, guardian or other person with parental responsibility</w:t>
      </w:r>
      <w:bookmarkEnd w:id="139"/>
    </w:p>
    <w:p>
      <w:pPr>
        <w:pStyle w:val="Subsection"/>
      </w:pPr>
      <w:r>
        <w:tab/>
        <w:t>(1)</w:t>
      </w:r>
      <w:r>
        <w:tab/>
        <w:t xml:space="preserve">The Commissioner or the head of a relevant entity may disclose information about the matters referred to in subsection (2) to — </w:t>
      </w:r>
    </w:p>
    <w:p>
      <w:pPr>
        <w:pStyle w:val="Indenta"/>
      </w:pPr>
      <w:r>
        <w:tab/>
        <w:t>(a)</w:t>
      </w:r>
      <w:r>
        <w:tab/>
        <w:t>a child who is the subject of conduct that forms the basis of a reportable allegation or a reportable conviction that is being, or has been, investigated by the Commissioner or the head of the relevant entity; or</w:t>
      </w:r>
    </w:p>
    <w:p>
      <w:pPr>
        <w:pStyle w:val="Indenta"/>
      </w:pPr>
      <w:r>
        <w:tab/>
        <w:t>(b)</w:t>
      </w:r>
      <w:r>
        <w:tab/>
        <w:t>a parent or guardian of a child referred to in paragraph (a), or a person who has parental responsibility for the child.</w:t>
      </w:r>
    </w:p>
    <w:p>
      <w:pPr>
        <w:pStyle w:val="Subsection"/>
      </w:pPr>
      <w:r>
        <w:tab/>
        <w:t>(2)</w:t>
      </w:r>
      <w:r>
        <w:tab/>
        <w:t xml:space="preserve">For the purposes of subsection (1), the matters are — </w:t>
      </w:r>
    </w:p>
    <w:p>
      <w:pPr>
        <w:pStyle w:val="Indenta"/>
      </w:pPr>
      <w:r>
        <w:tab/>
        <w:t>(a)</w:t>
      </w:r>
      <w:r>
        <w:tab/>
        <w:t>the progress of the investigation; or</w:t>
      </w:r>
    </w:p>
    <w:p>
      <w:pPr>
        <w:pStyle w:val="Indenta"/>
      </w:pPr>
      <w:r>
        <w:tab/>
        <w:t>(b)</w:t>
      </w:r>
      <w:r>
        <w:tab/>
        <w:t>the findings of the investigation; or</w:t>
      </w:r>
    </w:p>
    <w:p>
      <w:pPr>
        <w:pStyle w:val="Indenta"/>
      </w:pPr>
      <w:r>
        <w:tab/>
        <w:t>(c)</w:t>
      </w:r>
      <w:r>
        <w:tab/>
        <w:t>any action taken as a result of the investigation.</w:t>
      </w:r>
    </w:p>
    <w:p>
      <w:pPr>
        <w:pStyle w:val="Subsection"/>
      </w:pPr>
      <w:r>
        <w:tab/>
        <w:t>(3)</w:t>
      </w:r>
      <w:r>
        <w:tab/>
        <w:t xml:space="preserve">The Commissioner or the head of a relevant entity must not disclose information under subsection (1) — </w:t>
      </w:r>
    </w:p>
    <w:p>
      <w:pPr>
        <w:pStyle w:val="Indenta"/>
      </w:pPr>
      <w:r>
        <w:tab/>
        <w:t>(a)</w:t>
      </w:r>
      <w:r>
        <w:tab/>
        <w:t xml:space="preserve">if the disclosure would — </w:t>
      </w:r>
    </w:p>
    <w:p>
      <w:pPr>
        <w:pStyle w:val="Indenti"/>
      </w:pPr>
      <w:r>
        <w:tab/>
        <w:t>(i)</w:t>
      </w:r>
      <w:r>
        <w:tab/>
        <w:t>put the wellbeing of the child, or the safety of any other person, at risk; or</w:t>
      </w:r>
    </w:p>
    <w:p>
      <w:pPr>
        <w:pStyle w:val="Indenti"/>
      </w:pPr>
      <w:r>
        <w:tab/>
        <w:t>(ii)</w:t>
      </w:r>
      <w:r>
        <w:tab/>
        <w:t>contravene the CCS Act section 124F or 240; or</w:t>
      </w:r>
    </w:p>
    <w:p>
      <w:pPr>
        <w:pStyle w:val="Indenti"/>
      </w:pPr>
      <w:r>
        <w:tab/>
        <w:t>(iii)</w:t>
      </w:r>
      <w:r>
        <w:tab/>
        <w:t>compromise an investigation under this Act, a police investigation, a relevant investigation referred to in section 19ZG or an investigation under another Act;</w:t>
      </w:r>
    </w:p>
    <w:p>
      <w:pPr>
        <w:pStyle w:val="Indenta"/>
      </w:pPr>
      <w:r>
        <w:tab/>
      </w:r>
      <w:r>
        <w:tab/>
        <w:t>or</w:t>
      </w:r>
    </w:p>
    <w:p>
      <w:pPr>
        <w:pStyle w:val="Indenta"/>
      </w:pPr>
      <w:r>
        <w:tab/>
        <w:t>(b)</w:t>
      </w:r>
      <w:r>
        <w:tab/>
        <w:t xml:space="preserve">if the disclosure would be to a parent, guardian or other person referred to in subsection (1)(b) and the </w:t>
      </w:r>
      <w:r>
        <w:lastRenderedPageBreak/>
        <w:t>Commissioner, or head of the relevant entity, is satisfied that the child has sufficient maturity and understanding to consent to the disclosure and the child does not consent to the disclosure; or</w:t>
      </w:r>
    </w:p>
    <w:p>
      <w:pPr>
        <w:pStyle w:val="Indenta"/>
      </w:pPr>
      <w:r>
        <w:tab/>
        <w:t>(c)</w:t>
      </w:r>
      <w:r>
        <w:tab/>
        <w:t>in any circumstances prescribed by the regulations.</w:t>
      </w:r>
    </w:p>
    <w:p>
      <w:pPr>
        <w:pStyle w:val="Footnotesection"/>
      </w:pPr>
      <w:r>
        <w:tab/>
        <w:t>[Section 19ZH inserted: No. 25 of 2022 s. 7.]</w:t>
      </w:r>
    </w:p>
    <w:p>
      <w:pPr>
        <w:pStyle w:val="Heading5"/>
      </w:pPr>
      <w:bookmarkStart w:id="140" w:name="_Toc174950848"/>
      <w:r>
        <w:rPr>
          <w:rStyle w:val="CharSectno"/>
        </w:rPr>
        <w:t>19ZI</w:t>
      </w:r>
      <w:r>
        <w:t>.</w:t>
      </w:r>
      <w:r>
        <w:tab/>
        <w:t>Commissioner may request information about reportable convictions</w:t>
      </w:r>
      <w:bookmarkEnd w:id="140"/>
    </w:p>
    <w:p>
      <w:pPr>
        <w:pStyle w:val="Subsection"/>
      </w:pPr>
      <w:r>
        <w:tab/>
        <w:t>(1)</w:t>
      </w:r>
      <w:r>
        <w:tab/>
        <w:t xml:space="preserve">In this section — </w:t>
      </w:r>
    </w:p>
    <w:p>
      <w:pPr>
        <w:pStyle w:val="Defstart"/>
      </w:pPr>
      <w:r>
        <w:tab/>
      </w:r>
      <w:r>
        <w:rPr>
          <w:rStyle w:val="CharDefText"/>
        </w:rPr>
        <w:t>Registrar</w:t>
      </w:r>
      <w:r>
        <w:t xml:space="preserve">, of a relevant court, means — </w:t>
      </w:r>
    </w:p>
    <w:p>
      <w:pPr>
        <w:pStyle w:val="Defpara"/>
      </w:pPr>
      <w:r>
        <w:tab/>
        <w:t>(a)</w:t>
      </w:r>
      <w:r>
        <w:tab/>
        <w:t>in the case of the Supreme Court — the Principal Registrar of the Supreme Court; or</w:t>
      </w:r>
    </w:p>
    <w:p>
      <w:pPr>
        <w:pStyle w:val="Defpara"/>
      </w:pPr>
      <w:r>
        <w:tab/>
        <w:t>(b)</w:t>
      </w:r>
      <w:r>
        <w:tab/>
        <w:t>in the case of the District Court — the Principal Registrar of the District Court; or</w:t>
      </w:r>
    </w:p>
    <w:p>
      <w:pPr>
        <w:pStyle w:val="Defpara"/>
      </w:pPr>
      <w:r>
        <w:tab/>
        <w:t>(c)</w:t>
      </w:r>
      <w:r>
        <w:tab/>
        <w:t>in the case of the Magistrates Court — the Principal Registrar of the Magistrates Court; or</w:t>
      </w:r>
    </w:p>
    <w:p>
      <w:pPr>
        <w:pStyle w:val="Defpara"/>
      </w:pPr>
      <w:r>
        <w:tab/>
        <w:t>(d)</w:t>
      </w:r>
      <w:r>
        <w:tab/>
        <w:t>in the case of the Children’s Court — a registrar of the Children’s Court;</w:t>
      </w:r>
    </w:p>
    <w:p>
      <w:pPr>
        <w:pStyle w:val="Defstart"/>
      </w:pPr>
      <w:r>
        <w:tab/>
      </w:r>
      <w:r>
        <w:rPr>
          <w:rStyle w:val="CharDefText"/>
        </w:rPr>
        <w:t>relevant court</w:t>
      </w:r>
      <w:r>
        <w:t xml:space="preserve"> means the Supreme Court, the District Court, the Magistrates Court or the Children’s Court.</w:t>
      </w:r>
    </w:p>
    <w:p>
      <w:pPr>
        <w:pStyle w:val="Subsection"/>
      </w:pPr>
      <w:r>
        <w:tab/>
        <w:t>(2)</w:t>
      </w:r>
      <w:r>
        <w:tab/>
        <w:t>The Commissioner may request a Registrar of a relevant court to provide information relating to a reportable conviction entered against an employee of a relevant entity that the Commissioner reasonably requires for the purposes of an investigation under the reportable conduct scheme.</w:t>
      </w:r>
    </w:p>
    <w:p>
      <w:pPr>
        <w:pStyle w:val="Subsection"/>
      </w:pPr>
      <w:r>
        <w:tab/>
        <w:t>(3)</w:t>
      </w:r>
      <w:r>
        <w:tab/>
        <w:t>The Commissioner is authorised to disclose information obtained under this Division or Division 3 or 4 for the purpose of that request.</w:t>
      </w:r>
    </w:p>
    <w:p>
      <w:pPr>
        <w:pStyle w:val="Subsection"/>
      </w:pPr>
      <w:r>
        <w:tab/>
        <w:t>(4)</w:t>
      </w:r>
      <w:r>
        <w:tab/>
        <w:t xml:space="preserve">A Registrar of a relevant court to whom a request for information is made under subsection (2) is authorised to </w:t>
      </w:r>
      <w:r>
        <w:lastRenderedPageBreak/>
        <w:t>disclose the information to the Commissioner for the purposes of an investigation under the reportable conduct scheme.</w:t>
      </w:r>
    </w:p>
    <w:p>
      <w:pPr>
        <w:pStyle w:val="Subsection"/>
      </w:pPr>
      <w:r>
        <w:tab/>
        <w:t>(5)</w:t>
      </w:r>
      <w:r>
        <w:tab/>
        <w:t>This section applies despite section 13(2).</w:t>
      </w:r>
    </w:p>
    <w:p>
      <w:pPr>
        <w:pStyle w:val="Footnotesection"/>
      </w:pPr>
      <w:r>
        <w:tab/>
        <w:t>[Section 19ZI inserted: No. 25 of 2022 s. 7.]</w:t>
      </w:r>
    </w:p>
    <w:p>
      <w:pPr>
        <w:pStyle w:val="Heading5"/>
      </w:pPr>
      <w:bookmarkStart w:id="141" w:name="_Toc174950849"/>
      <w:r>
        <w:rPr>
          <w:rStyle w:val="CharSectno"/>
        </w:rPr>
        <w:t>19ZJ</w:t>
      </w:r>
      <w:r>
        <w:t>.</w:t>
      </w:r>
      <w:r>
        <w:tab/>
        <w:t>Prohibition on publishing certain information</w:t>
      </w:r>
      <w:bookmarkEnd w:id="141"/>
    </w:p>
    <w:p>
      <w:pPr>
        <w:pStyle w:val="Subsection"/>
      </w:pPr>
      <w:r>
        <w:tab/>
        <w:t>(1)</w:t>
      </w:r>
      <w:r>
        <w:tab/>
        <w:t xml:space="preserve">In this section — </w:t>
      </w:r>
    </w:p>
    <w:p>
      <w:pPr>
        <w:pStyle w:val="Defstart"/>
      </w:pPr>
      <w:r>
        <w:tab/>
      </w:r>
      <w:r>
        <w:rPr>
          <w:rStyle w:val="CharDefText"/>
        </w:rPr>
        <w:t>publish</w:t>
      </w:r>
      <w:r>
        <w:t xml:space="preserve"> means to disseminate to the public or a section of the public by any means, including the following — </w:t>
      </w:r>
    </w:p>
    <w:p>
      <w:pPr>
        <w:pStyle w:val="Defpara"/>
      </w:pPr>
      <w:r>
        <w:tab/>
        <w:t>(a)</w:t>
      </w:r>
      <w:r>
        <w:tab/>
        <w:t>in a book, newspaper, magazine or other written publication;</w:t>
      </w:r>
    </w:p>
    <w:p>
      <w:pPr>
        <w:pStyle w:val="Defpara"/>
      </w:pPr>
      <w:r>
        <w:tab/>
        <w:t>(b)</w:t>
      </w:r>
      <w:r>
        <w:tab/>
        <w:t>by radio broadcast, television, a website, an online facility or other electronic means.</w:t>
      </w:r>
    </w:p>
    <w:p>
      <w:pPr>
        <w:pStyle w:val="Subsection"/>
      </w:pPr>
      <w:r>
        <w:tab/>
        <w:t>(2)</w:t>
      </w:r>
      <w:r>
        <w:tab/>
        <w:t>A person must not publish, or cause to be published, information that identifies, or is likely to lead to the identification of, another person as a person who has made a report under section 19T.</w:t>
      </w:r>
    </w:p>
    <w:p>
      <w:pPr>
        <w:pStyle w:val="Penstart"/>
      </w:pPr>
      <w:r>
        <w:tab/>
        <w:t>Penalty for this subsection: imprisonment for 2 years or a fine of $8 000.</w:t>
      </w:r>
    </w:p>
    <w:p>
      <w:pPr>
        <w:pStyle w:val="Subsection"/>
      </w:pPr>
      <w:r>
        <w:tab/>
        <w:t>(3)</w:t>
      </w:r>
      <w:r>
        <w:tab/>
        <w:t xml:space="preserve">A person must not publish, or cause to be published, information that identifies, or is likely to lead to the identification of, another person as a child who is the subject of conduct that forms the basis of — </w:t>
      </w:r>
    </w:p>
    <w:p>
      <w:pPr>
        <w:pStyle w:val="Indenta"/>
      </w:pPr>
      <w:r>
        <w:tab/>
        <w:t>(a)</w:t>
      </w:r>
      <w:r>
        <w:tab/>
        <w:t>a report that has been made under section 19T; or</w:t>
      </w:r>
    </w:p>
    <w:p>
      <w:pPr>
        <w:pStyle w:val="Indenta"/>
      </w:pPr>
      <w:r>
        <w:tab/>
        <w:t>(b)</w:t>
      </w:r>
      <w:r>
        <w:tab/>
        <w:t>a finding of reportable conduct in relation to an employee of a relevant entity that has been made under this Act.</w:t>
      </w:r>
    </w:p>
    <w:p>
      <w:pPr>
        <w:pStyle w:val="Penstart"/>
      </w:pPr>
      <w:r>
        <w:tab/>
        <w:t>Penalty for this subsection: imprisonment for 2 years or a fine of $8 000.</w:t>
      </w:r>
    </w:p>
    <w:p>
      <w:pPr>
        <w:pStyle w:val="Subsection"/>
      </w:pPr>
      <w:r>
        <w:lastRenderedPageBreak/>
        <w:tab/>
        <w:t>(4)</w:t>
      </w:r>
      <w:r>
        <w:tab/>
        <w:t>A person does not commit an offence under subsection (2) or (3) if the publication of the information is authorised under any other Act.</w:t>
      </w:r>
    </w:p>
    <w:p>
      <w:pPr>
        <w:pStyle w:val="Footnotesection"/>
      </w:pPr>
      <w:r>
        <w:tab/>
        <w:t>[Section 19ZJ inserted: No. 25 of 2022 s. 7.]</w:t>
      </w:r>
    </w:p>
    <w:p>
      <w:pPr>
        <w:pStyle w:val="Heading4"/>
      </w:pPr>
      <w:bookmarkStart w:id="142" w:name="_Toc153965062"/>
      <w:bookmarkStart w:id="143" w:name="_Toc153968720"/>
      <w:bookmarkStart w:id="144" w:name="_Toc153978117"/>
      <w:bookmarkStart w:id="145" w:name="_Toc174718102"/>
      <w:bookmarkStart w:id="146" w:name="_Toc174718747"/>
      <w:bookmarkStart w:id="147" w:name="_Toc174718853"/>
      <w:bookmarkStart w:id="148" w:name="_Toc174950850"/>
      <w:r>
        <w:t xml:space="preserve">Subdivision 6 — Review of amendments made by </w:t>
      </w:r>
      <w:r>
        <w:rPr>
          <w:i/>
        </w:rPr>
        <w:t>Parliamentary Commissioner Amendment (Reportable Conduct) Act 2022</w:t>
      </w:r>
      <w:bookmarkEnd w:id="142"/>
      <w:bookmarkEnd w:id="143"/>
      <w:bookmarkEnd w:id="144"/>
      <w:bookmarkEnd w:id="145"/>
      <w:bookmarkEnd w:id="146"/>
      <w:bookmarkEnd w:id="147"/>
      <w:bookmarkEnd w:id="148"/>
    </w:p>
    <w:p>
      <w:pPr>
        <w:pStyle w:val="Footnoteheading"/>
      </w:pPr>
      <w:r>
        <w:tab/>
        <w:t>[Heading inserted: No. 25 of 2022 s. 7.]</w:t>
      </w:r>
    </w:p>
    <w:p>
      <w:pPr>
        <w:pStyle w:val="Heading5"/>
      </w:pPr>
      <w:bookmarkStart w:id="149" w:name="_Toc174950851"/>
      <w:r>
        <w:rPr>
          <w:rStyle w:val="CharSectno"/>
        </w:rPr>
        <w:t>19ZK</w:t>
      </w:r>
      <w:r>
        <w:t>.</w:t>
      </w:r>
      <w:r>
        <w:tab/>
        <w:t xml:space="preserve">Review of amendments made by </w:t>
      </w:r>
      <w:r>
        <w:rPr>
          <w:i/>
        </w:rPr>
        <w:t>Parliamentary Commissioner Amendment (Reportable Conduct) Act 2022</w:t>
      </w:r>
      <w:bookmarkEnd w:id="149"/>
    </w:p>
    <w:p>
      <w:pPr>
        <w:pStyle w:val="Subsection"/>
      </w:pPr>
      <w:r>
        <w:tab/>
        <w:t>(1)</w:t>
      </w:r>
      <w:r>
        <w:tab/>
      </w:r>
      <w:r>
        <w:rPr>
          <w:snapToGrid w:val="0"/>
        </w:rPr>
        <w:t xml:space="preserve">The Minister must review the operation and effectiveness of the amendments made to this Act by the </w:t>
      </w:r>
      <w:r>
        <w:rPr>
          <w:i/>
        </w:rPr>
        <w:t>Parliamentary Commissioner Amendment (Reportable Conduct) Act 2022</w:t>
      </w:r>
      <w:r>
        <w:rPr>
          <w:snapToGrid w:val="0"/>
        </w:rPr>
        <w:t>, and prepare a report based on the review, as soon as practicable after the 5</w:t>
      </w:r>
      <w:r>
        <w:rPr>
          <w:snapToGrid w:val="0"/>
          <w:vertAlign w:val="superscript"/>
        </w:rPr>
        <w:t>th </w:t>
      </w:r>
      <w:r>
        <w:rPr>
          <w:snapToGrid w:val="0"/>
        </w:rPr>
        <w:t>anniversary of the day on which</w:t>
      </w:r>
      <w:r>
        <w:t xml:space="preserve"> </w:t>
      </w:r>
      <w:r>
        <w:rPr>
          <w:snapToGrid w:val="0"/>
        </w:rPr>
        <w:t>section 7 of that Act comes into operation</w:t>
      </w:r>
      <w:r>
        <w:t>.</w:t>
      </w:r>
    </w:p>
    <w:p>
      <w:pPr>
        <w:pStyle w:val="Subsection"/>
      </w:pPr>
      <w:r>
        <w:tab/>
        <w:t>(2)</w:t>
      </w:r>
      <w:r>
        <w:tab/>
      </w:r>
      <w:r>
        <w:rPr>
          <w:bCs/>
        </w:rPr>
        <w:t>The review must include consideration as to whether the reportable conduct scheme should be expanded to apply to any other entities</w:t>
      </w:r>
      <w:r>
        <w:t>.</w:t>
      </w:r>
    </w:p>
    <w:p>
      <w:pPr>
        <w:pStyle w:val="Subsection"/>
        <w:rPr>
          <w:bCs/>
        </w:rPr>
      </w:pPr>
      <w:r>
        <w:tab/>
        <w:t>(3)</w:t>
      </w:r>
      <w:r>
        <w:tab/>
      </w:r>
      <w:r>
        <w:rPr>
          <w:bCs/>
        </w:rPr>
        <w:t>The Minister must cause the report to be laid before each House of Parliament as soon as practicable after it is prepared, but not later than 12 months after the 5</w:t>
      </w:r>
      <w:r>
        <w:rPr>
          <w:bCs/>
          <w:vertAlign w:val="superscript"/>
        </w:rPr>
        <w:t>th </w:t>
      </w:r>
      <w:r>
        <w:rPr>
          <w:bCs/>
        </w:rPr>
        <w:t>anniversary.</w:t>
      </w:r>
    </w:p>
    <w:p>
      <w:pPr>
        <w:pStyle w:val="Footnotesection"/>
      </w:pPr>
      <w:r>
        <w:tab/>
        <w:t>[Section 19ZK inserted: No. 25 of 2022 s. 7.]</w:t>
      </w:r>
    </w:p>
    <w:p>
      <w:pPr>
        <w:pStyle w:val="Heading3"/>
        <w:spacing w:before="340"/>
      </w:pPr>
      <w:bookmarkStart w:id="150" w:name="_Toc153965064"/>
      <w:bookmarkStart w:id="151" w:name="_Toc153968722"/>
      <w:bookmarkStart w:id="152" w:name="_Toc153978119"/>
      <w:bookmarkStart w:id="153" w:name="_Toc174718104"/>
      <w:bookmarkStart w:id="154" w:name="_Toc174718749"/>
      <w:bookmarkStart w:id="155" w:name="_Toc174718855"/>
      <w:bookmarkStart w:id="156" w:name="_Toc174950852"/>
      <w:r>
        <w:rPr>
          <w:rStyle w:val="CharDivNo"/>
        </w:rPr>
        <w:t>Division 3</w:t>
      </w:r>
      <w:r>
        <w:rPr>
          <w:snapToGrid w:val="0"/>
        </w:rPr>
        <w:t> — </w:t>
      </w:r>
      <w:r>
        <w:rPr>
          <w:rStyle w:val="CharDivText"/>
        </w:rPr>
        <w:t>Conduct of investigations</w:t>
      </w:r>
      <w:bookmarkEnd w:id="150"/>
      <w:bookmarkEnd w:id="151"/>
      <w:bookmarkEnd w:id="152"/>
      <w:bookmarkEnd w:id="153"/>
      <w:bookmarkEnd w:id="154"/>
      <w:bookmarkEnd w:id="155"/>
      <w:bookmarkEnd w:id="156"/>
    </w:p>
    <w:p>
      <w:pPr>
        <w:pStyle w:val="Heading5"/>
        <w:spacing w:before="240"/>
        <w:rPr>
          <w:snapToGrid w:val="0"/>
        </w:rPr>
      </w:pPr>
      <w:bookmarkStart w:id="157" w:name="_Toc174950853"/>
      <w:r>
        <w:rPr>
          <w:rStyle w:val="CharSectno"/>
        </w:rPr>
        <w:t>19</w:t>
      </w:r>
      <w:r>
        <w:rPr>
          <w:snapToGrid w:val="0"/>
        </w:rPr>
        <w:t>.</w:t>
      </w:r>
      <w:r>
        <w:rPr>
          <w:snapToGrid w:val="0"/>
        </w:rPr>
        <w:tab/>
        <w:t>Proceedings on investigations</w:t>
      </w:r>
      <w:bookmarkEnd w:id="157"/>
    </w:p>
    <w:p>
      <w:pPr>
        <w:pStyle w:val="Subsection"/>
        <w:spacing w:before="180"/>
        <w:rPr>
          <w:snapToGrid w:val="0"/>
        </w:rPr>
      </w:pPr>
      <w:r>
        <w:rPr>
          <w:snapToGrid w:val="0"/>
        </w:rPr>
        <w:tab/>
        <w:t>(1)</w:t>
      </w:r>
      <w:r>
        <w:rPr>
          <w:snapToGrid w:val="0"/>
        </w:rPr>
        <w:tab/>
        <w:t xml:space="preserve">Subject to subsection (1a), before investigating under this Act any action taken by or on behalf of a department or authority the Commissioner shall notify the principal officer thereof and the responsible Minister in writing of his intention so to do, </w:t>
      </w:r>
      <w:r>
        <w:rPr>
          <w:snapToGrid w:val="0"/>
        </w:rPr>
        <w:lastRenderedPageBreak/>
        <w:t>specifying the action in respect of which the investigation is to be conducted.</w:t>
      </w:r>
    </w:p>
    <w:p>
      <w:pPr>
        <w:pStyle w:val="Subsection"/>
        <w:keepNext/>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 xml:space="preserve">In relation to any investigation, if a Minister of the Crown so requests or the investigation relates to any recommendation made to such a Minister, the Commissioner shall consult that </w:t>
      </w:r>
      <w:r>
        <w:rPr>
          <w:snapToGrid w:val="0"/>
        </w:rPr>
        <w:lastRenderedPageBreak/>
        <w:t>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Subsection"/>
        <w:rPr>
          <w:snapToGrid w:val="0"/>
        </w:rPr>
      </w:pPr>
      <w:r>
        <w:rPr>
          <w:snapToGrid w:val="0"/>
        </w:rPr>
        <w:tab/>
        <w:t>(9)</w:t>
      </w:r>
      <w:r>
        <w:rPr>
          <w:snapToGrid w:val="0"/>
        </w:rPr>
        <w:tab/>
        <w:t xml:space="preserve">This section applies to an investigation by the Commissioner for the purposes of the reportable conduct scheme as follows — </w:t>
      </w:r>
    </w:p>
    <w:p>
      <w:pPr>
        <w:pStyle w:val="Indenta"/>
      </w:pPr>
      <w:r>
        <w:tab/>
        <w:t>(a)</w:t>
      </w:r>
      <w:r>
        <w:tab/>
        <w:t>subsections (1) and (1a) do not apply;</w:t>
      </w:r>
    </w:p>
    <w:p>
      <w:pPr>
        <w:pStyle w:val="Indenta"/>
      </w:pPr>
      <w:r>
        <w:tab/>
        <w:t>(b)</w:t>
      </w:r>
      <w:r>
        <w:tab/>
        <w:t>a reference to a department or authority is taken to be a reference to a relevant entity;</w:t>
      </w:r>
    </w:p>
    <w:p>
      <w:pPr>
        <w:pStyle w:val="Indenta"/>
      </w:pPr>
      <w:r>
        <w:tab/>
        <w:t>(c)</w:t>
      </w:r>
      <w:r>
        <w:tab/>
        <w:t>a reference to the principal officer of a department or authority is taken to be a reference to the head of a relevant entity;</w:t>
      </w:r>
    </w:p>
    <w:p>
      <w:pPr>
        <w:pStyle w:val="Indenta"/>
      </w:pPr>
      <w:r>
        <w:tab/>
        <w:t>(d)</w:t>
      </w:r>
      <w:r>
        <w:tab/>
        <w:t>subsection (7)(b) applies only if the investigation relates to a relevant entity that is a department or authority.</w:t>
      </w:r>
    </w:p>
    <w:p>
      <w:pPr>
        <w:pStyle w:val="Footnotesection"/>
      </w:pPr>
      <w:r>
        <w:tab/>
        <w:t>[Section 19 amended: No. 78 of 1996 s. 13 and 21; No. 43 of 1999 s. 20; No. 47 of 1999 s. 27; No. 4 of 2015 s. 87(4); No. 25 of 2022 s. 8.]</w:t>
      </w:r>
    </w:p>
    <w:p>
      <w:pPr>
        <w:pStyle w:val="Heading5"/>
        <w:rPr>
          <w:snapToGrid w:val="0"/>
        </w:rPr>
      </w:pPr>
      <w:bookmarkStart w:id="158" w:name="_Toc174950854"/>
      <w:r>
        <w:rPr>
          <w:rStyle w:val="CharSectno"/>
        </w:rPr>
        <w:lastRenderedPageBreak/>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158"/>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 xml:space="preserve">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w:t>
      </w:r>
      <w:r>
        <w:t>by the Commissioner</w:t>
      </w:r>
      <w:r>
        <w:rPr>
          <w:snapToGrid w:val="0"/>
        </w:rPr>
        <w:t xml:space="preserve"> under this Act.</w:t>
      </w:r>
    </w:p>
    <w:p>
      <w:pPr>
        <w:pStyle w:val="Subsection"/>
        <w:rPr>
          <w:snapToGrid w:val="0"/>
        </w:rPr>
      </w:pPr>
      <w:r>
        <w:rPr>
          <w:snapToGrid w:val="0"/>
        </w:rPr>
        <w:tab/>
        <w:t>(2AA)</w:t>
      </w:r>
      <w:r>
        <w:rPr>
          <w:snapToGrid w:val="0"/>
        </w:rPr>
        <w:tab/>
        <w:t>No obligation to maintain secrecy or other restriction upon the disclosure of information obtained by or furnished to the head of a relevant entity or an investigator conducting an investigation under Division 3B, whether imposed by any enactment or by any rule of law, applies to the disclosure of information for the purposes of an investigation by the Commissioner under this Act.</w:t>
      </w:r>
    </w:p>
    <w:p>
      <w:pPr>
        <w:pStyle w:val="Subsection"/>
        <w:keepNext/>
        <w:rPr>
          <w:snapToGrid w:val="0"/>
        </w:rPr>
      </w:pPr>
      <w:r>
        <w:rPr>
          <w:snapToGrid w:val="0"/>
        </w:rPr>
        <w:tab/>
        <w:t>(2B)</w:t>
      </w:r>
      <w:r>
        <w:rPr>
          <w:snapToGrid w:val="0"/>
        </w:rPr>
        <w:tab/>
        <w:t xml:space="preserve">The </w:t>
      </w:r>
      <w:r>
        <w:t>Crown, any authority to which this Act applies or a relevant entity</w:t>
      </w:r>
      <w:r>
        <w:rPr>
          <w:snapToGrid w:val="0"/>
        </w:rPr>
        <w:t xml:space="preserve"> is not entitled in relation to any investigation by the Commissioner under this Act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(2AA) and (2B), a person is not compelled for the purposes of an investigation by the </w:t>
      </w:r>
      <w:r>
        <w:lastRenderedPageBreak/>
        <w:t>Commissioner</w:t>
      </w:r>
      <w:r>
        <w:rPr>
          <w:snapToGrid w:val="0"/>
        </w:rPr>
        <w:t xml:space="preserve"> under this Act to give any evidence or produce any document that </w:t>
      </w:r>
      <w:r>
        <w:t>the person</w:t>
      </w:r>
      <w:r>
        <w:rPr>
          <w:snapToGrid w:val="0"/>
        </w:rPr>
        <w:t xml:space="preserve"> could not be compelled to give or produce in proceedings before a court.</w:t>
      </w:r>
    </w:p>
    <w:p>
      <w:pPr>
        <w:pStyle w:val="Footnotesection"/>
        <w:spacing w:before="100"/>
        <w:ind w:left="890" w:hanging="890"/>
      </w:pPr>
      <w:r>
        <w:tab/>
        <w:t>[Section 20 amended: No. 68 of 1976 s. 6; No. 19 of 2010 s. 51; No. 25 of 2022 s. 9.]</w:t>
      </w:r>
    </w:p>
    <w:p>
      <w:pPr>
        <w:pStyle w:val="Heading5"/>
        <w:spacing w:before="180"/>
        <w:rPr>
          <w:snapToGrid w:val="0"/>
        </w:rPr>
      </w:pPr>
      <w:bookmarkStart w:id="159" w:name="_Toc174950855"/>
      <w:r>
        <w:rPr>
          <w:rStyle w:val="CharSectno"/>
        </w:rPr>
        <w:t>21</w:t>
      </w:r>
      <w:r>
        <w:rPr>
          <w:snapToGrid w:val="0"/>
        </w:rPr>
        <w:t>.</w:t>
      </w:r>
      <w:r>
        <w:rPr>
          <w:snapToGrid w:val="0"/>
        </w:rPr>
        <w:tab/>
        <w:t>Power to enter premises</w:t>
      </w:r>
      <w:bookmarkEnd w:id="159"/>
    </w:p>
    <w:p>
      <w:pPr>
        <w:pStyle w:val="Subsection"/>
        <w:spacing w:before="140"/>
        <w:rPr>
          <w:snapToGrid w:val="0"/>
        </w:rPr>
      </w:pPr>
      <w:r>
        <w:rPr>
          <w:snapToGrid w:val="0"/>
        </w:rPr>
        <w:tab/>
      </w:r>
      <w:r>
        <w:t>(1)</w:t>
      </w:r>
      <w:r>
        <w:tab/>
        <w:t>For</w:t>
      </w:r>
      <w:r>
        <w:rPr>
          <w:snapToGrid w:val="0"/>
        </w:rPr>
        <w:t xml:space="preserve">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Subsection"/>
      </w:pPr>
      <w:r>
        <w:tab/>
        <w:t>(2)</w:t>
      </w:r>
      <w:r>
        <w:tab/>
        <w:t>For the purposes of conducting an investigation under Division 3B, the Commissioner may, at any time, enter any premises occupied or used by any relevant entity, and inspect those premises or any thing for the time being in those premises.</w:t>
      </w:r>
    </w:p>
    <w:p>
      <w:pPr>
        <w:pStyle w:val="Footnotesection"/>
      </w:pPr>
      <w:r>
        <w:tab/>
        <w:t>[Section 21 amended: No. 124 of 1984 s. 7; No. 78 of 1996 s. 21; No. 10 of 1998 s. 57(2); No. 25 of 2022 s. 10.]</w:t>
      </w:r>
    </w:p>
    <w:p>
      <w:pPr>
        <w:pStyle w:val="Heading5"/>
        <w:spacing w:before="180"/>
        <w:rPr>
          <w:snapToGrid w:val="0"/>
        </w:rPr>
      </w:pPr>
      <w:bookmarkStart w:id="160" w:name="_Toc174950856"/>
      <w:r>
        <w:rPr>
          <w:rStyle w:val="CharSectno"/>
        </w:rPr>
        <w:t>22</w:t>
      </w:r>
      <w:r>
        <w:rPr>
          <w:snapToGrid w:val="0"/>
        </w:rPr>
        <w:t>.</w:t>
      </w:r>
      <w:r>
        <w:rPr>
          <w:snapToGrid w:val="0"/>
        </w:rPr>
        <w:tab/>
        <w:t>Protection for proceedings in Cabinet</w:t>
      </w:r>
      <w:bookmarkEnd w:id="160"/>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161" w:name="_Toc174950857"/>
      <w:r>
        <w:rPr>
          <w:rStyle w:val="CharSectno"/>
        </w:rPr>
        <w:lastRenderedPageBreak/>
        <w:t>22A</w:t>
      </w:r>
      <w:r>
        <w:rPr>
          <w:snapToGrid w:val="0"/>
        </w:rPr>
        <w:t>.</w:t>
      </w:r>
      <w:r>
        <w:rPr>
          <w:snapToGrid w:val="0"/>
        </w:rPr>
        <w:tab/>
      </w:r>
      <w:r>
        <w:t>Consultation other than in relation to reportable conduct scheme</w:t>
      </w:r>
      <w:bookmarkEnd w:id="161"/>
    </w:p>
    <w:p>
      <w:pPr>
        <w:pStyle w:val="Subsection"/>
      </w:pPr>
      <w:r>
        <w:rPr>
          <w:snapToGrid w:val="0"/>
        </w:rPr>
        <w:tab/>
        <w:t>(1)</w:t>
      </w:r>
      <w:r>
        <w:rPr>
          <w:snapToGrid w:val="0"/>
        </w:rPr>
        <w:tab/>
        <w:t xml:space="preserve">The Commissioner may consult </w:t>
      </w:r>
      <w:r>
        <w:t xml:space="preserve">the Corruption and Crime Commission, the Public Sector Commissioner, </w:t>
      </w:r>
      <w:r>
        <w:rPr>
          <w:snapToGrid w:val="0"/>
        </w:rPr>
        <w:t xml:space="preserve">the Inspector of Custodial Services or the Director of Public Prosecutions </w:t>
      </w:r>
      <w:r>
        <w:t xml:space="preserve">concerning — </w:t>
      </w:r>
    </w:p>
    <w:p>
      <w:pPr>
        <w:pStyle w:val="Indenta"/>
      </w:pPr>
      <w:r>
        <w:tab/>
        <w:t>(a)</w:t>
      </w:r>
      <w:r>
        <w:tab/>
      </w:r>
      <w:r>
        <w:rPr>
          <w:snapToGrid w:val="0"/>
        </w:rPr>
        <w:t>any complaint under this Act</w:t>
      </w:r>
      <w:r>
        <w:t>; or</w:t>
      </w:r>
    </w:p>
    <w:p>
      <w:pPr>
        <w:pStyle w:val="Indenta"/>
      </w:pPr>
      <w:r>
        <w:tab/>
        <w:t>(b)</w:t>
      </w:r>
      <w:r>
        <w:tab/>
      </w:r>
      <w:r>
        <w:rPr>
          <w:snapToGrid w:val="0"/>
        </w:rPr>
        <w:t>any investigation under this Act, other than an investigation conducted for the purposes of the reportable conduct scheme</w:t>
      </w:r>
      <w:r>
        <w: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No. 78 of 1996 s. 14; amended: No. 43 of 1999 s. 20; No. 74 of 2003 s. 91(13); No. 78 of 2003 s. 72; No. 35 of 2014 s. 36(3); No. 25 of 2022 s. 11.]</w:t>
      </w:r>
    </w:p>
    <w:p>
      <w:pPr>
        <w:pStyle w:val="Heading5"/>
        <w:rPr>
          <w:snapToGrid w:val="0"/>
        </w:rPr>
      </w:pPr>
      <w:bookmarkStart w:id="162" w:name="_Toc174950858"/>
      <w:r>
        <w:rPr>
          <w:rStyle w:val="CharSectno"/>
        </w:rPr>
        <w:t>22AA</w:t>
      </w:r>
      <w:r>
        <w:rPr>
          <w:snapToGrid w:val="0"/>
        </w:rPr>
        <w:t>.</w:t>
      </w:r>
      <w:r>
        <w:rPr>
          <w:snapToGrid w:val="0"/>
        </w:rPr>
        <w:tab/>
        <w:t>Consultation in relation to reportable conduct scheme</w:t>
      </w:r>
      <w:bookmarkEnd w:id="162"/>
    </w:p>
    <w:p>
      <w:pPr>
        <w:pStyle w:val="Subsection"/>
        <w:rPr>
          <w:snapToGrid w:val="0"/>
        </w:rPr>
      </w:pPr>
      <w:r>
        <w:rPr>
          <w:snapToGrid w:val="0"/>
        </w:rPr>
        <w:tab/>
        <w:t>(1)</w:t>
      </w:r>
      <w:r>
        <w:rPr>
          <w:snapToGrid w:val="0"/>
        </w:rPr>
        <w:tab/>
        <w:t>The Commissioner may consult any of the persons or bodies specified in subsection (2) concerning —</w:t>
      </w:r>
    </w:p>
    <w:p>
      <w:pPr>
        <w:pStyle w:val="Indenta"/>
      </w:pPr>
      <w:r>
        <w:tab/>
        <w:t>(a)</w:t>
      </w:r>
      <w:r>
        <w:tab/>
        <w:t>a reportable allegation or reportable conviction; or</w:t>
      </w:r>
    </w:p>
    <w:p>
      <w:pPr>
        <w:pStyle w:val="Indenta"/>
      </w:pPr>
      <w:r>
        <w:tab/>
        <w:t>(b)</w:t>
      </w:r>
      <w:r>
        <w:tab/>
        <w:t>any investigation under this Act conducted for the purposes of the reportable conduct scheme; or</w:t>
      </w:r>
    </w:p>
    <w:p>
      <w:pPr>
        <w:pStyle w:val="Indenta"/>
      </w:pPr>
      <w:r>
        <w:tab/>
        <w:t>(c)</w:t>
      </w:r>
      <w:r>
        <w:tab/>
        <w:t>any other matter that is relevant to the functions of the Commissioner under the reportable conduct scheme.</w:t>
      </w:r>
    </w:p>
    <w:p>
      <w:pPr>
        <w:pStyle w:val="Subsection"/>
      </w:pPr>
      <w:r>
        <w:tab/>
        <w:t>(2)</w:t>
      </w:r>
      <w:r>
        <w:tab/>
        <w:t xml:space="preserve">For the purposes of subsection (1), the persons and bodies are — </w:t>
      </w:r>
    </w:p>
    <w:p>
      <w:pPr>
        <w:pStyle w:val="Indenta"/>
      </w:pPr>
      <w:r>
        <w:tab/>
        <w:t>(a)</w:t>
      </w:r>
      <w:r>
        <w:tab/>
        <w:t>the Corruption and Crime Commission;</w:t>
      </w:r>
    </w:p>
    <w:p>
      <w:pPr>
        <w:pStyle w:val="Indenta"/>
      </w:pPr>
      <w:r>
        <w:tab/>
        <w:t>(b)</w:t>
      </w:r>
      <w:r>
        <w:tab/>
        <w:t>the Public Sector Commissioner;</w:t>
      </w:r>
    </w:p>
    <w:p>
      <w:pPr>
        <w:pStyle w:val="Indenta"/>
        <w:rPr>
          <w:snapToGrid w:val="0"/>
        </w:rPr>
      </w:pPr>
      <w:r>
        <w:rPr>
          <w:snapToGrid w:val="0"/>
        </w:rPr>
        <w:tab/>
        <w:t>(c)</w:t>
      </w:r>
      <w:r>
        <w:rPr>
          <w:snapToGrid w:val="0"/>
        </w:rPr>
        <w:tab/>
        <w:t xml:space="preserve">the Inspector of Custodial Services; </w:t>
      </w:r>
    </w:p>
    <w:p>
      <w:pPr>
        <w:pStyle w:val="Indenta"/>
        <w:rPr>
          <w:snapToGrid w:val="0"/>
        </w:rPr>
      </w:pPr>
      <w:r>
        <w:rPr>
          <w:snapToGrid w:val="0"/>
        </w:rPr>
        <w:lastRenderedPageBreak/>
        <w:tab/>
        <w:t>(d)</w:t>
      </w:r>
      <w:r>
        <w:rPr>
          <w:snapToGrid w:val="0"/>
        </w:rPr>
        <w:tab/>
        <w:t>the Director of Public Prosecutions;</w:t>
      </w:r>
    </w:p>
    <w:p>
      <w:pPr>
        <w:pStyle w:val="Indenta"/>
      </w:pPr>
      <w:r>
        <w:tab/>
        <w:t>(e)</w:t>
      </w:r>
      <w:r>
        <w:tab/>
        <w:t>a person or body that has functions under the law of another State, a Territory or the Commonwealth that substantially correspond to the functions of the Commissioner under the reportable conduct scheme.</w:t>
      </w:r>
    </w:p>
    <w:p>
      <w:pPr>
        <w:pStyle w:val="Subsection"/>
        <w:rPr>
          <w:snapToGrid w:val="0"/>
        </w:rPr>
      </w:pPr>
      <w:r>
        <w:tab/>
        <w:t>(3)</w:t>
      </w:r>
      <w:r>
        <w:tab/>
      </w:r>
      <w:r>
        <w:rPr>
          <w:snapToGrid w:val="0"/>
        </w:rPr>
        <w:t>The Commissioner or the head of a relevant entity may consult any of the persons or bodies specified in subsection (4) concerning —</w:t>
      </w:r>
    </w:p>
    <w:p>
      <w:pPr>
        <w:pStyle w:val="Indenta"/>
      </w:pPr>
      <w:r>
        <w:tab/>
        <w:t>(a)</w:t>
      </w:r>
      <w:r>
        <w:tab/>
        <w:t>a reportable</w:t>
      </w:r>
      <w:r>
        <w:rPr>
          <w:snapToGrid w:val="0"/>
        </w:rPr>
        <w:t xml:space="preserve"> allegation or reportable conviction</w:t>
      </w:r>
      <w:r>
        <w:t>; or</w:t>
      </w:r>
    </w:p>
    <w:p>
      <w:pPr>
        <w:pStyle w:val="Indenta"/>
      </w:pPr>
      <w:r>
        <w:tab/>
        <w:t>(b)</w:t>
      </w:r>
      <w:r>
        <w:tab/>
      </w:r>
      <w:r>
        <w:rPr>
          <w:snapToGrid w:val="0"/>
        </w:rPr>
        <w:t xml:space="preserve">any </w:t>
      </w:r>
      <w:r>
        <w:t>investigation</w:t>
      </w:r>
      <w:r>
        <w:rPr>
          <w:snapToGrid w:val="0"/>
        </w:rPr>
        <w:t xml:space="preserve"> under this Act conducted for the purposes of the reportable conduct scheme</w:t>
      </w:r>
      <w:r>
        <w:t>; or</w:t>
      </w:r>
    </w:p>
    <w:p>
      <w:pPr>
        <w:pStyle w:val="Indenta"/>
        <w:rPr>
          <w:snapToGrid w:val="0"/>
        </w:rPr>
      </w:pPr>
      <w:r>
        <w:tab/>
        <w:t>(c)</w:t>
      </w:r>
      <w:r>
        <w:tab/>
      </w:r>
      <w:r>
        <w:rPr>
          <w:snapToGrid w:val="0"/>
        </w:rPr>
        <w:t>any other matter that is relevant to the functions of the Commissioner or the head of the relevant entity under the reportable conduct scheme.</w:t>
      </w:r>
    </w:p>
    <w:p>
      <w:pPr>
        <w:pStyle w:val="Subsection"/>
      </w:pPr>
      <w:r>
        <w:tab/>
        <w:t>(4)</w:t>
      </w:r>
      <w:r>
        <w:tab/>
        <w:t>For the purposes of subsection (3), the persons and bodies are —</w:t>
      </w:r>
    </w:p>
    <w:p>
      <w:pPr>
        <w:pStyle w:val="Indenta"/>
      </w:pPr>
      <w:r>
        <w:tab/>
        <w:t>(a)</w:t>
      </w:r>
      <w:r>
        <w:tab/>
        <w:t>the Commissioner of Police;</w:t>
      </w:r>
    </w:p>
    <w:p>
      <w:pPr>
        <w:pStyle w:val="Indenta"/>
      </w:pPr>
      <w:r>
        <w:tab/>
        <w:t>(b)</w:t>
      </w:r>
      <w:r>
        <w:tab/>
        <w:t>the Commissioner for Children and Young People;</w:t>
      </w:r>
    </w:p>
    <w:p>
      <w:pPr>
        <w:pStyle w:val="Indenta"/>
      </w:pPr>
      <w:r>
        <w:tab/>
        <w:t>(c)</w:t>
      </w:r>
      <w:r>
        <w:tab/>
        <w:t>the CEO as defined in the CCS Act section 3;</w:t>
      </w:r>
    </w:p>
    <w:p>
      <w:pPr>
        <w:pStyle w:val="Indenta"/>
      </w:pPr>
      <w:r>
        <w:tab/>
        <w:t>(d)</w:t>
      </w:r>
      <w:r>
        <w:tab/>
        <w:t xml:space="preserve">the CEO as defined in the </w:t>
      </w:r>
      <w:r>
        <w:rPr>
          <w:i/>
          <w:iCs/>
        </w:rPr>
        <w:t>Working with Children (Criminal Record Checking) Act 2004</w:t>
      </w:r>
      <w:r>
        <w:t xml:space="preserve"> section 4.</w:t>
      </w:r>
    </w:p>
    <w:p>
      <w:pPr>
        <w:pStyle w:val="Subsection"/>
        <w:rPr>
          <w:snapToGrid w:val="0"/>
        </w:rPr>
      </w:pPr>
      <w:r>
        <w:rPr>
          <w:snapToGrid w:val="0"/>
        </w:rPr>
        <w:tab/>
        <w:t>(5)</w:t>
      </w:r>
      <w:r>
        <w:rPr>
          <w:snapToGrid w:val="0"/>
        </w:rPr>
        <w:tab/>
        <w:t>Information obtained by the Commissioner</w:t>
      </w:r>
      <w:r>
        <w:t>, the Deputy Commissioner or a member of the Commissioner’s staff</w:t>
      </w:r>
      <w:r>
        <w:rPr>
          <w:snapToGrid w:val="0"/>
        </w:rPr>
        <w:t xml:space="preserve"> under this Act for the purposes of the reportable conduct scheme may be disclosed for the purposes of any consultation by the Commissioner under subsection (1) or (3).</w:t>
      </w:r>
    </w:p>
    <w:p>
      <w:pPr>
        <w:pStyle w:val="Subsection"/>
        <w:rPr>
          <w:snapToGrid w:val="0"/>
        </w:rPr>
      </w:pPr>
      <w:r>
        <w:rPr>
          <w:snapToGrid w:val="0"/>
        </w:rPr>
        <w:tab/>
        <w:t>(6)</w:t>
      </w:r>
      <w:r>
        <w:rPr>
          <w:snapToGrid w:val="0"/>
        </w:rPr>
        <w:tab/>
        <w:t>Information obtained by the head of a relevant entity or an investigator conducting an investigation under Division 3B for the purposes of the reportable conduct scheme may be disclosed for the purposes of any consultation by the head of the relevant entity under subsection (3).</w:t>
      </w:r>
    </w:p>
    <w:p>
      <w:pPr>
        <w:pStyle w:val="Footnotesection"/>
      </w:pPr>
      <w:r>
        <w:tab/>
        <w:t>[Section 22AA inserted: No. 25 of 2022 s. 12.]</w:t>
      </w:r>
    </w:p>
    <w:p>
      <w:pPr>
        <w:pStyle w:val="Heading5"/>
        <w:rPr>
          <w:snapToGrid w:val="0"/>
        </w:rPr>
      </w:pPr>
      <w:bookmarkStart w:id="163" w:name="_Toc174950859"/>
      <w:r>
        <w:rPr>
          <w:rStyle w:val="CharSectno"/>
        </w:rPr>
        <w:lastRenderedPageBreak/>
        <w:t>22B</w:t>
      </w:r>
      <w:r>
        <w:rPr>
          <w:snapToGrid w:val="0"/>
        </w:rPr>
        <w:t>.</w:t>
      </w:r>
      <w:r>
        <w:rPr>
          <w:snapToGrid w:val="0"/>
        </w:rPr>
        <w:tab/>
      </w:r>
      <w:r>
        <w:t>Disclosure of certain information other than in relation to reportable conduct scheme</w:t>
      </w:r>
      <w:bookmarkEnd w:id="163"/>
      <w:r>
        <w:rPr>
          <w:snapToGrid w:val="0"/>
        </w:rPr>
        <w:t xml:space="preserve"> </w:t>
      </w:r>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w:t>
      </w:r>
      <w:r>
        <w:t xml:space="preserve">(other than an investigation conducted for the purposes of the reportable conduct scheme) </w:t>
      </w:r>
      <w:r>
        <w:rPr>
          <w:snapToGrid w:val="0"/>
        </w:rPr>
        <w:t>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lastRenderedPageBreak/>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keepNext/>
      </w:pPr>
      <w:r>
        <w:lastRenderedPageBreak/>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 for Children and Young People,</w:t>
      </w:r>
    </w:p>
    <w:p>
      <w:pPr>
        <w:pStyle w:val="Indenta"/>
        <w:spacing w:before="70"/>
      </w:pPr>
      <w:r>
        <w:tab/>
      </w:r>
      <w:r>
        <w:tab/>
        <w:t>and concerns a matter that is relevant to the death of a child.</w:t>
      </w:r>
    </w:p>
    <w:p>
      <w:pPr>
        <w:pStyle w:val="Footnotesection"/>
      </w:pPr>
      <w:r>
        <w:tab/>
        <w:t>[Section 22B inserted: No. 78 of 1996 s. 14; amended: No. 43 of 1999 s. 20; No. 74 of 2003 s. 91(14); No. 78 of 2003 s. 72; No. 10 of 2009 s. 8; No. 35 of 2014 s. 36(4); No. 25 of 2022 s. 13.]</w:t>
      </w:r>
    </w:p>
    <w:p>
      <w:pPr>
        <w:pStyle w:val="Heading5"/>
        <w:rPr>
          <w:snapToGrid w:val="0"/>
        </w:rPr>
      </w:pPr>
      <w:bookmarkStart w:id="164" w:name="_Toc174950860"/>
      <w:r>
        <w:rPr>
          <w:rStyle w:val="CharSectno"/>
        </w:rPr>
        <w:t>22C</w:t>
      </w:r>
      <w:r>
        <w:rPr>
          <w:snapToGrid w:val="0"/>
        </w:rPr>
        <w:t>.</w:t>
      </w:r>
      <w:r>
        <w:rPr>
          <w:snapToGrid w:val="0"/>
        </w:rPr>
        <w:tab/>
        <w:t>Disclosure of certain information in relation to reportable conduct scheme</w:t>
      </w:r>
      <w:bookmarkEnd w:id="164"/>
    </w:p>
    <w:p>
      <w:pPr>
        <w:pStyle w:val="Subsection"/>
      </w:pPr>
      <w:r>
        <w:tab/>
        <w:t>(1)</w:t>
      </w:r>
      <w:r>
        <w:tab/>
        <w:t>In this section —</w:t>
      </w:r>
    </w:p>
    <w:p>
      <w:pPr>
        <w:pStyle w:val="Defstart"/>
      </w:pPr>
      <w:r>
        <w:tab/>
      </w:r>
      <w:r>
        <w:rPr>
          <w:rStyle w:val="CharDefText"/>
        </w:rPr>
        <w:t>reportable conduct information</w:t>
      </w:r>
      <w:r>
        <w:t xml:space="preserve"> means information obtained by the Commissioner, the Deputy Commissioner or a member of the Commissioner’s staff for the purposes of the reportable conduct scheme.</w:t>
      </w:r>
    </w:p>
    <w:p>
      <w:pPr>
        <w:pStyle w:val="Subsection"/>
        <w:rPr>
          <w:snapToGrid w:val="0"/>
        </w:rPr>
      </w:pPr>
      <w:r>
        <w:rPr>
          <w:snapToGrid w:val="0"/>
        </w:rPr>
        <w:tab/>
        <w:t>(2)</w:t>
      </w:r>
      <w:r>
        <w:rPr>
          <w:snapToGrid w:val="0"/>
        </w:rPr>
        <w:tab/>
        <w:t xml:space="preserve">The Commissioner, the Deputy Commissioner or </w:t>
      </w:r>
      <w:r>
        <w:t>a member of the Commissioner’s staff</w:t>
      </w:r>
      <w:r>
        <w:rPr>
          <w:snapToGrid w:val="0"/>
        </w:rPr>
        <w:t xml:space="preserve"> authorised for the purposes of this section by the Commissioner or the Deputy Commissioner may disclose reportable conduct information if —</w:t>
      </w:r>
    </w:p>
    <w:p>
      <w:pPr>
        <w:pStyle w:val="Indenta"/>
      </w:pPr>
      <w:r>
        <w:tab/>
        <w:t>(a)</w:t>
      </w:r>
      <w:r>
        <w:tab/>
        <w:t>the information —</w:t>
      </w:r>
    </w:p>
    <w:p>
      <w:pPr>
        <w:pStyle w:val="Indenti"/>
      </w:pPr>
      <w:r>
        <w:tab/>
        <w:t>(i)</w:t>
      </w:r>
      <w:r>
        <w:tab/>
        <w:t>is disclosed to a person referred to in section 22B(aa), (b), (c), (d) or (ea); and</w:t>
      </w:r>
    </w:p>
    <w:p>
      <w:pPr>
        <w:pStyle w:val="Indenti"/>
      </w:pPr>
      <w:r>
        <w:tab/>
        <w:t>(ii)</w:t>
      </w:r>
      <w:r>
        <w:tab/>
        <w:t>concerns a matter of a kind for which information can be disclosed to that person under section 22B;</w:t>
      </w:r>
    </w:p>
    <w:p>
      <w:pPr>
        <w:pStyle w:val="Indenta"/>
      </w:pPr>
      <w:r>
        <w:tab/>
      </w:r>
      <w:r>
        <w:tab/>
        <w:t>or</w:t>
      </w:r>
    </w:p>
    <w:p>
      <w:pPr>
        <w:pStyle w:val="Indenta"/>
        <w:keepNext/>
      </w:pPr>
      <w:r>
        <w:lastRenderedPageBreak/>
        <w:tab/>
        <w:t>(b)</w:t>
      </w:r>
      <w:r>
        <w:tab/>
        <w:t>the information —</w:t>
      </w:r>
    </w:p>
    <w:p>
      <w:pPr>
        <w:pStyle w:val="Indenti"/>
      </w:pPr>
      <w:r>
        <w:tab/>
        <w:t>(i)</w:t>
      </w:r>
      <w:r>
        <w:tab/>
        <w:t>is disclosed to the Commissioner of Police; and</w:t>
      </w:r>
    </w:p>
    <w:p>
      <w:pPr>
        <w:pStyle w:val="Indenti"/>
      </w:pPr>
      <w:r>
        <w:tab/>
        <w:t>(ii)</w:t>
      </w:r>
      <w:r>
        <w:tab/>
        <w:t xml:space="preserve">concerns a matter that is relevant to the functions of the Commissioner of Police; </w:t>
      </w:r>
    </w:p>
    <w:p>
      <w:pPr>
        <w:pStyle w:val="Indenta"/>
      </w:pPr>
      <w:r>
        <w:tab/>
      </w:r>
      <w:r>
        <w:tab/>
        <w:t>or</w:t>
      </w:r>
    </w:p>
    <w:p>
      <w:pPr>
        <w:pStyle w:val="Indenta"/>
      </w:pPr>
      <w:r>
        <w:tab/>
        <w:t>(c)</w:t>
      </w:r>
      <w:r>
        <w:tab/>
        <w:t>the information —</w:t>
      </w:r>
    </w:p>
    <w:p>
      <w:pPr>
        <w:pStyle w:val="Indenti"/>
      </w:pPr>
      <w:r>
        <w:tab/>
        <w:t>(i)</w:t>
      </w:r>
      <w:r>
        <w:tab/>
        <w:t>is disclosed to the Commissioner for Children and Young People or a member of the staff of the Commissioner for Children and Young People authorised for the purposes of this subparagraph by the Commissioner for Children and Young People; and</w:t>
      </w:r>
    </w:p>
    <w:p>
      <w:pPr>
        <w:pStyle w:val="Indenti"/>
      </w:pPr>
      <w:r>
        <w:tab/>
        <w:t>(ii)</w:t>
      </w:r>
      <w:r>
        <w:tab/>
        <w:t xml:space="preserve">concerns a matter that is relevant to the functions of the Commissioner for Children and Young People under the </w:t>
      </w:r>
      <w:r>
        <w:rPr>
          <w:i/>
        </w:rPr>
        <w:t>Commissioner for Children and Young People Act 2006</w:t>
      </w:r>
      <w:r>
        <w:t>;</w:t>
      </w:r>
    </w:p>
    <w:p>
      <w:pPr>
        <w:pStyle w:val="Indenta"/>
      </w:pPr>
      <w:r>
        <w:tab/>
      </w:r>
      <w:r>
        <w:tab/>
        <w:t>or</w:t>
      </w:r>
    </w:p>
    <w:p>
      <w:pPr>
        <w:pStyle w:val="Indenta"/>
      </w:pPr>
      <w:r>
        <w:tab/>
        <w:t>(d)</w:t>
      </w:r>
      <w:r>
        <w:tab/>
        <w:t>the information —</w:t>
      </w:r>
    </w:p>
    <w:p>
      <w:pPr>
        <w:pStyle w:val="Indenti"/>
      </w:pPr>
      <w:r>
        <w:tab/>
        <w:t>(i)</w:t>
      </w:r>
      <w:r>
        <w:tab/>
        <w:t>is disclosed to the CEO as defined in the CCS Act section 3 or a member of the staff of the Department as defined in that section; and</w:t>
      </w:r>
    </w:p>
    <w:p>
      <w:pPr>
        <w:pStyle w:val="Indenti"/>
      </w:pPr>
      <w:r>
        <w:tab/>
        <w:t>(ii)</w:t>
      </w:r>
      <w:r>
        <w:tab/>
        <w:t>concerns a matter that is relevant to the functions of the CEO under that Act;</w:t>
      </w:r>
    </w:p>
    <w:p>
      <w:pPr>
        <w:pStyle w:val="Indenta"/>
      </w:pPr>
      <w:r>
        <w:tab/>
      </w:r>
      <w:r>
        <w:tab/>
        <w:t>or</w:t>
      </w:r>
    </w:p>
    <w:p>
      <w:pPr>
        <w:pStyle w:val="Indenta"/>
      </w:pPr>
      <w:r>
        <w:tab/>
        <w:t>(e)</w:t>
      </w:r>
      <w:r>
        <w:tab/>
        <w:t>the information —</w:t>
      </w:r>
    </w:p>
    <w:p>
      <w:pPr>
        <w:pStyle w:val="Indenti"/>
      </w:pPr>
      <w:r>
        <w:tab/>
        <w:t>(i)</w:t>
      </w:r>
      <w:r>
        <w:tab/>
        <w:t xml:space="preserve">is disclosed to the CEO as defined in the </w:t>
      </w:r>
      <w:r>
        <w:rPr>
          <w:i/>
          <w:iCs/>
        </w:rPr>
        <w:t>Working with Children (Criminal Record Checking) Act 2004</w:t>
      </w:r>
      <w:r>
        <w:t xml:space="preserve"> section 4 or an officer of the Department as defined in that section; and</w:t>
      </w:r>
    </w:p>
    <w:p>
      <w:pPr>
        <w:pStyle w:val="Indenti"/>
      </w:pPr>
      <w:r>
        <w:tab/>
        <w:t>(ii)</w:t>
      </w:r>
      <w:r>
        <w:tab/>
        <w:t>concerns a matter that is relevant to the functions of the CEO under that Act.</w:t>
      </w:r>
    </w:p>
    <w:p>
      <w:pPr>
        <w:pStyle w:val="Footnotesection"/>
      </w:pPr>
      <w:r>
        <w:tab/>
        <w:t>[Section 22C inserted: No. 25 of 2022 s. 14.]</w:t>
      </w:r>
    </w:p>
    <w:p>
      <w:pPr>
        <w:pStyle w:val="Heading5"/>
        <w:rPr>
          <w:snapToGrid w:val="0"/>
        </w:rPr>
      </w:pPr>
      <w:bookmarkStart w:id="165" w:name="_Toc174950861"/>
      <w:r>
        <w:rPr>
          <w:rStyle w:val="CharSectno"/>
        </w:rPr>
        <w:lastRenderedPageBreak/>
        <w:t>23</w:t>
      </w:r>
      <w:r>
        <w:rPr>
          <w:snapToGrid w:val="0"/>
        </w:rPr>
        <w:t>.</w:t>
      </w:r>
      <w:r>
        <w:rPr>
          <w:snapToGrid w:val="0"/>
        </w:rPr>
        <w:tab/>
        <w:t>Secrecy</w:t>
      </w:r>
      <w:bookmarkEnd w:id="165"/>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w:t>
      </w:r>
      <w:r>
        <w:t xml:space="preserve"> by the Commissioner</w:t>
      </w:r>
      <w:r>
        <w:rPr>
          <w:snapToGrid w:val="0"/>
        </w:rPr>
        <w:t xml:space="preserve">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 xml:space="preserve">as authorised by </w:t>
      </w:r>
      <w:r>
        <w:t>Division 3B or section 22A, 22AA, 22B or 22C(2)</w:t>
      </w:r>
      <w:r>
        <w:rPr>
          <w:snapToGrid w:val="0"/>
        </w:rPr>
        <w:t>.</w:t>
      </w:r>
    </w:p>
    <w:p>
      <w:pPr>
        <w:pStyle w:val="Subsection"/>
        <w:rPr>
          <w:snapToGrid w:val="0"/>
        </w:rPr>
      </w:pPr>
      <w:r>
        <w:rPr>
          <w:snapToGrid w:val="0"/>
        </w:rPr>
        <w:tab/>
        <w:t>(1a)</w:t>
      </w:r>
      <w:r>
        <w:rPr>
          <w:snapToGrid w:val="0"/>
        </w:rPr>
        <w:tab/>
        <w:t xml:space="preserve">The Commissioner may in writing direct the person to whom a document is sent by the Commissioner not to disclose to any other person any information contained in the document except for the purposes of the investigation to which the document </w:t>
      </w:r>
      <w:r>
        <w:t>relates or any other purpose specified in the direction, and a person to whom such a direction is given must</w:t>
      </w:r>
      <w:r>
        <w:rPr>
          <w:snapToGrid w:val="0"/>
        </w:rPr>
        <w:t xml:space="preserve"> comply with the direction.</w:t>
      </w:r>
    </w:p>
    <w:p>
      <w:pPr>
        <w:pStyle w:val="Subsection"/>
        <w:rPr>
          <w:snapToGrid w:val="0"/>
        </w:rPr>
      </w:pPr>
      <w:r>
        <w:rPr>
          <w:snapToGrid w:val="0"/>
        </w:rPr>
        <w:tab/>
        <w:t>(1b)</w:t>
      </w:r>
      <w:r>
        <w:rPr>
          <w:snapToGrid w:val="0"/>
        </w:rPr>
        <w:tab/>
        <w:t xml:space="preserve">Subsection (1) shall not be taken to preclude the Commissioner from disclosing information, or making a statement, to any person or to the public or a section of the public with respect to the performance of the functions of, or an investigation by, the Commissioner if, in </w:t>
      </w:r>
      <w:r>
        <w:t>the Commissioner’s opinion,</w:t>
      </w:r>
      <w:r>
        <w:rPr>
          <w:snapToGrid w:val="0"/>
        </w:rPr>
        <w:t xml:space="preserve"> it is in the interests of any department or authority to which this Act </w:t>
      </w:r>
      <w:r>
        <w:t xml:space="preserve">applies, of any </w:t>
      </w:r>
      <w:r>
        <w:rPr>
          <w:snapToGrid w:val="0"/>
        </w:rPr>
        <w:t>person or of the proper operation of the reportable conduct scheme, or is otherwise in the public interest, so to disclose that information or to make that statement.</w:t>
      </w:r>
    </w:p>
    <w:p>
      <w:pPr>
        <w:pStyle w:val="Subsection"/>
        <w:rPr>
          <w:snapToGrid w:val="0"/>
        </w:rPr>
      </w:pPr>
      <w:r>
        <w:rPr>
          <w:snapToGrid w:val="0"/>
        </w:rPr>
        <w:tab/>
        <w:t>(1c)</w:t>
      </w:r>
      <w:r>
        <w:rPr>
          <w:snapToGrid w:val="0"/>
        </w:rPr>
        <w:tab/>
        <w:t xml:space="preserve">The Commissioner shall not disclose information or make a statement under subsection (1b) with respect to a particular investigation where the disclosure of that information, or the making of that statement, is likely to interfere with the carrying </w:t>
      </w:r>
      <w:r>
        <w:rPr>
          <w:snapToGrid w:val="0"/>
        </w:rPr>
        <w:lastRenderedPageBreak/>
        <w:t>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 xml:space="preserve">set out opinions that are, either expressly or impliedly, critical of any </w:t>
      </w:r>
      <w:r>
        <w:t>department, authority or relevant entity</w:t>
      </w:r>
      <w:r>
        <w:rPr>
          <w:snapToGrid w:val="0"/>
        </w:rPr>
        <w:t xml:space="preserve">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 xml:space="preserve">Where the Commissioner proposes to disclose information or make a statement setting out opinions referred to in subsection (1d)(a) </w:t>
      </w:r>
      <w:r>
        <w:t>the Commissioner must,</w:t>
      </w:r>
      <w:r>
        <w:rPr>
          <w:snapToGrid w:val="0"/>
        </w:rPr>
        <w:t xml:space="preserve">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pPr>
      <w:r>
        <w:tab/>
        <w:t>(aa)</w:t>
      </w:r>
      <w:r>
        <w:tab/>
        <w:t>if the opinions relate to a relevant entity, the head of the relevant entity;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 xml:space="preserve">the opportunity to appear </w:t>
      </w:r>
      <w:r>
        <w:t>before the Commissioner</w:t>
      </w:r>
      <w:r>
        <w:rPr>
          <w:snapToGrid w:val="0"/>
        </w:rPr>
        <w:t xml:space="preserve">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lastRenderedPageBreak/>
        <w:tab/>
        <w:t>[Section 23 amended: No. 68 of 1976 s. 7; No. 124 of 1984 s. 8; No. 14 of 1994 s. 19(2); No. 29 of 1996 s. 26; No. 78 of 1996 s. 15 and 21; No. 74 of 2003 s. 91(15); No. 25 of 2022 s. 15.]</w:t>
      </w:r>
    </w:p>
    <w:p>
      <w:pPr>
        <w:pStyle w:val="Heading5"/>
        <w:rPr>
          <w:snapToGrid w:val="0"/>
        </w:rPr>
      </w:pPr>
      <w:bookmarkStart w:id="166" w:name="_Toc174950862"/>
      <w:r>
        <w:rPr>
          <w:rStyle w:val="CharSectno"/>
        </w:rPr>
        <w:t>23A</w:t>
      </w:r>
      <w:r>
        <w:rPr>
          <w:snapToGrid w:val="0"/>
        </w:rPr>
        <w:t>.</w:t>
      </w:r>
      <w:r>
        <w:rPr>
          <w:snapToGrid w:val="0"/>
        </w:rPr>
        <w:tab/>
      </w:r>
      <w:r>
        <w:t>Certain documents sent to or by Commissioner not admissible</w:t>
      </w:r>
      <w:bookmarkEnd w:id="166"/>
    </w:p>
    <w:p>
      <w:pPr>
        <w:pStyle w:val="Subsection"/>
        <w:rPr>
          <w:snapToGrid w:val="0"/>
        </w:rPr>
      </w:pPr>
      <w:r>
        <w:rPr>
          <w:snapToGrid w:val="0"/>
        </w:rPr>
        <w:tab/>
      </w:r>
      <w:r>
        <w:t>(1)</w:t>
      </w:r>
      <w:r>
        <w:tab/>
        <w:t>Any</w:t>
      </w:r>
      <w:r>
        <w:rPr>
          <w:snapToGrid w:val="0"/>
        </w:rPr>
        <w:t xml:space="preserve">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Subsection"/>
      </w:pPr>
      <w:r>
        <w:tab/>
        <w:t>(2)</w:t>
      </w:r>
      <w:r>
        <w:tab/>
        <w:t xml:space="preserve">Subsection (1) does not apply to a document sent to the Commissioner, the Deputy Commissioner or a member of the Commissioner’s staff or by the Commissioner, the Deputy Commissioner or a member of the Commissioner’s staff in the course of, or for the purposes of — </w:t>
      </w:r>
    </w:p>
    <w:p>
      <w:pPr>
        <w:pStyle w:val="Indenta"/>
      </w:pPr>
      <w:r>
        <w:tab/>
        <w:t>(a)</w:t>
      </w:r>
      <w:r>
        <w:tab/>
        <w:t>an investigation by the head of a relevant entity under section 19W(1); or</w:t>
      </w:r>
    </w:p>
    <w:p>
      <w:pPr>
        <w:pStyle w:val="Indenta"/>
      </w:pPr>
      <w:r>
        <w:tab/>
        <w:t>(b)</w:t>
      </w:r>
      <w:r>
        <w:tab/>
        <w:t>an investigation by the Commissioner under section 19ZB(1)(a).</w:t>
      </w:r>
    </w:p>
    <w:p>
      <w:pPr>
        <w:pStyle w:val="Footnotesection"/>
        <w:spacing w:before="100"/>
        <w:ind w:left="890" w:hanging="890"/>
      </w:pPr>
      <w:r>
        <w:tab/>
        <w:t>[Section 23A inserted: No. 73 of 1976 s. 8; amended: No. 74 of 2003 s. 91(16); No. 25 of 2022 s. 16.]</w:t>
      </w:r>
    </w:p>
    <w:p>
      <w:pPr>
        <w:pStyle w:val="Heading5"/>
        <w:rPr>
          <w:snapToGrid w:val="0"/>
        </w:rPr>
      </w:pPr>
      <w:bookmarkStart w:id="167" w:name="_Toc174950863"/>
      <w:r>
        <w:rPr>
          <w:rStyle w:val="CharSectno"/>
        </w:rPr>
        <w:t>24</w:t>
      </w:r>
      <w:r>
        <w:rPr>
          <w:snapToGrid w:val="0"/>
        </w:rPr>
        <w:t>.</w:t>
      </w:r>
      <w:r>
        <w:rPr>
          <w:snapToGrid w:val="0"/>
        </w:rPr>
        <w:tab/>
        <w:t>Obstruction</w:t>
      </w:r>
      <w:bookmarkEnd w:id="167"/>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lastRenderedPageBreak/>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168" w:name="_Toc153965076"/>
      <w:bookmarkStart w:id="169" w:name="_Toc153968734"/>
      <w:bookmarkStart w:id="170" w:name="_Toc153978131"/>
      <w:bookmarkStart w:id="171" w:name="_Toc174718116"/>
      <w:bookmarkStart w:id="172" w:name="_Toc174718761"/>
      <w:bookmarkStart w:id="173" w:name="_Toc174718867"/>
      <w:bookmarkStart w:id="174" w:name="_Toc174950864"/>
      <w:r>
        <w:rPr>
          <w:rStyle w:val="CharDivNo"/>
        </w:rPr>
        <w:t>Division 4</w:t>
      </w:r>
      <w:r>
        <w:rPr>
          <w:snapToGrid w:val="0"/>
        </w:rPr>
        <w:t> — </w:t>
      </w:r>
      <w:r>
        <w:rPr>
          <w:rStyle w:val="CharDivText"/>
        </w:rPr>
        <w:t>Action on investigations</w:t>
      </w:r>
      <w:bookmarkEnd w:id="168"/>
      <w:bookmarkEnd w:id="169"/>
      <w:bookmarkEnd w:id="170"/>
      <w:bookmarkEnd w:id="171"/>
      <w:bookmarkEnd w:id="172"/>
      <w:bookmarkEnd w:id="173"/>
      <w:bookmarkEnd w:id="174"/>
    </w:p>
    <w:p>
      <w:pPr>
        <w:pStyle w:val="Heading5"/>
        <w:spacing w:before="180"/>
        <w:rPr>
          <w:snapToGrid w:val="0"/>
        </w:rPr>
      </w:pPr>
      <w:bookmarkStart w:id="175" w:name="_Toc174950865"/>
      <w:r>
        <w:rPr>
          <w:rStyle w:val="CharSectno"/>
        </w:rPr>
        <w:t>25</w:t>
      </w:r>
      <w:r>
        <w:rPr>
          <w:snapToGrid w:val="0"/>
        </w:rPr>
        <w:t>.</w:t>
      </w:r>
      <w:r>
        <w:rPr>
          <w:snapToGrid w:val="0"/>
        </w:rPr>
        <w:tab/>
        <w:t>Procedure on completion of investigation</w:t>
      </w:r>
      <w:bookmarkEnd w:id="175"/>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lastRenderedPageBreak/>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 xml:space="preserve">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w:t>
      </w:r>
      <w:r>
        <w:rPr>
          <w:snapToGrid w:val="0"/>
        </w:rPr>
        <w:lastRenderedPageBreak/>
        <w:t>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Subsection"/>
        <w:rPr>
          <w:snapToGrid w:val="0"/>
        </w:rPr>
      </w:pPr>
      <w:r>
        <w:rPr>
          <w:snapToGrid w:val="0"/>
        </w:rPr>
        <w:tab/>
        <w:t>(8)</w:t>
      </w:r>
      <w:r>
        <w:rPr>
          <w:snapToGrid w:val="0"/>
        </w:rPr>
        <w:tab/>
        <w:t xml:space="preserve">This section applies in relation to an investigation by the Commissioner for the purposes of the reportable conduct scheme as follows — </w:t>
      </w:r>
    </w:p>
    <w:p>
      <w:pPr>
        <w:pStyle w:val="Indenta"/>
      </w:pPr>
      <w:r>
        <w:tab/>
        <w:t>(a)</w:t>
      </w:r>
      <w:r>
        <w:tab/>
        <w:t>any reference to the appropriate authority is taken to be a reference to the relevant entity;</w:t>
      </w:r>
    </w:p>
    <w:p>
      <w:pPr>
        <w:pStyle w:val="Indenta"/>
      </w:pPr>
      <w:r>
        <w:tab/>
        <w:t>(b)</w:t>
      </w:r>
      <w:r>
        <w:tab/>
        <w:t>any reference to the principal officer of the appropriate authority is taken to be a reference to the head of the relevant entity;</w:t>
      </w:r>
    </w:p>
    <w:p>
      <w:pPr>
        <w:pStyle w:val="Indenta"/>
      </w:pPr>
      <w:r>
        <w:tab/>
        <w:t>(c)</w:t>
      </w:r>
      <w:r>
        <w:tab/>
        <w:t>subsection (3) applies only if the investigation relates to a relevant entity that is a department or authority;</w:t>
      </w:r>
    </w:p>
    <w:p>
      <w:pPr>
        <w:pStyle w:val="Indenta"/>
      </w:pPr>
      <w:r>
        <w:tab/>
        <w:t>(d)</w:t>
      </w:r>
      <w:r>
        <w:tab/>
        <w:t>for the purposes of an investigation referred to in section 19ZB(1)(a) —</w:t>
      </w:r>
    </w:p>
    <w:p>
      <w:pPr>
        <w:pStyle w:val="Indenti"/>
      </w:pPr>
      <w:r>
        <w:tab/>
        <w:t>(i)</w:t>
      </w:r>
      <w:r>
        <w:tab/>
        <w:t>subsections (1) and (2) do not apply; and</w:t>
      </w:r>
    </w:p>
    <w:p>
      <w:pPr>
        <w:pStyle w:val="Indenti"/>
      </w:pPr>
      <w:r>
        <w:tab/>
        <w:t>(ii)</w:t>
      </w:r>
      <w:r>
        <w:tab/>
        <w:t>a reference in subsections (3) to (5) to a recommendation under subsection (2) is taken to be a reference to a recommendation under section 19ZD(3)(b).</w:t>
      </w:r>
    </w:p>
    <w:p>
      <w:pPr>
        <w:pStyle w:val="Footnotesection"/>
        <w:spacing w:before="100"/>
        <w:ind w:left="890" w:hanging="890"/>
      </w:pPr>
      <w:r>
        <w:tab/>
        <w:t>[Section 25 amended: No. 25 of 2022 s. 17.]</w:t>
      </w:r>
    </w:p>
    <w:p>
      <w:pPr>
        <w:pStyle w:val="Heading5"/>
        <w:keepNext w:val="0"/>
        <w:keepLines w:val="0"/>
        <w:spacing w:before="180"/>
        <w:rPr>
          <w:snapToGrid w:val="0"/>
        </w:rPr>
      </w:pPr>
      <w:bookmarkStart w:id="176" w:name="_Toc174950866"/>
      <w:r>
        <w:rPr>
          <w:rStyle w:val="CharSectno"/>
        </w:rPr>
        <w:t>26</w:t>
      </w:r>
      <w:r>
        <w:rPr>
          <w:snapToGrid w:val="0"/>
        </w:rPr>
        <w:t>.</w:t>
      </w:r>
      <w:r>
        <w:rPr>
          <w:snapToGrid w:val="0"/>
        </w:rPr>
        <w:tab/>
        <w:t>Information to complainant on investigation</w:t>
      </w:r>
      <w:bookmarkEnd w:id="176"/>
    </w:p>
    <w:p>
      <w:pPr>
        <w:pStyle w:val="Subsection"/>
        <w:spacing w:before="120"/>
        <w:rPr>
          <w:snapToGrid w:val="0"/>
        </w:rPr>
      </w:pPr>
      <w:r>
        <w:rPr>
          <w:snapToGrid w:val="0"/>
        </w:rPr>
        <w:tab/>
      </w:r>
      <w:r>
        <w:rPr>
          <w:snapToGrid w:val="0"/>
        </w:rPr>
        <w:tab/>
        <w:t xml:space="preserve">Where the Commissioner conducts an investigation on a complaint made under this Act he shall inform the complainant, in such manner and at such time as he thinks proper, of the </w:t>
      </w:r>
      <w:r>
        <w:rPr>
          <w:snapToGrid w:val="0"/>
        </w:rPr>
        <w:lastRenderedPageBreak/>
        <w:t>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No. 68 of 1976 s. 9.]</w:t>
      </w:r>
    </w:p>
    <w:p>
      <w:pPr>
        <w:pStyle w:val="Heading3"/>
        <w:spacing w:before="280"/>
      </w:pPr>
      <w:bookmarkStart w:id="177" w:name="_Toc153965079"/>
      <w:bookmarkStart w:id="178" w:name="_Toc153968737"/>
      <w:bookmarkStart w:id="179" w:name="_Toc153978134"/>
      <w:bookmarkStart w:id="180" w:name="_Toc174718119"/>
      <w:bookmarkStart w:id="181" w:name="_Toc174718764"/>
      <w:bookmarkStart w:id="182" w:name="_Toc174718870"/>
      <w:bookmarkStart w:id="183" w:name="_Toc174950867"/>
      <w:r>
        <w:rPr>
          <w:rStyle w:val="CharDivNo"/>
        </w:rPr>
        <w:t>Division 5</w:t>
      </w:r>
      <w:r>
        <w:rPr>
          <w:snapToGrid w:val="0"/>
        </w:rPr>
        <w:t> — </w:t>
      </w:r>
      <w:r>
        <w:rPr>
          <w:rStyle w:val="CharDivText"/>
        </w:rPr>
        <w:t>Annual and other reports of the Commissioner</w:t>
      </w:r>
      <w:bookmarkEnd w:id="177"/>
      <w:bookmarkEnd w:id="178"/>
      <w:bookmarkEnd w:id="179"/>
      <w:bookmarkEnd w:id="180"/>
      <w:bookmarkEnd w:id="181"/>
      <w:bookmarkEnd w:id="182"/>
      <w:bookmarkEnd w:id="183"/>
    </w:p>
    <w:p>
      <w:pPr>
        <w:pStyle w:val="Heading5"/>
        <w:rPr>
          <w:snapToGrid w:val="0"/>
        </w:rPr>
      </w:pPr>
      <w:bookmarkStart w:id="184" w:name="_Toc174950868"/>
      <w:r>
        <w:rPr>
          <w:rStyle w:val="CharSectno"/>
        </w:rPr>
        <w:t>27</w:t>
      </w:r>
      <w:r>
        <w:rPr>
          <w:snapToGrid w:val="0"/>
        </w:rPr>
        <w:t>.</w:t>
      </w:r>
      <w:r>
        <w:rPr>
          <w:snapToGrid w:val="0"/>
        </w:rPr>
        <w:tab/>
        <w:t>Commissioner may report to Parliament</w:t>
      </w:r>
      <w:bookmarkEnd w:id="184"/>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No. 98 of 1985 s. 3; amended: No. 78 of 1996 s. 16; No. 77 of 2006 Sch. 1 cl. 118(1).]</w:t>
      </w:r>
    </w:p>
    <w:p>
      <w:pPr>
        <w:pStyle w:val="Heading5"/>
      </w:pPr>
      <w:bookmarkStart w:id="185" w:name="_Toc174950869"/>
      <w:r>
        <w:rPr>
          <w:rStyle w:val="CharSectno"/>
        </w:rPr>
        <w:t>28</w:t>
      </w:r>
      <w:r>
        <w:t>.</w:t>
      </w:r>
      <w:r>
        <w:tab/>
        <w:t>Annual report to include report on reportable conduct scheme</w:t>
      </w:r>
      <w:bookmarkEnd w:id="185"/>
    </w:p>
    <w:p>
      <w:pPr>
        <w:pStyle w:val="Subsection"/>
        <w:rPr>
          <w:snapToGrid w:val="0"/>
        </w:rPr>
      </w:pPr>
      <w:r>
        <w:rPr>
          <w:snapToGrid w:val="0"/>
        </w:rPr>
        <w:tab/>
        <w:t>(1)</w:t>
      </w:r>
      <w:r>
        <w:rPr>
          <w:snapToGrid w:val="0"/>
        </w:rPr>
        <w:tab/>
        <w:t xml:space="preserve">The annual report of the accountable authority of the Parliamentary Commissioner for Administrative Investigations under the </w:t>
      </w:r>
      <w:r>
        <w:rPr>
          <w:i/>
          <w:iCs/>
          <w:snapToGrid w:val="0"/>
        </w:rPr>
        <w:t>Financial Management Act 2006</w:t>
      </w:r>
      <w:r>
        <w:rPr>
          <w:snapToGrid w:val="0"/>
        </w:rPr>
        <w:t xml:space="preserve"> Part 5 must include </w:t>
      </w:r>
      <w:r>
        <w:lastRenderedPageBreak/>
        <w:t xml:space="preserve">a report about the operation of the reportable conduct scheme in the financial year to which the report relates, including </w:t>
      </w:r>
      <w:r>
        <w:rPr>
          <w:snapToGrid w:val="0"/>
        </w:rPr>
        <w:t>the following —</w:t>
      </w:r>
    </w:p>
    <w:p>
      <w:pPr>
        <w:pStyle w:val="Indenta"/>
      </w:pPr>
      <w:r>
        <w:tab/>
        <w:t>(a)</w:t>
      </w:r>
      <w:r>
        <w:tab/>
        <w:t>a description of the activities of the Commissioner in relation to the reportable conduct scheme;</w:t>
      </w:r>
    </w:p>
    <w:p>
      <w:pPr>
        <w:pStyle w:val="Indenta"/>
      </w:pPr>
      <w:r>
        <w:tab/>
        <w:t>(b)</w:t>
      </w:r>
      <w:r>
        <w:tab/>
        <w:t>an evaluation of the response of relevant entities to the recommendations of the Commissioner under the reportable conduct scheme;</w:t>
      </w:r>
    </w:p>
    <w:p>
      <w:pPr>
        <w:pStyle w:val="Indenta"/>
      </w:pPr>
      <w:r>
        <w:tab/>
        <w:t>(c)</w:t>
      </w:r>
      <w:r>
        <w:tab/>
        <w:t>a description of matters relating to the reportable conduct scheme, including trends, notifications and investigations.</w:t>
      </w:r>
    </w:p>
    <w:p>
      <w:pPr>
        <w:pStyle w:val="Subsection"/>
      </w:pPr>
      <w:r>
        <w:tab/>
        <w:t>(2)</w:t>
      </w:r>
      <w:r>
        <w:tab/>
        <w:t>A report under subsection (1) must not include information that could lead to the identification of a child or a person investigated under the reportable conduct scheme.</w:t>
      </w:r>
    </w:p>
    <w:p>
      <w:pPr>
        <w:pStyle w:val="Subsection"/>
      </w:pPr>
      <w:r>
        <w:tab/>
        <w:t>(3)</w:t>
      </w:r>
      <w:r>
        <w:tab/>
        <w:t>This section does not limit the power of the Commissioner under section 27(1) to also, at any time, lay before each House of Parliament a report in relation to the reportable conduct scheme.</w:t>
      </w:r>
    </w:p>
    <w:p>
      <w:pPr>
        <w:pStyle w:val="Footnotesection"/>
      </w:pPr>
      <w:r>
        <w:tab/>
        <w:t>[Section 28 inserted: No. 25 of 2022 s. 18.]</w:t>
      </w:r>
    </w:p>
    <w:p>
      <w:pPr>
        <w:pStyle w:val="Heading2"/>
      </w:pPr>
      <w:bookmarkStart w:id="186" w:name="_Toc153965082"/>
      <w:bookmarkStart w:id="187" w:name="_Toc153968740"/>
      <w:bookmarkStart w:id="188" w:name="_Toc153978137"/>
      <w:bookmarkStart w:id="189" w:name="_Toc174718122"/>
      <w:bookmarkStart w:id="190" w:name="_Toc174718767"/>
      <w:bookmarkStart w:id="191" w:name="_Toc174718873"/>
      <w:bookmarkStart w:id="192" w:name="_Toc174950870"/>
      <w:r>
        <w:rPr>
          <w:rStyle w:val="CharPartNo"/>
        </w:rPr>
        <w:lastRenderedPageBreak/>
        <w:t>Part IV</w:t>
      </w:r>
      <w:r>
        <w:rPr>
          <w:rStyle w:val="CharDivNo"/>
        </w:rPr>
        <w:t> </w:t>
      </w:r>
      <w:r>
        <w:t>—</w:t>
      </w:r>
      <w:r>
        <w:rPr>
          <w:rStyle w:val="CharDivText"/>
        </w:rPr>
        <w:t> </w:t>
      </w:r>
      <w:r>
        <w:rPr>
          <w:rStyle w:val="CharPartText"/>
        </w:rPr>
        <w:t>Miscellaneous</w:t>
      </w:r>
      <w:bookmarkEnd w:id="186"/>
      <w:bookmarkEnd w:id="187"/>
      <w:bookmarkEnd w:id="188"/>
      <w:bookmarkEnd w:id="189"/>
      <w:bookmarkEnd w:id="190"/>
      <w:bookmarkEnd w:id="191"/>
      <w:bookmarkEnd w:id="192"/>
    </w:p>
    <w:p>
      <w:pPr>
        <w:pStyle w:val="Heading5"/>
        <w:rPr>
          <w:snapToGrid w:val="0"/>
        </w:rPr>
      </w:pPr>
      <w:bookmarkStart w:id="193" w:name="_Toc174950871"/>
      <w:r>
        <w:rPr>
          <w:rStyle w:val="CharSectno"/>
        </w:rPr>
        <w:t>29</w:t>
      </w:r>
      <w:r>
        <w:rPr>
          <w:snapToGrid w:val="0"/>
        </w:rPr>
        <w:t>.</w:t>
      </w:r>
      <w:r>
        <w:rPr>
          <w:snapToGrid w:val="0"/>
        </w:rPr>
        <w:tab/>
        <w:t>Supreme Court may determine jurisdictional questions</w:t>
      </w:r>
      <w:bookmarkEnd w:id="193"/>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Subsection"/>
        <w:rPr>
          <w:snapToGrid w:val="0"/>
        </w:rPr>
      </w:pPr>
      <w:r>
        <w:rPr>
          <w:snapToGrid w:val="0"/>
        </w:rPr>
        <w:tab/>
        <w:t>(3)</w:t>
      </w:r>
      <w:r>
        <w:rPr>
          <w:snapToGrid w:val="0"/>
        </w:rPr>
        <w:tab/>
        <w:t>References in this section, in relation to an investigation for the purposes of the reportable conduct scheme, to the party subject to the investigation include references to the relevant entity or the head of the relevant entity.</w:t>
      </w:r>
    </w:p>
    <w:p>
      <w:pPr>
        <w:pStyle w:val="Footnotesection"/>
      </w:pPr>
      <w:r>
        <w:tab/>
      </w:r>
      <w:r>
        <w:rPr>
          <w:snapToGrid/>
        </w:rPr>
        <w:t>[Section 29 amended: No. 25 of 2022 s. 19.]</w:t>
      </w:r>
    </w:p>
    <w:p>
      <w:pPr>
        <w:pStyle w:val="Heading5"/>
        <w:rPr>
          <w:snapToGrid w:val="0"/>
        </w:rPr>
      </w:pPr>
      <w:bookmarkStart w:id="194" w:name="_Toc174950872"/>
      <w:r>
        <w:rPr>
          <w:rStyle w:val="CharSectno"/>
        </w:rPr>
        <w:t>29A</w:t>
      </w:r>
      <w:r>
        <w:t>.</w:t>
      </w:r>
      <w:r>
        <w:rPr>
          <w:snapToGrid w:val="0"/>
        </w:rPr>
        <w:tab/>
        <w:t>Delegation by Commissioner of Police</w:t>
      </w:r>
      <w:bookmarkEnd w:id="194"/>
    </w:p>
    <w:p>
      <w:pPr>
        <w:pStyle w:val="Subsection"/>
        <w:rPr>
          <w:snapToGrid w:val="0"/>
        </w:rPr>
      </w:pPr>
      <w:r>
        <w:rPr>
          <w:snapToGrid w:val="0"/>
        </w:rPr>
        <w:tab/>
        <w:t>(1)</w:t>
      </w:r>
      <w:r>
        <w:rPr>
          <w:snapToGrid w:val="0"/>
        </w:rPr>
        <w:tab/>
        <w:t xml:space="preserve">The Commissioner of Police may delegate any power or duty of the Commissioner of Police under section 19ZG, 22AA or 22C(2)(b) to the following persons — </w:t>
      </w:r>
    </w:p>
    <w:p>
      <w:pPr>
        <w:pStyle w:val="Indenta"/>
        <w:rPr>
          <w:snapToGrid w:val="0"/>
        </w:rPr>
      </w:pPr>
      <w:r>
        <w:rPr>
          <w:snapToGrid w:val="0"/>
        </w:rPr>
        <w:tab/>
        <w:t>(a)</w:t>
      </w:r>
      <w:r>
        <w:rPr>
          <w:snapToGrid w:val="0"/>
        </w:rPr>
        <w:tab/>
        <w:t xml:space="preserve">a specified police officer; </w:t>
      </w:r>
    </w:p>
    <w:p>
      <w:pPr>
        <w:pStyle w:val="Indenta"/>
        <w:rPr>
          <w:snapToGrid w:val="0"/>
        </w:rPr>
      </w:pPr>
      <w:r>
        <w:rPr>
          <w:snapToGrid w:val="0"/>
        </w:rPr>
        <w:tab/>
        <w:t>(b)</w:t>
      </w:r>
      <w:r>
        <w:rPr>
          <w:snapToGrid w:val="0"/>
        </w:rPr>
        <w:tab/>
        <w:t xml:space="preserve">police officers of a specified rank or class; </w:t>
      </w:r>
    </w:p>
    <w:p>
      <w:pPr>
        <w:pStyle w:val="Indenta"/>
        <w:rPr>
          <w:snapToGrid w:val="0"/>
        </w:rPr>
      </w:pPr>
      <w:r>
        <w:rPr>
          <w:snapToGrid w:val="0"/>
        </w:rPr>
        <w:tab/>
        <w:t>(c)</w:t>
      </w:r>
      <w:r>
        <w:rPr>
          <w:snapToGrid w:val="0"/>
        </w:rPr>
        <w:tab/>
      </w:r>
      <w:r>
        <w:t>an</w:t>
      </w:r>
      <w:r>
        <w:rPr>
          <w:snapToGrid w:val="0"/>
        </w:rPr>
        <w:t xml:space="preserve">other person appointed or employed under the </w:t>
      </w:r>
      <w:r>
        <w:rPr>
          <w:i/>
          <w:iCs/>
          <w:snapToGrid w:val="0"/>
        </w:rPr>
        <w:t>Police Act 1892</w:t>
      </w:r>
      <w:r>
        <w:rPr>
          <w:snapToGrid w:val="0"/>
        </w:rPr>
        <w:t>.</w:t>
      </w:r>
    </w:p>
    <w:p>
      <w:pPr>
        <w:pStyle w:val="Subsection"/>
        <w:rPr>
          <w:snapToGrid w:val="0"/>
        </w:rPr>
      </w:pPr>
      <w:r>
        <w:rPr>
          <w:snapToGrid w:val="0"/>
        </w:rPr>
        <w:tab/>
        <w:t>(2)</w:t>
      </w:r>
      <w:r>
        <w:rPr>
          <w:snapToGrid w:val="0"/>
        </w:rPr>
        <w:tab/>
      </w:r>
      <w:r>
        <w:t>The delegation must be in writing</w:t>
      </w:r>
      <w:r>
        <w:rPr>
          <w:snapToGrid w:val="0"/>
        </w:rPr>
        <w:t xml:space="preserve"> signed by the Commissioner of Police.</w:t>
      </w:r>
    </w:p>
    <w:p>
      <w:pPr>
        <w:pStyle w:val="Subsection"/>
        <w:rPr>
          <w:snapToGrid w:val="0"/>
        </w:rPr>
      </w:pPr>
      <w:r>
        <w:rPr>
          <w:snapToGrid w:val="0"/>
        </w:rPr>
        <w:tab/>
        <w:t>(3)</w:t>
      </w:r>
      <w:r>
        <w:rPr>
          <w:snapToGrid w:val="0"/>
        </w:rPr>
        <w:tab/>
        <w:t>A person to whom a power or duty is delegated under this section cannot delegate that power or duty.</w:t>
      </w:r>
    </w:p>
    <w:p>
      <w:pPr>
        <w:pStyle w:val="Subsection"/>
        <w:rPr>
          <w:snapToGrid w:val="0"/>
        </w:rPr>
      </w:pPr>
      <w:r>
        <w:rPr>
          <w:snapToGrid w:val="0"/>
        </w:rPr>
        <w:lastRenderedPageBreak/>
        <w:tab/>
        <w:t>(4)</w:t>
      </w:r>
      <w:r>
        <w:rPr>
          <w:snapToGrid w:val="0"/>
        </w:rPr>
        <w:tab/>
      </w:r>
      <w:r>
        <w:rPr>
          <w:szCs w:val="24"/>
        </w:rPr>
        <w:t>A person exercising or performing a power or duty that has been delegated to the person under this section is taken to do so in accordance with the terms of the delegation unless the contrary is shown</w:t>
      </w:r>
      <w:r>
        <w:rPr>
          <w:snapToGrid w:val="0"/>
        </w:rPr>
        <w:t>.</w:t>
      </w:r>
    </w:p>
    <w:p>
      <w:pPr>
        <w:pStyle w:val="Subsection"/>
        <w:rPr>
          <w:snapToGrid w:val="0"/>
        </w:rPr>
      </w:pPr>
      <w:r>
        <w:rPr>
          <w:snapToGrid w:val="0"/>
        </w:rPr>
        <w:tab/>
        <w:t>(5)</w:t>
      </w:r>
      <w:r>
        <w:rPr>
          <w:snapToGrid w:val="0"/>
        </w:rPr>
        <w:tab/>
      </w:r>
      <w:r>
        <w:t>Nothing in this section limits the ability of the Commissioner of Police to perform a function through an officer or agent</w:t>
      </w:r>
      <w:r>
        <w:rPr>
          <w:snapToGrid w:val="0"/>
        </w:rPr>
        <w:t>.</w:t>
      </w:r>
    </w:p>
    <w:p>
      <w:pPr>
        <w:pStyle w:val="Footnotesection"/>
      </w:pPr>
      <w:r>
        <w:tab/>
      </w:r>
      <w:r>
        <w:rPr>
          <w:snapToGrid/>
        </w:rPr>
        <w:t>[Section 29</w:t>
      </w:r>
      <w:r>
        <w:t>A</w:t>
      </w:r>
      <w:r>
        <w:rPr>
          <w:snapToGrid/>
        </w:rPr>
        <w:t xml:space="preserve"> inserted: No. 25 of 2022 s. </w:t>
      </w:r>
      <w:r>
        <w:t>20</w:t>
      </w:r>
      <w:r>
        <w:rPr>
          <w:snapToGrid/>
        </w:rPr>
        <w:t>.]</w:t>
      </w:r>
    </w:p>
    <w:p>
      <w:pPr>
        <w:pStyle w:val="Heading5"/>
        <w:rPr>
          <w:snapToGrid w:val="0"/>
        </w:rPr>
      </w:pPr>
      <w:bookmarkStart w:id="195" w:name="_Toc174950873"/>
      <w:r>
        <w:rPr>
          <w:rStyle w:val="CharSectno"/>
        </w:rPr>
        <w:t>30</w:t>
      </w:r>
      <w:r>
        <w:rPr>
          <w:snapToGrid w:val="0"/>
        </w:rPr>
        <w:t>.</w:t>
      </w:r>
      <w:r>
        <w:rPr>
          <w:snapToGrid w:val="0"/>
        </w:rPr>
        <w:tab/>
        <w:t>Protection of Commissioner and officers</w:t>
      </w:r>
      <w:bookmarkEnd w:id="195"/>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w:t>
      </w:r>
      <w:r>
        <w:rPr>
          <w:snapToGrid w:val="0"/>
        </w:rPr>
        <w:lastRenderedPageBreak/>
        <w:t>coming to his knowledge in the exercise of his functions under this Act.</w:t>
      </w:r>
    </w:p>
    <w:p>
      <w:pPr>
        <w:pStyle w:val="Footnotesection"/>
        <w:spacing w:before="100"/>
        <w:ind w:left="890" w:hanging="890"/>
      </w:pPr>
      <w:r>
        <w:tab/>
        <w:t>[Section 30 amended: No. 124 of 1984 s. 10; No. 74 of 2003 s. 91(17)</w:t>
      </w:r>
      <w:r>
        <w:noBreakHyphen/>
        <w:t>(19).]</w:t>
      </w:r>
    </w:p>
    <w:p>
      <w:pPr>
        <w:pStyle w:val="Heading5"/>
        <w:spacing w:before="180"/>
        <w:rPr>
          <w:snapToGrid w:val="0"/>
        </w:rPr>
      </w:pPr>
      <w:bookmarkStart w:id="196" w:name="_Toc174950874"/>
      <w:r>
        <w:rPr>
          <w:rStyle w:val="CharSectno"/>
        </w:rPr>
        <w:t>30A</w:t>
      </w:r>
      <w:r>
        <w:rPr>
          <w:snapToGrid w:val="0"/>
        </w:rPr>
        <w:t>.</w:t>
      </w:r>
      <w:r>
        <w:rPr>
          <w:snapToGrid w:val="0"/>
        </w:rPr>
        <w:tab/>
        <w:t>Protection of complainants etc.</w:t>
      </w:r>
      <w:bookmarkEnd w:id="196"/>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No. 78 of 1996 s. 17; amended: No. 10 of 2009 s. 9.]</w:t>
      </w:r>
    </w:p>
    <w:p>
      <w:pPr>
        <w:pStyle w:val="Heading5"/>
        <w:rPr>
          <w:snapToGrid w:val="0"/>
        </w:rPr>
      </w:pPr>
      <w:bookmarkStart w:id="197" w:name="_Toc174950875"/>
      <w:r>
        <w:rPr>
          <w:rStyle w:val="CharSectno"/>
        </w:rPr>
        <w:t>30AA</w:t>
      </w:r>
      <w:r>
        <w:rPr>
          <w:snapToGrid w:val="0"/>
        </w:rPr>
        <w:t>.</w:t>
      </w:r>
      <w:r>
        <w:rPr>
          <w:snapToGrid w:val="0"/>
        </w:rPr>
        <w:tab/>
        <w:t>Protection from liability for giving information</w:t>
      </w:r>
      <w:r>
        <w:t xml:space="preserve">: </w:t>
      </w:r>
      <w:r>
        <w:rPr>
          <w:snapToGrid w:val="0"/>
        </w:rPr>
        <w:t>reportable conduct scheme</w:t>
      </w:r>
      <w:bookmarkEnd w:id="197"/>
    </w:p>
    <w:p>
      <w:pPr>
        <w:pStyle w:val="Subsection"/>
      </w:pPr>
      <w:r>
        <w:tab/>
        <w:t>(1)</w:t>
      </w:r>
      <w:r>
        <w:tab/>
        <w:t>This section applies if a person acting in good faith —</w:t>
      </w:r>
    </w:p>
    <w:p>
      <w:pPr>
        <w:pStyle w:val="Indenta"/>
      </w:pPr>
      <w:r>
        <w:tab/>
        <w:t>(a)</w:t>
      </w:r>
      <w:r>
        <w:tab/>
        <w:t>gives a report, notification or information to the Commissioner under Part III Division 3B or in the course of, or for the purposes of, an investigation into a reportable allegation or reportable conviction under this Act; or</w:t>
      </w:r>
    </w:p>
    <w:p>
      <w:pPr>
        <w:pStyle w:val="Indenta"/>
      </w:pPr>
      <w:r>
        <w:tab/>
        <w:t>(b)</w:t>
      </w:r>
      <w:r>
        <w:tab/>
        <w:t>gives a report, notification or information to the head of a relevant entity under Part III Division 3B; or</w:t>
      </w:r>
    </w:p>
    <w:p>
      <w:pPr>
        <w:pStyle w:val="Indenta"/>
      </w:pPr>
      <w:r>
        <w:lastRenderedPageBreak/>
        <w:tab/>
        <w:t>(c)</w:t>
      </w:r>
      <w:r>
        <w:tab/>
        <w:t>gives information to an investigator conducting an investigation under Part III Division 3B.</w:t>
      </w:r>
    </w:p>
    <w:p>
      <w:pPr>
        <w:pStyle w:val="Subsection"/>
      </w:pPr>
      <w:r>
        <w:tab/>
        <w:t>(2)</w:t>
      </w:r>
      <w:r>
        <w:tab/>
        <w:t>The report, notification or information may be given despite any other enactment, law or agreement that prohibits or restricts its disclosure.</w:t>
      </w:r>
    </w:p>
    <w:p>
      <w:pPr>
        <w:pStyle w:val="Subsection"/>
      </w:pPr>
      <w:r>
        <w:tab/>
        <w:t>(3)</w:t>
      </w:r>
      <w:r>
        <w:tab/>
        <w:t>In giving the information or making the report or notification the person —</w:t>
      </w:r>
    </w:p>
    <w:p>
      <w:pPr>
        <w:pStyle w:val="Indenta"/>
      </w:pPr>
      <w:r>
        <w:tab/>
        <w:t>(a)</w:t>
      </w:r>
      <w:r>
        <w:tab/>
        <w:t>does not incur any civil or criminal liability or liability to be punished for a contempt of court; and</w:t>
      </w:r>
    </w:p>
    <w:p>
      <w:pPr>
        <w:pStyle w:val="Indenta"/>
      </w:pPr>
      <w:r>
        <w:tab/>
        <w:t>(b)</w:t>
      </w:r>
      <w:r>
        <w:tab/>
        <w:t>is not to be taken to have breached any duty of confidentiality or secrecy imposed by law; and</w:t>
      </w:r>
    </w:p>
    <w:p>
      <w:pPr>
        <w:pStyle w:val="Indenta"/>
      </w:pPr>
      <w:r>
        <w:tab/>
        <w:t>(c)</w:t>
      </w:r>
      <w:r>
        <w:tab/>
        <w:t>is not to be taken to have breached any professional ethics or standards or any principles of conduct applicable to the person’s employment or to have engaged in unprofessional conduct.</w:t>
      </w:r>
    </w:p>
    <w:p>
      <w:pPr>
        <w:pStyle w:val="Subsection"/>
        <w:rPr>
          <w:snapToGrid w:val="0"/>
        </w:rPr>
      </w:pPr>
      <w:r>
        <w:rPr>
          <w:snapToGrid w:val="0"/>
        </w:rPr>
        <w:tab/>
        <w:t>(4)</w:t>
      </w:r>
      <w:r>
        <w:rPr>
          <w:snapToGrid w:val="0"/>
        </w:rPr>
        <w:tab/>
        <w:t>Civil proceedings cannot be brought against a person in respect of an act referred to in subsection (1)(a), (b) or (c) without the leave of the Supreme Court, and the Supreme Court must not give leave unless it is satisfied that there is substantial ground for the contention that the person to be proceeded against has acted in bad faith.</w:t>
      </w:r>
    </w:p>
    <w:p>
      <w:pPr>
        <w:pStyle w:val="Footnotesection"/>
      </w:pPr>
      <w:r>
        <w:tab/>
      </w:r>
      <w:r>
        <w:rPr>
          <w:snapToGrid/>
        </w:rPr>
        <w:t>[Section 30A</w:t>
      </w:r>
      <w:r>
        <w:t>A</w:t>
      </w:r>
      <w:r>
        <w:rPr>
          <w:snapToGrid/>
        </w:rPr>
        <w:t xml:space="preserve"> inserted: No. </w:t>
      </w:r>
      <w:r>
        <w:t>25 of</w:t>
      </w:r>
      <w:r>
        <w:rPr>
          <w:snapToGrid/>
        </w:rPr>
        <w:t xml:space="preserve"> 20</w:t>
      </w:r>
      <w:r>
        <w:t xml:space="preserve">22 </w:t>
      </w:r>
      <w:r>
        <w:rPr>
          <w:snapToGrid/>
        </w:rPr>
        <w:t>s. </w:t>
      </w:r>
      <w:r>
        <w:t>21</w:t>
      </w:r>
      <w:r>
        <w:rPr>
          <w:snapToGrid/>
        </w:rPr>
        <w:t>.]</w:t>
      </w:r>
    </w:p>
    <w:p>
      <w:pPr>
        <w:pStyle w:val="Heading5"/>
        <w:spacing w:before="180"/>
        <w:rPr>
          <w:snapToGrid w:val="0"/>
        </w:rPr>
      </w:pPr>
      <w:bookmarkStart w:id="198" w:name="_Toc174950876"/>
      <w:r>
        <w:rPr>
          <w:rStyle w:val="CharSectno"/>
        </w:rPr>
        <w:t>30B</w:t>
      </w:r>
      <w:r>
        <w:rPr>
          <w:snapToGrid w:val="0"/>
        </w:rPr>
        <w:t>.</w:t>
      </w:r>
      <w:r>
        <w:rPr>
          <w:snapToGrid w:val="0"/>
        </w:rPr>
        <w:tab/>
        <w:t>Victimisation</w:t>
      </w:r>
      <w:bookmarkEnd w:id="198"/>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lastRenderedPageBreak/>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pPr>
      <w:r>
        <w:rPr>
          <w:snapToGrid w:val="0"/>
        </w:rPr>
        <w:tab/>
        <w:t>(</w:t>
      </w:r>
      <w:r>
        <w:t>ea)</w:t>
      </w:r>
      <w:r>
        <w:tab/>
        <w:t>has made or will or may in the future make a report to the head of a relevant entity or the Commissioner under section 19T or give a notification to the Commissioner under Part III Division 3B; or</w:t>
      </w:r>
    </w:p>
    <w:p>
      <w:pPr>
        <w:pStyle w:val="Indenta"/>
      </w:pPr>
      <w:r>
        <w:tab/>
        <w:t>(eb)</w:t>
      </w:r>
      <w:r>
        <w:tab/>
        <w:t>has provided, is providing or will or may in the future provide information in the course of, or for the purpose of, an investigation of a reportable allegation or reportable conviction to the Commissioner or the head of a relevant entity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No. 78 of 1996 s. 17; amended: No. 25 of 2022 s. 22.]</w:t>
      </w:r>
    </w:p>
    <w:p>
      <w:pPr>
        <w:pStyle w:val="Heading5"/>
        <w:spacing w:before="180"/>
        <w:rPr>
          <w:snapToGrid w:val="0"/>
        </w:rPr>
      </w:pPr>
      <w:bookmarkStart w:id="199" w:name="_Toc174950877"/>
      <w:r>
        <w:rPr>
          <w:rStyle w:val="CharSectno"/>
        </w:rPr>
        <w:lastRenderedPageBreak/>
        <w:t>31</w:t>
      </w:r>
      <w:r>
        <w:rPr>
          <w:snapToGrid w:val="0"/>
        </w:rPr>
        <w:t>.</w:t>
      </w:r>
      <w:r>
        <w:rPr>
          <w:snapToGrid w:val="0"/>
        </w:rPr>
        <w:tab/>
        <w:t>General penalty</w:t>
      </w:r>
      <w:bookmarkEnd w:id="199"/>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No. 78 of 1996 s. 18.]</w:t>
      </w:r>
    </w:p>
    <w:p>
      <w:pPr>
        <w:pStyle w:val="Heading5"/>
        <w:spacing w:before="180"/>
        <w:rPr>
          <w:snapToGrid w:val="0"/>
        </w:rPr>
      </w:pPr>
      <w:bookmarkStart w:id="200" w:name="_Toc174950878"/>
      <w:r>
        <w:rPr>
          <w:rStyle w:val="CharSectno"/>
        </w:rPr>
        <w:t>32</w:t>
      </w:r>
      <w:r>
        <w:rPr>
          <w:snapToGrid w:val="0"/>
        </w:rPr>
        <w:t>.</w:t>
      </w:r>
      <w:r>
        <w:rPr>
          <w:snapToGrid w:val="0"/>
        </w:rPr>
        <w:tab/>
        <w:t>Expenses of Act</w:t>
      </w:r>
      <w:bookmarkEnd w:id="200"/>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pPr>
      <w:bookmarkStart w:id="201" w:name="_Toc174950879"/>
      <w:r>
        <w:rPr>
          <w:rStyle w:val="CharSectno"/>
        </w:rPr>
        <w:t>33</w:t>
      </w:r>
      <w:r>
        <w:t>.</w:t>
      </w:r>
      <w:r>
        <w:tab/>
        <w:t>Regulations</w:t>
      </w:r>
      <w:bookmarkEnd w:id="201"/>
    </w:p>
    <w:p>
      <w:pPr>
        <w:pStyle w:val="Subsection"/>
      </w:pPr>
      <w:r>
        <w:tab/>
      </w:r>
      <w:r>
        <w:tab/>
        <w:t xml:space="preserve">The Governor may make regulations — </w:t>
      </w:r>
    </w:p>
    <w:p>
      <w:pPr>
        <w:pStyle w:val="Indenta"/>
      </w:pPr>
      <w:r>
        <w:tab/>
        <w:t>(a)</w:t>
      </w:r>
      <w:r>
        <w:tab/>
        <w:t>amending Schedule 1 or 2; or</w:t>
      </w:r>
    </w:p>
    <w:p>
      <w:pPr>
        <w:pStyle w:val="Indenta"/>
      </w:pPr>
      <w:r>
        <w:tab/>
        <w:t>(b)</w:t>
      </w:r>
      <w:r>
        <w:tab/>
        <w:t>prescribing all matters that are required or permitted by this Act to be prescribed, or are necessary or convenient to be prescribed, for giving effect to the reportable conduct scheme.</w:t>
      </w:r>
    </w:p>
    <w:p>
      <w:pPr>
        <w:pStyle w:val="Footnotesection"/>
      </w:pPr>
      <w:r>
        <w:tab/>
        <w:t>[Section 33 inserted: No. 25 of 2022 s. 23.]</w:t>
      </w:r>
    </w:p>
    <w:p>
      <w:pPr>
        <w:pStyle w:val="Subsection"/>
        <w:spacing w:before="140"/>
        <w:rPr>
          <w:snapToGrid w:val="0"/>
        </w:rPr>
      </w:pPr>
    </w:p>
    <w:p>
      <w:pPr>
        <w:pStyle w:val="Heading5"/>
      </w:pPr>
      <w:bookmarkStart w:id="202" w:name="_Toc174950880"/>
      <w:r>
        <w:rPr>
          <w:rStyle w:val="CharSectno"/>
        </w:rPr>
        <w:t>34</w:t>
      </w:r>
      <w:r>
        <w:t>.</w:t>
      </w:r>
      <w:r>
        <w:tab/>
        <w:t>Energy and water ombudsman schemes</w:t>
      </w:r>
      <w:bookmarkEnd w:id="202"/>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lastRenderedPageBreak/>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No. 53 of 2003 s. 34; amended: No. 33 of 2004 s. 48; No. 25 of 2012 s. 221.]</w:t>
      </w:r>
    </w:p>
    <w:p>
      <w:pPr>
        <w:rPr>
          <w:rStyle w:val="CharDivText"/>
        </w:rPr>
        <w:sectPr>
          <w:headerReference w:type="even" r:id="rId21"/>
          <w:headerReference w:type="default" r:id="rId22"/>
          <w:headerReference w:type="first" r:id="rId23"/>
          <w:pgSz w:w="11907" w:h="16840" w:code="9"/>
          <w:pgMar w:top="2381" w:right="2409" w:bottom="3543" w:left="2409" w:header="720" w:footer="3544" w:gutter="0"/>
          <w:pgNumType w:start="1"/>
          <w:cols w:space="720"/>
          <w:noEndnote/>
          <w:titlePg/>
          <w:docGrid w:linePitch="326"/>
        </w:sectPr>
      </w:pPr>
    </w:p>
    <w:p>
      <w:pPr>
        <w:pStyle w:val="yScheduleHeading"/>
      </w:pPr>
      <w:bookmarkStart w:id="203" w:name="_Toc153965093"/>
      <w:bookmarkStart w:id="204" w:name="_Toc153968751"/>
      <w:bookmarkStart w:id="205" w:name="_Toc153978148"/>
      <w:bookmarkStart w:id="206" w:name="_Toc174718133"/>
      <w:bookmarkStart w:id="207" w:name="_Toc174718778"/>
      <w:bookmarkStart w:id="208" w:name="_Toc174718884"/>
      <w:bookmarkStart w:id="209" w:name="_Toc174950881"/>
      <w:r>
        <w:rPr>
          <w:rStyle w:val="CharSchNo"/>
        </w:rPr>
        <w:lastRenderedPageBreak/>
        <w:t>Schedule 1</w:t>
      </w:r>
      <w:r>
        <w:t> — </w:t>
      </w:r>
      <w:r>
        <w:rPr>
          <w:rStyle w:val="CharSchText"/>
        </w:rPr>
        <w:t>Departments and authorities, and extent, to which this Act does not apply</w:t>
      </w:r>
      <w:bookmarkEnd w:id="203"/>
      <w:bookmarkEnd w:id="204"/>
      <w:bookmarkEnd w:id="205"/>
      <w:bookmarkEnd w:id="206"/>
      <w:bookmarkEnd w:id="207"/>
      <w:bookmarkEnd w:id="208"/>
      <w:bookmarkEnd w:id="209"/>
    </w:p>
    <w:p>
      <w:pPr>
        <w:pStyle w:val="yShoulderClause"/>
      </w:pPr>
      <w:r>
        <w:t>[s. 13(2)(n)]</w:t>
      </w:r>
    </w:p>
    <w:p>
      <w:pPr>
        <w:pStyle w:val="yFootnoteheading"/>
        <w:spacing w:after="120"/>
      </w:pPr>
      <w:r>
        <w:tab/>
        <w:t>[Heading inserted: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lastRenderedPageBreak/>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Racing and Wagering Western Australia Act 2003</w:t>
            </w:r>
          </w:p>
        </w:tc>
        <w:tc>
          <w:tcPr>
            <w:tcW w:w="4808" w:type="dxa"/>
          </w:tcPr>
          <w:p>
            <w:pPr>
              <w:pStyle w:val="yTableNAm"/>
              <w:spacing w:before="60"/>
            </w:pPr>
            <w:r>
              <w:t>Racing and Wagering Western Australia.</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Borders>
              <w:bottom w:val="single" w:sz="4" w:space="0" w:color="auto"/>
            </w:tcBorders>
          </w:tcPr>
          <w:p>
            <w:pPr>
              <w:pStyle w:val="yTableNAm"/>
              <w:spacing w:before="60"/>
            </w:pPr>
            <w:r>
              <w:rPr>
                <w:i/>
              </w:rPr>
              <w:t>Solicitor</w:t>
            </w:r>
            <w:r>
              <w:rPr>
                <w:i/>
              </w:rPr>
              <w:noBreakHyphen/>
              <w:t>General Act 1969</w:t>
            </w:r>
          </w:p>
        </w:tc>
        <w:tc>
          <w:tcPr>
            <w:tcW w:w="4808" w:type="dxa"/>
            <w:tcBorders>
              <w:bottom w:val="single" w:sz="4" w:space="0" w:color="auto"/>
            </w:tcBorders>
          </w:tcPr>
          <w:p>
            <w:pPr>
              <w:pStyle w:val="yTableNAm"/>
              <w:spacing w:before="60"/>
            </w:pPr>
            <w:r>
              <w:t>Solicitor</w:t>
            </w:r>
            <w:r>
              <w:noBreakHyphen/>
              <w:t>General.</w:t>
            </w:r>
          </w:p>
        </w:tc>
      </w:tr>
    </w:tbl>
    <w:p>
      <w:pPr>
        <w:pStyle w:val="yFootnotesection"/>
      </w:pPr>
      <w:r>
        <w:tab/>
        <w:t>[Schedule 1 inserted: No. 10 of 2009 s. 10; amended: No. 16 of 2009 s. 71; No. 39 of 2010 s. 80; No. 35 of 2014 s. 36(5); No. 25 of 2022 s. 24.]</w:t>
      </w:r>
    </w:p>
    <w:p>
      <w:pPr>
        <w:pStyle w:val="yScheduleHeading"/>
      </w:pPr>
      <w:bookmarkStart w:id="210" w:name="_Toc153965094"/>
      <w:bookmarkStart w:id="211" w:name="_Toc153968752"/>
      <w:bookmarkStart w:id="212" w:name="_Toc153978149"/>
      <w:bookmarkStart w:id="213" w:name="_Toc174718134"/>
      <w:bookmarkStart w:id="214" w:name="_Toc174718779"/>
      <w:bookmarkStart w:id="215" w:name="_Toc174718885"/>
      <w:bookmarkStart w:id="216" w:name="_Toc174950882"/>
      <w:r>
        <w:rPr>
          <w:rStyle w:val="CharSchNo"/>
        </w:rPr>
        <w:lastRenderedPageBreak/>
        <w:t>Schedule 2</w:t>
      </w:r>
      <w:r>
        <w:t> — </w:t>
      </w:r>
      <w:r>
        <w:rPr>
          <w:rStyle w:val="CharSchText"/>
        </w:rPr>
        <w:t>Relevant entities to which this Act applies</w:t>
      </w:r>
      <w:bookmarkEnd w:id="210"/>
      <w:bookmarkEnd w:id="211"/>
      <w:bookmarkEnd w:id="212"/>
      <w:bookmarkEnd w:id="213"/>
      <w:bookmarkEnd w:id="214"/>
      <w:bookmarkEnd w:id="215"/>
      <w:bookmarkEnd w:id="216"/>
    </w:p>
    <w:p>
      <w:pPr>
        <w:pStyle w:val="yShoulderClause"/>
      </w:pPr>
      <w:r>
        <w:t>[s. 19I]</w:t>
      </w:r>
    </w:p>
    <w:p>
      <w:pPr>
        <w:pStyle w:val="yFootnoteheading"/>
        <w:spacing w:after="60"/>
      </w:pPr>
      <w:r>
        <w:tab/>
        <w:t>[Heading inserted: No. 25 of 2022 s. 25.]</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tblHeader/>
        </w:trPr>
        <w:tc>
          <w:tcPr>
            <w:tcW w:w="2280" w:type="dxa"/>
            <w:tcBorders>
              <w:top w:val="single" w:sz="4" w:space="0" w:color="auto"/>
              <w:bottom w:val="single" w:sz="4" w:space="0" w:color="auto"/>
            </w:tcBorders>
            <w:noWrap/>
          </w:tcPr>
          <w:p>
            <w:pPr>
              <w:pStyle w:val="yTableNAm"/>
              <w:rPr>
                <w:b/>
              </w:rPr>
            </w:pPr>
            <w:r>
              <w:rPr>
                <w:b/>
              </w:rPr>
              <w:t>Column 1</w:t>
            </w:r>
          </w:p>
        </w:tc>
        <w:tc>
          <w:tcPr>
            <w:tcW w:w="4808" w:type="dxa"/>
            <w:tcBorders>
              <w:top w:val="single" w:sz="4" w:space="0" w:color="auto"/>
              <w:bottom w:val="single" w:sz="4" w:space="0" w:color="auto"/>
            </w:tcBorders>
            <w:noWrap/>
          </w:tcPr>
          <w:p>
            <w:pPr>
              <w:pStyle w:val="yTableNAm"/>
              <w:rPr>
                <w:b/>
              </w:rPr>
            </w:pPr>
            <w:r>
              <w:rPr>
                <w:b/>
              </w:rPr>
              <w:t>Column 2</w:t>
            </w:r>
          </w:p>
        </w:tc>
      </w:tr>
      <w:tr>
        <w:tc>
          <w:tcPr>
            <w:tcW w:w="2280" w:type="dxa"/>
            <w:tcBorders>
              <w:top w:val="single" w:sz="4" w:space="0" w:color="auto"/>
            </w:tcBorders>
            <w:noWrap/>
          </w:tcPr>
          <w:p>
            <w:pPr>
              <w:pStyle w:val="yTableNAm"/>
            </w:pPr>
            <w:r>
              <w:t>Public bodies</w:t>
            </w:r>
          </w:p>
        </w:tc>
        <w:tc>
          <w:tcPr>
            <w:tcW w:w="4808" w:type="dxa"/>
            <w:tcBorders>
              <w:top w:val="single" w:sz="4" w:space="0" w:color="auto"/>
            </w:tcBorders>
            <w:noWrap/>
          </w:tcPr>
          <w:p>
            <w:pPr>
              <w:pStyle w:val="yTableNAm"/>
            </w:pPr>
            <w:r>
              <w:t>A department.</w:t>
            </w:r>
          </w:p>
          <w:p>
            <w:pPr>
              <w:pStyle w:val="yTableNAm"/>
            </w:pPr>
            <w:r>
              <w:t>An authority.</w:t>
            </w:r>
          </w:p>
        </w:tc>
      </w:tr>
      <w:tr>
        <w:tc>
          <w:tcPr>
            <w:tcW w:w="2280" w:type="dxa"/>
            <w:noWrap/>
          </w:tcPr>
          <w:p>
            <w:pPr>
              <w:pStyle w:val="yTableNAm"/>
            </w:pPr>
            <w:r>
              <w:t>Providers of education services</w:t>
            </w:r>
          </w:p>
        </w:tc>
        <w:tc>
          <w:tcPr>
            <w:tcW w:w="4808" w:type="dxa"/>
            <w:noWrap/>
          </w:tcPr>
          <w:p>
            <w:pPr>
              <w:pStyle w:val="yTableNAm"/>
              <w:rPr>
                <w:iCs/>
              </w:rPr>
            </w:pPr>
            <w:r>
              <w:t xml:space="preserve">A school as defined in the </w:t>
            </w:r>
            <w:r>
              <w:rPr>
                <w:i/>
                <w:iCs/>
              </w:rPr>
              <w:t>School Education Act 1999</w:t>
            </w:r>
            <w:r>
              <w:t xml:space="preserve"> section 4.</w:t>
            </w:r>
          </w:p>
          <w:p>
            <w:pPr>
              <w:pStyle w:val="yTableNAm"/>
            </w:pPr>
            <w:r>
              <w:t xml:space="preserve">A college or other vocational education and training institution as those terms are defined in the </w:t>
            </w:r>
            <w:r>
              <w:rPr>
                <w:i/>
                <w:iCs/>
              </w:rPr>
              <w:t>Vocational Education and Training Act 1996</w:t>
            </w:r>
            <w:r>
              <w:t xml:space="preserve"> section 5(1).</w:t>
            </w:r>
          </w:p>
          <w:p>
            <w:pPr>
              <w:pStyle w:val="yTableNAm"/>
            </w:pPr>
            <w:r>
              <w:t xml:space="preserve">A registered training provider as defined in the </w:t>
            </w:r>
            <w:r>
              <w:rPr>
                <w:i/>
                <w:iCs/>
              </w:rPr>
              <w:t>Vocational Education and Training Act 1996</w:t>
            </w:r>
            <w:r>
              <w:t xml:space="preserve"> section 5(1).</w:t>
            </w:r>
          </w:p>
          <w:p>
            <w:pPr>
              <w:pStyle w:val="yTableNAm"/>
            </w:pPr>
            <w:r>
              <w:t>A university established under a written law.</w:t>
            </w:r>
          </w:p>
          <w:p>
            <w:pPr>
              <w:pStyle w:val="yTableNAm"/>
            </w:pPr>
            <w:r>
              <w:t>An Australian university college, an authorised non</w:t>
            </w:r>
            <w:r>
              <w:noBreakHyphen/>
              <w:t xml:space="preserve">university institution or a recognised overseas university as those terms are defined in the </w:t>
            </w:r>
            <w:r>
              <w:rPr>
                <w:i/>
                <w:iCs/>
              </w:rPr>
              <w:t>Higher Education Act 2004</w:t>
            </w:r>
            <w:r>
              <w:t xml:space="preserve"> section 3.</w:t>
            </w:r>
          </w:p>
        </w:tc>
      </w:tr>
      <w:tr>
        <w:tc>
          <w:tcPr>
            <w:tcW w:w="2280" w:type="dxa"/>
            <w:noWrap/>
          </w:tcPr>
          <w:p>
            <w:pPr>
              <w:pStyle w:val="yTableNAm"/>
            </w:pPr>
            <w:r>
              <w:t>Providers of health services</w:t>
            </w:r>
          </w:p>
        </w:tc>
        <w:tc>
          <w:tcPr>
            <w:tcW w:w="4808" w:type="dxa"/>
            <w:noWrap/>
          </w:tcPr>
          <w:p>
            <w:pPr>
              <w:pStyle w:val="yTableNAm"/>
            </w:pPr>
            <w:r>
              <w:t xml:space="preserve">A health service provider as defined in the </w:t>
            </w:r>
            <w:r>
              <w:rPr>
                <w:i/>
                <w:iCs/>
              </w:rPr>
              <w:t xml:space="preserve">Health Services Act 2016 </w:t>
            </w:r>
            <w:r>
              <w:t>section 6.</w:t>
            </w:r>
          </w:p>
          <w:p>
            <w:pPr>
              <w:pStyle w:val="yTableNAm"/>
            </w:pPr>
            <w:r>
              <w:t xml:space="preserve">A private hospital service provider as defined in the </w:t>
            </w:r>
            <w:r>
              <w:rPr>
                <w:i/>
                <w:iCs/>
              </w:rPr>
              <w:t>Private Hospitals and Health Services Act 1927</w:t>
            </w:r>
            <w:r>
              <w:t xml:space="preserve"> section 2(1).</w:t>
            </w:r>
          </w:p>
          <w:p>
            <w:pPr>
              <w:pStyle w:val="yTableNAm"/>
            </w:pPr>
            <w:r>
              <w:t xml:space="preserve">A provider of a mental health service as defined in the </w:t>
            </w:r>
            <w:r>
              <w:rPr>
                <w:i/>
              </w:rPr>
              <w:t>Mental Health Act 2014</w:t>
            </w:r>
            <w:r>
              <w:t xml:space="preserve"> section 4 that has inpatient beds for children.</w:t>
            </w:r>
          </w:p>
          <w:p>
            <w:pPr>
              <w:pStyle w:val="yTableNAm"/>
            </w:pPr>
            <w:r>
              <w:t>A provider of a drug and alcohol treatment service that has inpatient beds for children.</w:t>
            </w:r>
          </w:p>
          <w:p>
            <w:pPr>
              <w:pStyle w:val="yTableNAm"/>
            </w:pPr>
            <w:r>
              <w:lastRenderedPageBreak/>
              <w:t>An ambulance service.</w:t>
            </w:r>
          </w:p>
        </w:tc>
      </w:tr>
      <w:tr>
        <w:tc>
          <w:tcPr>
            <w:tcW w:w="2280" w:type="dxa"/>
            <w:noWrap/>
          </w:tcPr>
          <w:p>
            <w:pPr>
              <w:pStyle w:val="yTableNAm"/>
            </w:pPr>
            <w:r>
              <w:lastRenderedPageBreak/>
              <w:t>Providers of out</w:t>
            </w:r>
            <w:r>
              <w:noBreakHyphen/>
              <w:t>of</w:t>
            </w:r>
            <w:r>
              <w:noBreakHyphen/>
              <w:t>home care services</w:t>
            </w:r>
          </w:p>
        </w:tc>
        <w:tc>
          <w:tcPr>
            <w:tcW w:w="4808" w:type="dxa"/>
            <w:noWrap/>
          </w:tcPr>
          <w:p>
            <w:pPr>
              <w:pStyle w:val="yTableNAm"/>
            </w:pPr>
            <w:r>
              <w:t xml:space="preserve">A person who has entered into an agreement under the </w:t>
            </w:r>
            <w:r>
              <w:rPr>
                <w:iCs/>
              </w:rPr>
              <w:t>CCS Act section 15(1) for the provision of placement services.</w:t>
            </w:r>
          </w:p>
        </w:tc>
      </w:tr>
      <w:tr>
        <w:tc>
          <w:tcPr>
            <w:tcW w:w="2280" w:type="dxa"/>
            <w:noWrap/>
          </w:tcPr>
          <w:p>
            <w:pPr>
              <w:pStyle w:val="yTableNAm"/>
            </w:pPr>
            <w:r>
              <w:t>Providers of child care services</w:t>
            </w:r>
          </w:p>
        </w:tc>
        <w:tc>
          <w:tcPr>
            <w:tcW w:w="4808" w:type="dxa"/>
            <w:noWrap/>
          </w:tcPr>
          <w:p>
            <w:pPr>
              <w:pStyle w:val="yTableNAm"/>
            </w:pPr>
            <w:r>
              <w:t xml:space="preserve">An education and care service as defined in the </w:t>
            </w:r>
            <w:r>
              <w:rPr>
                <w:i/>
              </w:rPr>
              <w:t>Education and Care Services National Law (Western Australia)</w:t>
            </w:r>
            <w:r>
              <w:t xml:space="preserve"> section 5(1).</w:t>
            </w:r>
          </w:p>
          <w:p>
            <w:pPr>
              <w:pStyle w:val="yTableNAm"/>
            </w:pPr>
            <w:r>
              <w:t xml:space="preserve">A child care service as defined in the </w:t>
            </w:r>
            <w:r>
              <w:rPr>
                <w:i/>
              </w:rPr>
              <w:t>Child Care Services Act 2007</w:t>
            </w:r>
            <w:r>
              <w:t xml:space="preserve"> section 4.</w:t>
            </w:r>
          </w:p>
        </w:tc>
      </w:tr>
      <w:tr>
        <w:tc>
          <w:tcPr>
            <w:tcW w:w="2280" w:type="dxa"/>
            <w:noWrap/>
          </w:tcPr>
          <w:p>
            <w:pPr>
              <w:pStyle w:val="yTableNAm"/>
            </w:pPr>
            <w:r>
              <w:t>Providers of youth justice services</w:t>
            </w:r>
          </w:p>
        </w:tc>
        <w:tc>
          <w:tcPr>
            <w:tcW w:w="4808" w:type="dxa"/>
            <w:noWrap/>
          </w:tcPr>
          <w:p>
            <w:pPr>
              <w:pStyle w:val="yTableNAm"/>
            </w:pPr>
            <w:r>
              <w:t xml:space="preserve">A provider of a detention centre as defined in the </w:t>
            </w:r>
            <w:r>
              <w:rPr>
                <w:i/>
              </w:rPr>
              <w:t>Young Offenders Act 1994</w:t>
            </w:r>
            <w:r>
              <w:t xml:space="preserve"> section 3.</w:t>
            </w:r>
          </w:p>
          <w:p>
            <w:pPr>
              <w:pStyle w:val="yTableNAm"/>
            </w:pPr>
            <w:r>
              <w:t xml:space="preserve">A provider of community justice services funded by the department principally assisting in the administration of the </w:t>
            </w:r>
            <w:r>
              <w:rPr>
                <w:i/>
              </w:rPr>
              <w:t>Young Offenders Act 1994</w:t>
            </w:r>
            <w:r>
              <w:t>.</w:t>
            </w:r>
          </w:p>
        </w:tc>
      </w:tr>
      <w:tr>
        <w:tc>
          <w:tcPr>
            <w:tcW w:w="2280" w:type="dxa"/>
            <w:noWrap/>
          </w:tcPr>
          <w:p>
            <w:pPr>
              <w:pStyle w:val="yTableNAm"/>
            </w:pPr>
            <w:r>
              <w:t>Religious bodies</w:t>
            </w:r>
          </w:p>
        </w:tc>
        <w:tc>
          <w:tcPr>
            <w:tcW w:w="4808" w:type="dxa"/>
            <w:noWrap/>
          </w:tcPr>
          <w:p>
            <w:pPr>
              <w:pStyle w:val="yTableNAm"/>
            </w:pPr>
            <w:r>
              <w:rPr>
                <w:szCs w:val="22"/>
              </w:rPr>
              <w:t>A religious body that provides, or has provided, activities, facilities, programs or services that provide a means for adults to have contact with children.</w:t>
            </w:r>
          </w:p>
        </w:tc>
      </w:tr>
      <w:tr>
        <w:tc>
          <w:tcPr>
            <w:tcW w:w="2280" w:type="dxa"/>
            <w:noWrap/>
          </w:tcPr>
          <w:p>
            <w:pPr>
              <w:pStyle w:val="yTableNAm"/>
            </w:pPr>
          </w:p>
        </w:tc>
        <w:tc>
          <w:tcPr>
            <w:tcW w:w="4808" w:type="dxa"/>
            <w:noWrap/>
          </w:tcPr>
          <w:p>
            <w:pPr>
              <w:pStyle w:val="yTableNAm"/>
              <w:rPr>
                <w:b/>
                <w:bCs/>
                <w:szCs w:val="22"/>
              </w:rPr>
            </w:pPr>
            <w:r>
              <w:rPr>
                <w:b/>
                <w:bCs/>
                <w:szCs w:val="22"/>
              </w:rPr>
              <w:t xml:space="preserve">Examples of activities, facilities, programs or services — </w:t>
            </w:r>
          </w:p>
          <w:p>
            <w:pPr>
              <w:pStyle w:val="yTableNAm"/>
            </w:pPr>
            <w:r>
              <w:t>(a)</w:t>
            </w:r>
            <w:r>
              <w:tab/>
              <w:t>altar serving;</w:t>
            </w:r>
          </w:p>
          <w:p>
            <w:pPr>
              <w:pStyle w:val="yTableNAm"/>
            </w:pPr>
            <w:r>
              <w:t>(b)</w:t>
            </w:r>
            <w:r>
              <w:tab/>
              <w:t>art groups;</w:t>
            </w:r>
          </w:p>
          <w:p>
            <w:pPr>
              <w:pStyle w:val="yTableNAm"/>
            </w:pPr>
            <w:r>
              <w:t>(c)</w:t>
            </w:r>
            <w:r>
              <w:tab/>
              <w:t>bible study groups;</w:t>
            </w:r>
          </w:p>
          <w:p>
            <w:pPr>
              <w:pStyle w:val="yTableNAm"/>
            </w:pPr>
            <w:r>
              <w:t>(d)</w:t>
            </w:r>
            <w:r>
              <w:tab/>
              <w:t>choirs and music groups;</w:t>
            </w:r>
          </w:p>
          <w:p>
            <w:pPr>
              <w:pStyle w:val="yTableNAm"/>
            </w:pPr>
            <w:r>
              <w:t>(e)</w:t>
            </w:r>
            <w:r>
              <w:tab/>
              <w:t>creches and other child minding services;</w:t>
            </w:r>
          </w:p>
          <w:p>
            <w:pPr>
              <w:pStyle w:val="yTableNAm"/>
            </w:pPr>
            <w:r>
              <w:t>(f)</w:t>
            </w:r>
            <w:r>
              <w:tab/>
              <w:t>dance groups;</w:t>
            </w:r>
          </w:p>
          <w:p>
            <w:pPr>
              <w:pStyle w:val="yTableNAm"/>
            </w:pPr>
            <w:r>
              <w:t>(g)</w:t>
            </w:r>
            <w:r>
              <w:tab/>
              <w:t>faith</w:t>
            </w:r>
            <w:r>
              <w:noBreakHyphen/>
              <w:t>based children’s and youth groups;</w:t>
            </w:r>
          </w:p>
          <w:p>
            <w:pPr>
              <w:pStyle w:val="yTableNAm"/>
            </w:pPr>
            <w:r>
              <w:t>(h)</w:t>
            </w:r>
            <w:r>
              <w:tab/>
              <w:t>multi</w:t>
            </w:r>
            <w:r>
              <w:noBreakHyphen/>
              <w:t>faith networks;</w:t>
            </w:r>
          </w:p>
          <w:p>
            <w:pPr>
              <w:pStyle w:val="yTableNAm"/>
            </w:pPr>
            <w:r>
              <w:lastRenderedPageBreak/>
              <w:t>(i)</w:t>
            </w:r>
            <w:r>
              <w:tab/>
              <w:t>open days;</w:t>
            </w:r>
          </w:p>
          <w:p>
            <w:pPr>
              <w:pStyle w:val="yTableNAm"/>
            </w:pPr>
            <w:r>
              <w:t>(j)</w:t>
            </w:r>
            <w:r>
              <w:tab/>
              <w:t>prayer groups;</w:t>
            </w:r>
          </w:p>
          <w:p>
            <w:pPr>
              <w:pStyle w:val="yTableNAm"/>
              <w:ind w:left="567" w:hanging="567"/>
            </w:pPr>
            <w:r>
              <w:t>(k)</w:t>
            </w:r>
            <w:r>
              <w:tab/>
              <w:t>religious community engagement and outreach;</w:t>
            </w:r>
          </w:p>
          <w:p>
            <w:pPr>
              <w:pStyle w:val="yTableNAm"/>
            </w:pPr>
            <w:r>
              <w:t>(l)</w:t>
            </w:r>
            <w:r>
              <w:tab/>
              <w:t>religious festivals and celebrations;</w:t>
            </w:r>
          </w:p>
          <w:p>
            <w:pPr>
              <w:pStyle w:val="yTableNAm"/>
            </w:pPr>
            <w:r>
              <w:t>(m)</w:t>
            </w:r>
            <w:r>
              <w:tab/>
              <w:t>religious services;</w:t>
            </w:r>
          </w:p>
          <w:p>
            <w:pPr>
              <w:pStyle w:val="yTableNAm"/>
            </w:pPr>
            <w:r>
              <w:t>(n)</w:t>
            </w:r>
            <w:r>
              <w:tab/>
              <w:t>sports teams;</w:t>
            </w:r>
          </w:p>
          <w:p>
            <w:pPr>
              <w:pStyle w:val="yTableNAm"/>
              <w:ind w:left="567" w:hanging="567"/>
            </w:pPr>
            <w:r>
              <w:t>(o)</w:t>
            </w:r>
            <w:r>
              <w:tab/>
              <w:t>Saturday schools, Sunday schools and after school religious education;</w:t>
            </w:r>
          </w:p>
          <w:p>
            <w:pPr>
              <w:pStyle w:val="yTableNAm"/>
            </w:pPr>
            <w:r>
              <w:t>(p)</w:t>
            </w:r>
            <w:r>
              <w:tab/>
              <w:t>tutoring services;</w:t>
            </w:r>
          </w:p>
          <w:p>
            <w:pPr>
              <w:pStyle w:val="yTableNAm"/>
              <w:rPr>
                <w:szCs w:val="22"/>
              </w:rPr>
            </w:pPr>
            <w:r>
              <w:t>(q)</w:t>
            </w:r>
            <w:r>
              <w:tab/>
              <w:t>youth camps.</w:t>
            </w:r>
          </w:p>
        </w:tc>
      </w:tr>
      <w:tr>
        <w:tc>
          <w:tcPr>
            <w:tcW w:w="2280" w:type="dxa"/>
            <w:noWrap/>
          </w:tcPr>
          <w:p>
            <w:pPr>
              <w:pStyle w:val="yTableNAm"/>
            </w:pPr>
            <w:r>
              <w:lastRenderedPageBreak/>
              <w:t>Providers of disability services</w:t>
            </w:r>
          </w:p>
        </w:tc>
        <w:tc>
          <w:tcPr>
            <w:tcW w:w="4808" w:type="dxa"/>
            <w:noWrap/>
          </w:tcPr>
          <w:p>
            <w:pPr>
              <w:pStyle w:val="yTableNAm"/>
            </w:pPr>
            <w:r>
              <w:t xml:space="preserve">A service provider as defined in the </w:t>
            </w:r>
            <w:r>
              <w:rPr>
                <w:i/>
                <w:iCs/>
              </w:rPr>
              <w:t>Disability Services Act 1993</w:t>
            </w:r>
            <w:r>
              <w:t xml:space="preserve"> section 3.</w:t>
            </w:r>
          </w:p>
          <w:p>
            <w:pPr>
              <w:pStyle w:val="yTableNAm"/>
              <w:rPr>
                <w:b/>
                <w:bCs/>
                <w:szCs w:val="22"/>
              </w:rPr>
            </w:pPr>
            <w:r>
              <w:t xml:space="preserve">A registered provider of supports and services under the National Disability Insurance Scheme established under the </w:t>
            </w:r>
            <w:r>
              <w:rPr>
                <w:i/>
                <w:iCs/>
              </w:rPr>
              <w:t>National Disability Insurance Scheme Act 2013</w:t>
            </w:r>
            <w:r>
              <w:t xml:space="preserve"> (Commonwealth).</w:t>
            </w:r>
          </w:p>
        </w:tc>
      </w:tr>
      <w:tr>
        <w:tc>
          <w:tcPr>
            <w:tcW w:w="2280" w:type="dxa"/>
            <w:noWrap/>
          </w:tcPr>
          <w:p>
            <w:pPr>
              <w:pStyle w:val="yTableNAm"/>
            </w:pPr>
            <w:r>
              <w:t>Providers of accommodation and respite services for children</w:t>
            </w:r>
          </w:p>
        </w:tc>
        <w:tc>
          <w:tcPr>
            <w:tcW w:w="4808" w:type="dxa"/>
            <w:noWrap/>
          </w:tcPr>
          <w:p>
            <w:pPr>
              <w:pStyle w:val="yTableNAm"/>
            </w:pPr>
            <w:r>
              <w:rPr>
                <w:szCs w:val="22"/>
              </w:rPr>
              <w:t>A provider of a homelessness service that provides overnight beds specifically for children as part of its primary activities and is funded by the department principally assisting in the administration of the CCS Act.</w:t>
            </w:r>
          </w:p>
          <w:p>
            <w:pPr>
              <w:pStyle w:val="yTableNAm"/>
              <w:rPr>
                <w:szCs w:val="22"/>
              </w:rPr>
            </w:pPr>
            <w:r>
              <w:rPr>
                <w:szCs w:val="22"/>
              </w:rPr>
              <w:t>A provider of boarding facilities for students who are children.</w:t>
            </w:r>
          </w:p>
          <w:p>
            <w:pPr>
              <w:pStyle w:val="yTableNAm"/>
            </w:pPr>
            <w:r>
              <w:t>An entity that provides overnight camps for children as part of its primary activity.</w:t>
            </w:r>
          </w:p>
          <w:p>
            <w:pPr>
              <w:pStyle w:val="yTableNAm"/>
              <w:rPr>
                <w:b/>
                <w:bCs/>
                <w:szCs w:val="22"/>
              </w:rPr>
            </w:pPr>
            <w:r>
              <w:t>A provider of any other accommodation or respite services for children.</w:t>
            </w:r>
          </w:p>
        </w:tc>
      </w:tr>
    </w:tbl>
    <w:p>
      <w:pPr>
        <w:pStyle w:val="yFootnotesection"/>
      </w:pPr>
      <w:r>
        <w:lastRenderedPageBreak/>
        <w:tab/>
        <w:t>[Schedule 2 inserted: No. 25 of 2022 s. 25; amended: No. 25 of 2022 s. 27.]</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5"/>
          <w:headerReference w:type="default" r:id="rId26"/>
          <w:headerReference w:type="first" r:id="rId27"/>
          <w:pgSz w:w="11907" w:h="16840" w:code="9"/>
          <w:pgMar w:top="2381" w:right="2409" w:bottom="3543" w:left="2409" w:header="720" w:footer="3544" w:gutter="0"/>
          <w:cols w:space="720"/>
          <w:noEndnote/>
          <w:docGrid w:linePitch="326"/>
        </w:sectPr>
      </w:pPr>
    </w:p>
    <w:p>
      <w:pPr>
        <w:pStyle w:val="nHeading2"/>
      </w:pPr>
      <w:bookmarkStart w:id="218" w:name="_Toc153965095"/>
      <w:bookmarkStart w:id="219" w:name="_Toc153968753"/>
      <w:bookmarkStart w:id="220" w:name="_Toc153978150"/>
      <w:bookmarkStart w:id="221" w:name="_Toc174718135"/>
      <w:bookmarkStart w:id="222" w:name="_Toc174718780"/>
      <w:bookmarkStart w:id="223" w:name="_Toc174718886"/>
      <w:bookmarkStart w:id="224" w:name="_Toc174950883"/>
      <w:r>
        <w:lastRenderedPageBreak/>
        <w:t>Notes</w:t>
      </w:r>
      <w:bookmarkEnd w:id="218"/>
      <w:bookmarkEnd w:id="219"/>
      <w:bookmarkEnd w:id="220"/>
      <w:bookmarkEnd w:id="221"/>
      <w:bookmarkEnd w:id="222"/>
      <w:bookmarkEnd w:id="223"/>
      <w:bookmarkEnd w:id="224"/>
    </w:p>
    <w:p>
      <w:pPr>
        <w:pStyle w:val="nStatement"/>
      </w:pPr>
      <w:r>
        <w:t xml:space="preserve">This is a compilation of the </w:t>
      </w:r>
      <w:r>
        <w:rPr>
          <w:i/>
          <w:noProof/>
        </w:rPr>
        <w:t>Parliamentary Commissioner Act 1971</w:t>
      </w:r>
      <w:r>
        <w:t xml:space="preserve"> and includes amendments made by other written laws </w:t>
      </w:r>
      <w:r>
        <w:rPr>
          <w:vertAlign w:val="superscript"/>
        </w:rPr>
        <w:t>3, 4</w:t>
      </w:r>
      <w:r>
        <w:t>. For provisions that have come into operation, and for information about any reprints, see the compilation table. For provisions that have not yet come into operation see the uncommenced provisions table.</w:t>
      </w:r>
    </w:p>
    <w:p>
      <w:pPr>
        <w:pStyle w:val="nHeading3"/>
      </w:pPr>
      <w:bookmarkStart w:id="225" w:name="_Toc174950884"/>
      <w:r>
        <w:t>Compilation table</w:t>
      </w:r>
      <w:bookmarkEnd w:id="225"/>
    </w:p>
    <w:tbl>
      <w:tblPr>
        <w:tblW w:w="7193" w:type="dxa"/>
        <w:tblInd w:w="43" w:type="dxa"/>
        <w:tblLayout w:type="fixed"/>
        <w:tblCellMar>
          <w:left w:w="56" w:type="dxa"/>
          <w:right w:w="56" w:type="dxa"/>
        </w:tblCellMar>
        <w:tblLook w:val="0000" w:firstRow="0" w:lastRow="0" w:firstColumn="0" w:lastColumn="0" w:noHBand="0" w:noVBand="0"/>
      </w:tblPr>
      <w:tblGrid>
        <w:gridCol w:w="13"/>
        <w:gridCol w:w="2212"/>
        <w:gridCol w:w="1134"/>
        <w:gridCol w:w="1276"/>
        <w:gridCol w:w="2551"/>
        <w:gridCol w:w="7"/>
      </w:tblGrid>
      <w:tr>
        <w:trPr>
          <w:gridBefore w:val="1"/>
          <w:wBefore w:w="13" w:type="dxa"/>
          <w:cantSplit/>
          <w:trHeight w:val="40"/>
          <w:tblHeader/>
        </w:trPr>
        <w:tc>
          <w:tcPr>
            <w:tcW w:w="2212"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276" w:type="dxa"/>
            <w:tcBorders>
              <w:top w:val="single" w:sz="8" w:space="0" w:color="auto"/>
              <w:bottom w:val="single" w:sz="8" w:space="0" w:color="auto"/>
            </w:tcBorders>
            <w:shd w:val="clear" w:color="auto" w:fill="auto"/>
          </w:tcPr>
          <w:p>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12"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276" w:type="dxa"/>
          </w:tcPr>
          <w:p>
            <w:pPr>
              <w:pStyle w:val="nTable"/>
              <w:spacing w:after="40"/>
            </w:pPr>
            <w:r>
              <w:t>22 Dec 1971</w:t>
            </w:r>
          </w:p>
        </w:tc>
        <w:tc>
          <w:tcPr>
            <w:tcW w:w="2558"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12"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276" w:type="dxa"/>
          </w:tcPr>
          <w:p>
            <w:pPr>
              <w:pStyle w:val="nTable"/>
              <w:spacing w:after="40"/>
            </w:pPr>
            <w:r>
              <w:t>6 Oct 1976</w:t>
            </w:r>
          </w:p>
        </w:tc>
        <w:tc>
          <w:tcPr>
            <w:tcW w:w="2558" w:type="dxa"/>
            <w:gridSpan w:val="2"/>
          </w:tcPr>
          <w:p>
            <w:pPr>
              <w:pStyle w:val="nTable"/>
              <w:spacing w:after="40"/>
            </w:pPr>
            <w:r>
              <w:t>6 Oct 1976</w:t>
            </w:r>
          </w:p>
        </w:tc>
      </w:tr>
      <w:tr>
        <w:trPr>
          <w:gridBefore w:val="1"/>
          <w:wBefore w:w="13" w:type="dxa"/>
          <w:cantSplit/>
        </w:trPr>
        <w:tc>
          <w:tcPr>
            <w:tcW w:w="2212"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276" w:type="dxa"/>
          </w:tcPr>
          <w:p>
            <w:pPr>
              <w:pStyle w:val="nTable"/>
              <w:spacing w:after="40"/>
            </w:pPr>
            <w:r>
              <w:t>14 May 1982</w:t>
            </w:r>
          </w:p>
        </w:tc>
        <w:tc>
          <w:tcPr>
            <w:tcW w:w="2558" w:type="dxa"/>
            <w:gridSpan w:val="2"/>
          </w:tcPr>
          <w:p>
            <w:pPr>
              <w:pStyle w:val="nTable"/>
              <w:spacing w:after="40"/>
            </w:pPr>
            <w:r>
              <w:t>14 May 1982</w:t>
            </w:r>
          </w:p>
        </w:tc>
      </w:tr>
      <w:tr>
        <w:trPr>
          <w:gridBefore w:val="1"/>
          <w:wBefore w:w="13" w:type="dxa"/>
          <w:cantSplit/>
        </w:trPr>
        <w:tc>
          <w:tcPr>
            <w:tcW w:w="7180" w:type="dxa"/>
            <w:gridSpan w:val="5"/>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12"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276" w:type="dxa"/>
          </w:tcPr>
          <w:p>
            <w:pPr>
              <w:pStyle w:val="nTable"/>
              <w:spacing w:after="40"/>
            </w:pPr>
            <w:r>
              <w:t>27 Dec 1984</w:t>
            </w:r>
          </w:p>
        </w:tc>
        <w:tc>
          <w:tcPr>
            <w:tcW w:w="2558"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12"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276" w:type="dxa"/>
          </w:tcPr>
          <w:p>
            <w:pPr>
              <w:pStyle w:val="nTable"/>
              <w:spacing w:after="40"/>
            </w:pPr>
            <w:r>
              <w:t>15 Nov 1985</w:t>
            </w:r>
          </w:p>
        </w:tc>
        <w:tc>
          <w:tcPr>
            <w:tcW w:w="2558"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12"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276" w:type="dxa"/>
          </w:tcPr>
          <w:p>
            <w:pPr>
              <w:pStyle w:val="nTable"/>
              <w:spacing w:after="40"/>
            </w:pPr>
            <w:r>
              <w:t>4 Dec 1985</w:t>
            </w:r>
          </w:p>
        </w:tc>
        <w:tc>
          <w:tcPr>
            <w:tcW w:w="2558"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12"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276" w:type="dxa"/>
          </w:tcPr>
          <w:p>
            <w:pPr>
              <w:pStyle w:val="nTable"/>
              <w:spacing w:after="40"/>
            </w:pPr>
            <w:r>
              <w:t>4 Dec 1985</w:t>
            </w:r>
          </w:p>
        </w:tc>
        <w:tc>
          <w:tcPr>
            <w:tcW w:w="2558"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12"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276" w:type="dxa"/>
          </w:tcPr>
          <w:p>
            <w:pPr>
              <w:pStyle w:val="nTable"/>
              <w:spacing w:after="40"/>
            </w:pPr>
            <w:r>
              <w:t>17 Dec 1985</w:t>
            </w:r>
          </w:p>
        </w:tc>
        <w:tc>
          <w:tcPr>
            <w:tcW w:w="2558"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12"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276" w:type="dxa"/>
          </w:tcPr>
          <w:p>
            <w:pPr>
              <w:pStyle w:val="nTable"/>
              <w:spacing w:after="40"/>
            </w:pPr>
            <w:r>
              <w:t>7 Jan 1986</w:t>
            </w:r>
          </w:p>
        </w:tc>
        <w:tc>
          <w:tcPr>
            <w:tcW w:w="2558"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12" w:type="dxa"/>
          </w:tcPr>
          <w:p>
            <w:pPr>
              <w:pStyle w:val="nTable"/>
              <w:spacing w:after="40"/>
              <w:ind w:right="113"/>
            </w:pPr>
            <w:r>
              <w:rPr>
                <w:i/>
              </w:rPr>
              <w:lastRenderedPageBreak/>
              <w:t>Perth Mint Amendment Act 1986</w:t>
            </w:r>
            <w:r>
              <w:t xml:space="preserve"> Pt. III</w:t>
            </w:r>
          </w:p>
        </w:tc>
        <w:tc>
          <w:tcPr>
            <w:tcW w:w="1134" w:type="dxa"/>
          </w:tcPr>
          <w:p>
            <w:pPr>
              <w:pStyle w:val="nTable"/>
              <w:spacing w:after="40"/>
            </w:pPr>
            <w:r>
              <w:t>39 of 1986</w:t>
            </w:r>
          </w:p>
        </w:tc>
        <w:tc>
          <w:tcPr>
            <w:tcW w:w="1276" w:type="dxa"/>
          </w:tcPr>
          <w:p>
            <w:pPr>
              <w:pStyle w:val="nTable"/>
              <w:spacing w:after="40"/>
            </w:pPr>
            <w:r>
              <w:t>1 Aug 1986</w:t>
            </w:r>
          </w:p>
        </w:tc>
        <w:tc>
          <w:tcPr>
            <w:tcW w:w="2558"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12"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276" w:type="dxa"/>
          </w:tcPr>
          <w:p>
            <w:pPr>
              <w:pStyle w:val="nTable"/>
              <w:spacing w:after="40"/>
            </w:pPr>
            <w:r>
              <w:t>5 Aug 1986</w:t>
            </w:r>
          </w:p>
        </w:tc>
        <w:tc>
          <w:tcPr>
            <w:tcW w:w="2558"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12"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276" w:type="dxa"/>
          </w:tcPr>
          <w:p>
            <w:pPr>
              <w:pStyle w:val="nTable"/>
              <w:spacing w:after="40"/>
            </w:pPr>
            <w:r>
              <w:t>12 Dec 1986</w:t>
            </w:r>
          </w:p>
        </w:tc>
        <w:tc>
          <w:tcPr>
            <w:tcW w:w="2558"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12"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276" w:type="dxa"/>
          </w:tcPr>
          <w:p>
            <w:pPr>
              <w:pStyle w:val="nTable"/>
              <w:spacing w:after="40"/>
            </w:pPr>
            <w:r>
              <w:t>29 May 1987</w:t>
            </w:r>
          </w:p>
        </w:tc>
        <w:tc>
          <w:tcPr>
            <w:tcW w:w="2558"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12"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276" w:type="dxa"/>
          </w:tcPr>
          <w:p>
            <w:pPr>
              <w:pStyle w:val="nTable"/>
              <w:spacing w:after="40"/>
            </w:pPr>
            <w:r>
              <w:t>11 Jun 1987</w:t>
            </w:r>
          </w:p>
        </w:tc>
        <w:tc>
          <w:tcPr>
            <w:tcW w:w="2558"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12"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276" w:type="dxa"/>
          </w:tcPr>
          <w:p>
            <w:pPr>
              <w:pStyle w:val="nTable"/>
              <w:spacing w:after="40"/>
            </w:pPr>
            <w:r>
              <w:t>6 Jul 1987</w:t>
            </w:r>
          </w:p>
        </w:tc>
        <w:tc>
          <w:tcPr>
            <w:tcW w:w="2558"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12"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276" w:type="dxa"/>
          </w:tcPr>
          <w:p>
            <w:pPr>
              <w:pStyle w:val="nTable"/>
              <w:spacing w:after="40"/>
            </w:pPr>
            <w:r>
              <w:t>3 Oct 1987</w:t>
            </w:r>
          </w:p>
        </w:tc>
        <w:tc>
          <w:tcPr>
            <w:tcW w:w="2558"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12"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276" w:type="dxa"/>
          </w:tcPr>
          <w:p>
            <w:pPr>
              <w:pStyle w:val="nTable"/>
              <w:keepNext/>
              <w:keepLines/>
              <w:spacing w:after="40"/>
            </w:pPr>
            <w:r>
              <w:t>8 Oct 1987</w:t>
            </w:r>
          </w:p>
        </w:tc>
        <w:tc>
          <w:tcPr>
            <w:tcW w:w="2558"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12"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276" w:type="dxa"/>
          </w:tcPr>
          <w:p>
            <w:pPr>
              <w:pStyle w:val="nTable"/>
              <w:spacing w:after="40"/>
            </w:pPr>
            <w:r>
              <w:t>18 Nov 1987</w:t>
            </w:r>
          </w:p>
        </w:tc>
        <w:tc>
          <w:tcPr>
            <w:tcW w:w="2558"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12"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276" w:type="dxa"/>
          </w:tcPr>
          <w:p>
            <w:pPr>
              <w:pStyle w:val="nTable"/>
              <w:spacing w:after="40"/>
            </w:pPr>
            <w:r>
              <w:t>9 Dec 1987</w:t>
            </w:r>
          </w:p>
        </w:tc>
        <w:tc>
          <w:tcPr>
            <w:tcW w:w="2558"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12" w:type="dxa"/>
          </w:tcPr>
          <w:p>
            <w:pPr>
              <w:pStyle w:val="nTable"/>
              <w:spacing w:after="40"/>
              <w:ind w:right="113"/>
            </w:pPr>
            <w:r>
              <w:rPr>
                <w:i/>
              </w:rPr>
              <w:t>Rottnest Island Authority Act 1987</w:t>
            </w:r>
            <w:r>
              <w:t xml:space="preserve"> s. 51</w:t>
            </w:r>
          </w:p>
        </w:tc>
        <w:tc>
          <w:tcPr>
            <w:tcW w:w="1134" w:type="dxa"/>
          </w:tcPr>
          <w:p>
            <w:pPr>
              <w:pStyle w:val="nTable"/>
              <w:spacing w:after="40"/>
            </w:pPr>
            <w:r>
              <w:t>91 of 1987</w:t>
            </w:r>
          </w:p>
        </w:tc>
        <w:tc>
          <w:tcPr>
            <w:tcW w:w="1276" w:type="dxa"/>
          </w:tcPr>
          <w:p>
            <w:pPr>
              <w:pStyle w:val="nTable"/>
              <w:spacing w:after="40"/>
            </w:pPr>
            <w:r>
              <w:t>9 Dec 1987</w:t>
            </w:r>
          </w:p>
        </w:tc>
        <w:tc>
          <w:tcPr>
            <w:tcW w:w="2558"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12"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276" w:type="dxa"/>
          </w:tcPr>
          <w:p>
            <w:pPr>
              <w:pStyle w:val="nTable"/>
              <w:spacing w:after="40"/>
            </w:pPr>
            <w:r>
              <w:t>18 Dec 1987</w:t>
            </w:r>
          </w:p>
        </w:tc>
        <w:tc>
          <w:tcPr>
            <w:tcW w:w="2558"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12"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276" w:type="dxa"/>
          </w:tcPr>
          <w:p>
            <w:pPr>
              <w:pStyle w:val="nTable"/>
              <w:spacing w:after="40"/>
            </w:pPr>
            <w:r>
              <w:t>31 Dec 1987</w:t>
            </w:r>
          </w:p>
        </w:tc>
        <w:tc>
          <w:tcPr>
            <w:tcW w:w="2558"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12"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276" w:type="dxa"/>
          </w:tcPr>
          <w:p>
            <w:pPr>
              <w:pStyle w:val="nTable"/>
              <w:spacing w:after="40"/>
            </w:pPr>
            <w:r>
              <w:t>31 Dec 1987</w:t>
            </w:r>
          </w:p>
        </w:tc>
        <w:tc>
          <w:tcPr>
            <w:tcW w:w="2558"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12" w:type="dxa"/>
          </w:tcPr>
          <w:p>
            <w:pPr>
              <w:pStyle w:val="nTable"/>
              <w:spacing w:after="40"/>
              <w:ind w:right="113"/>
            </w:pPr>
            <w:r>
              <w:rPr>
                <w:i/>
              </w:rPr>
              <w:lastRenderedPageBreak/>
              <w:t>Geraldton Mid</w:t>
            </w:r>
            <w:r>
              <w:rPr>
                <w:i/>
              </w:rPr>
              <w:noBreakHyphen/>
              <w:t>West Development Authority Act 1988</w:t>
            </w:r>
            <w:r>
              <w:t xml:space="preserve"> s. 33</w:t>
            </w:r>
          </w:p>
        </w:tc>
        <w:tc>
          <w:tcPr>
            <w:tcW w:w="1134" w:type="dxa"/>
          </w:tcPr>
          <w:p>
            <w:pPr>
              <w:pStyle w:val="nTable"/>
              <w:spacing w:after="40"/>
            </w:pPr>
            <w:r>
              <w:t>4 of 1988</w:t>
            </w:r>
          </w:p>
        </w:tc>
        <w:tc>
          <w:tcPr>
            <w:tcW w:w="1276" w:type="dxa"/>
          </w:tcPr>
          <w:p>
            <w:pPr>
              <w:pStyle w:val="nTable"/>
              <w:spacing w:after="40"/>
            </w:pPr>
            <w:r>
              <w:t>30 Jun 1988</w:t>
            </w:r>
          </w:p>
        </w:tc>
        <w:tc>
          <w:tcPr>
            <w:tcW w:w="2558"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12" w:type="dxa"/>
          </w:tcPr>
          <w:p>
            <w:pPr>
              <w:pStyle w:val="nTable"/>
              <w:spacing w:after="40"/>
              <w:ind w:right="113"/>
            </w:pPr>
            <w:r>
              <w:rPr>
                <w:i/>
              </w:rPr>
              <w:t>Acts Amendment (Swan River Trust) Act 1988</w:t>
            </w:r>
            <w:r>
              <w:t xml:space="preserve"> Pt. 8</w:t>
            </w:r>
          </w:p>
        </w:tc>
        <w:tc>
          <w:tcPr>
            <w:tcW w:w="1134" w:type="dxa"/>
          </w:tcPr>
          <w:p>
            <w:pPr>
              <w:pStyle w:val="nTable"/>
              <w:spacing w:after="40"/>
            </w:pPr>
            <w:r>
              <w:t>21 of 1988</w:t>
            </w:r>
          </w:p>
        </w:tc>
        <w:tc>
          <w:tcPr>
            <w:tcW w:w="1276" w:type="dxa"/>
          </w:tcPr>
          <w:p>
            <w:pPr>
              <w:pStyle w:val="nTable"/>
              <w:spacing w:after="40"/>
            </w:pPr>
            <w:r>
              <w:t>5 Oct 1988</w:t>
            </w:r>
          </w:p>
        </w:tc>
        <w:tc>
          <w:tcPr>
            <w:tcW w:w="2558"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12"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276" w:type="dxa"/>
          </w:tcPr>
          <w:p>
            <w:pPr>
              <w:pStyle w:val="nTable"/>
              <w:spacing w:after="40"/>
            </w:pPr>
            <w:r>
              <w:t>8 Dec 1988</w:t>
            </w:r>
          </w:p>
        </w:tc>
        <w:tc>
          <w:tcPr>
            <w:tcW w:w="2558"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12"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276" w:type="dxa"/>
          </w:tcPr>
          <w:p>
            <w:pPr>
              <w:pStyle w:val="nTable"/>
              <w:spacing w:after="40"/>
            </w:pPr>
            <w:r>
              <w:t>23 Dec 1988</w:t>
            </w:r>
          </w:p>
        </w:tc>
        <w:tc>
          <w:tcPr>
            <w:tcW w:w="2558"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12"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276" w:type="dxa"/>
          </w:tcPr>
          <w:p>
            <w:pPr>
              <w:pStyle w:val="nTable"/>
              <w:spacing w:after="40"/>
            </w:pPr>
            <w:r>
              <w:t>12 Dec 1989</w:t>
            </w:r>
          </w:p>
        </w:tc>
        <w:tc>
          <w:tcPr>
            <w:tcW w:w="2558"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12"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276" w:type="dxa"/>
          </w:tcPr>
          <w:p>
            <w:pPr>
              <w:pStyle w:val="nTable"/>
              <w:spacing w:after="40"/>
            </w:pPr>
            <w:r>
              <w:t>15 Dec 1989</w:t>
            </w:r>
          </w:p>
        </w:tc>
        <w:tc>
          <w:tcPr>
            <w:tcW w:w="2558" w:type="dxa"/>
            <w:gridSpan w:val="2"/>
          </w:tcPr>
          <w:p>
            <w:pPr>
              <w:pStyle w:val="nTable"/>
              <w:spacing w:after="40"/>
            </w:pPr>
            <w:r>
              <w:t>15 Dec 1989 (see s. 2)</w:t>
            </w:r>
          </w:p>
        </w:tc>
      </w:tr>
      <w:tr>
        <w:trPr>
          <w:gridBefore w:val="1"/>
          <w:wBefore w:w="13" w:type="dxa"/>
          <w:cantSplit/>
        </w:trPr>
        <w:tc>
          <w:tcPr>
            <w:tcW w:w="2212" w:type="dxa"/>
          </w:tcPr>
          <w:p>
            <w:pPr>
              <w:pStyle w:val="nTable"/>
              <w:spacing w:after="40"/>
              <w:ind w:right="113"/>
            </w:pPr>
            <w:r>
              <w:rPr>
                <w:i/>
              </w:rPr>
              <w:t>Acts Amendment (Perth Market Authority) Act 1990</w:t>
            </w:r>
            <w:r>
              <w:t xml:space="preserve"> Pt. 6</w:t>
            </w:r>
          </w:p>
        </w:tc>
        <w:tc>
          <w:tcPr>
            <w:tcW w:w="1134" w:type="dxa"/>
          </w:tcPr>
          <w:p>
            <w:pPr>
              <w:pStyle w:val="nTable"/>
              <w:spacing w:after="40"/>
            </w:pPr>
            <w:r>
              <w:t>6 of 1990</w:t>
            </w:r>
          </w:p>
        </w:tc>
        <w:tc>
          <w:tcPr>
            <w:tcW w:w="1276" w:type="dxa"/>
          </w:tcPr>
          <w:p>
            <w:pPr>
              <w:pStyle w:val="nTable"/>
              <w:spacing w:after="40"/>
            </w:pPr>
            <w:r>
              <w:t>12 Jul 1990</w:t>
            </w:r>
          </w:p>
        </w:tc>
        <w:tc>
          <w:tcPr>
            <w:tcW w:w="2558"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12"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276" w:type="dxa"/>
          </w:tcPr>
          <w:p>
            <w:pPr>
              <w:pStyle w:val="nTable"/>
              <w:spacing w:after="40"/>
            </w:pPr>
            <w:r>
              <w:t>31 Jul 1990</w:t>
            </w:r>
          </w:p>
        </w:tc>
        <w:tc>
          <w:tcPr>
            <w:tcW w:w="2558"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12"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276" w:type="dxa"/>
          </w:tcPr>
          <w:p>
            <w:pPr>
              <w:pStyle w:val="nTable"/>
              <w:spacing w:after="40"/>
            </w:pPr>
            <w:r>
              <w:t>31 Jul 1990</w:t>
            </w:r>
          </w:p>
        </w:tc>
        <w:tc>
          <w:tcPr>
            <w:tcW w:w="2558"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276" w:type="dxa"/>
          </w:tcPr>
          <w:p>
            <w:pPr>
              <w:pStyle w:val="nTable"/>
              <w:spacing w:after="40"/>
            </w:pPr>
            <w:r>
              <w:t>7 Sep 1990</w:t>
            </w:r>
          </w:p>
        </w:tc>
        <w:tc>
          <w:tcPr>
            <w:tcW w:w="2558"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12"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276" w:type="dxa"/>
          </w:tcPr>
          <w:p>
            <w:pPr>
              <w:pStyle w:val="nTable"/>
              <w:spacing w:after="40"/>
            </w:pPr>
            <w:r>
              <w:t>8 Nov 1990</w:t>
            </w:r>
          </w:p>
        </w:tc>
        <w:tc>
          <w:tcPr>
            <w:tcW w:w="2558"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12"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276" w:type="dxa"/>
          </w:tcPr>
          <w:p>
            <w:pPr>
              <w:pStyle w:val="nTable"/>
              <w:spacing w:after="40"/>
            </w:pPr>
            <w:r>
              <w:t>26 Nov 1990</w:t>
            </w:r>
          </w:p>
        </w:tc>
        <w:tc>
          <w:tcPr>
            <w:tcW w:w="2558"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12" w:type="dxa"/>
          </w:tcPr>
          <w:p>
            <w:pPr>
              <w:pStyle w:val="nTable"/>
              <w:spacing w:after="40"/>
              <w:ind w:right="113"/>
            </w:pPr>
            <w:r>
              <w:rPr>
                <w:i/>
              </w:rPr>
              <w:lastRenderedPageBreak/>
              <w:t>Soil and Land Conservation Amendment Act 1990</w:t>
            </w:r>
            <w:r>
              <w:t xml:space="preserve"> s. 17</w:t>
            </w:r>
          </w:p>
        </w:tc>
        <w:tc>
          <w:tcPr>
            <w:tcW w:w="1134" w:type="dxa"/>
          </w:tcPr>
          <w:p>
            <w:pPr>
              <w:pStyle w:val="nTable"/>
              <w:spacing w:after="40"/>
            </w:pPr>
            <w:r>
              <w:t>91 of 1990</w:t>
            </w:r>
          </w:p>
        </w:tc>
        <w:tc>
          <w:tcPr>
            <w:tcW w:w="1276" w:type="dxa"/>
          </w:tcPr>
          <w:p>
            <w:pPr>
              <w:pStyle w:val="nTable"/>
              <w:spacing w:after="40"/>
            </w:pPr>
            <w:r>
              <w:t>17 Dec 1990</w:t>
            </w:r>
          </w:p>
        </w:tc>
        <w:tc>
          <w:tcPr>
            <w:tcW w:w="2558"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12"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276" w:type="dxa"/>
          </w:tcPr>
          <w:p>
            <w:pPr>
              <w:pStyle w:val="nTable"/>
              <w:spacing w:after="40"/>
            </w:pPr>
            <w:r>
              <w:t>20 Dec 1990</w:t>
            </w:r>
          </w:p>
        </w:tc>
        <w:tc>
          <w:tcPr>
            <w:tcW w:w="2558"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276" w:type="dxa"/>
          </w:tcPr>
          <w:p>
            <w:pPr>
              <w:pStyle w:val="nTable"/>
              <w:spacing w:after="40"/>
            </w:pPr>
            <w:r>
              <w:t>20 Dec 1990</w:t>
            </w:r>
          </w:p>
        </w:tc>
        <w:tc>
          <w:tcPr>
            <w:tcW w:w="2558"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12"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276" w:type="dxa"/>
          </w:tcPr>
          <w:p>
            <w:pPr>
              <w:pStyle w:val="nTable"/>
              <w:spacing w:after="40"/>
            </w:pPr>
            <w:r>
              <w:t>22 Dec 1990</w:t>
            </w:r>
          </w:p>
        </w:tc>
        <w:tc>
          <w:tcPr>
            <w:tcW w:w="2558"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12"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276" w:type="dxa"/>
          </w:tcPr>
          <w:p>
            <w:pPr>
              <w:pStyle w:val="nTable"/>
              <w:spacing w:after="40"/>
            </w:pPr>
            <w:r>
              <w:t>2 Jan 1991</w:t>
            </w:r>
          </w:p>
        </w:tc>
        <w:tc>
          <w:tcPr>
            <w:tcW w:w="2558"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12"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276" w:type="dxa"/>
          </w:tcPr>
          <w:p>
            <w:pPr>
              <w:pStyle w:val="nTable"/>
              <w:spacing w:after="40"/>
            </w:pPr>
            <w:r>
              <w:t>6 Jun 1991</w:t>
            </w:r>
          </w:p>
        </w:tc>
        <w:tc>
          <w:tcPr>
            <w:tcW w:w="2558"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12"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276" w:type="dxa"/>
          </w:tcPr>
          <w:p>
            <w:pPr>
              <w:pStyle w:val="nTable"/>
              <w:spacing w:after="40"/>
            </w:pPr>
            <w:r>
              <w:t>8 Oct 1991</w:t>
            </w:r>
          </w:p>
        </w:tc>
        <w:tc>
          <w:tcPr>
            <w:tcW w:w="2558"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12" w:type="dxa"/>
          </w:tcPr>
          <w:p>
            <w:pPr>
              <w:pStyle w:val="nTable"/>
              <w:spacing w:after="40"/>
              <w:ind w:right="113"/>
            </w:pPr>
            <w:r>
              <w:rPr>
                <w:i/>
              </w:rPr>
              <w:t>East Perth Redevelopment Act 1991</w:t>
            </w:r>
            <w:r>
              <w:t xml:space="preserve"> s. 59</w:t>
            </w:r>
          </w:p>
        </w:tc>
        <w:tc>
          <w:tcPr>
            <w:tcW w:w="1134" w:type="dxa"/>
          </w:tcPr>
          <w:p>
            <w:pPr>
              <w:pStyle w:val="nTable"/>
              <w:spacing w:after="40"/>
            </w:pPr>
            <w:r>
              <w:t>62 of 1991</w:t>
            </w:r>
          </w:p>
        </w:tc>
        <w:tc>
          <w:tcPr>
            <w:tcW w:w="1276" w:type="dxa"/>
          </w:tcPr>
          <w:p>
            <w:pPr>
              <w:pStyle w:val="nTable"/>
              <w:spacing w:after="40"/>
            </w:pPr>
            <w:r>
              <w:t>30 Dec 1991</w:t>
            </w:r>
          </w:p>
        </w:tc>
        <w:tc>
          <w:tcPr>
            <w:tcW w:w="2558"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12"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276" w:type="dxa"/>
          </w:tcPr>
          <w:p>
            <w:pPr>
              <w:pStyle w:val="nTable"/>
              <w:spacing w:after="40"/>
            </w:pPr>
            <w:r>
              <w:t>14 May 1992</w:t>
            </w:r>
          </w:p>
        </w:tc>
        <w:tc>
          <w:tcPr>
            <w:tcW w:w="2558"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12"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276" w:type="dxa"/>
          </w:tcPr>
          <w:p>
            <w:pPr>
              <w:pStyle w:val="nTable"/>
              <w:spacing w:after="40"/>
            </w:pPr>
            <w:r>
              <w:t>19 Jun 1992</w:t>
            </w:r>
          </w:p>
        </w:tc>
        <w:tc>
          <w:tcPr>
            <w:tcW w:w="2558"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12" w:type="dxa"/>
          </w:tcPr>
          <w:p>
            <w:pPr>
              <w:pStyle w:val="nTable"/>
              <w:spacing w:after="40"/>
              <w:ind w:right="113"/>
            </w:pPr>
            <w:r>
              <w:rPr>
                <w:i/>
              </w:rPr>
              <w:t>Western Australian Land Authority Act 1992</w:t>
            </w:r>
            <w:r>
              <w:t xml:space="preserve"> s. 49</w:t>
            </w:r>
          </w:p>
        </w:tc>
        <w:tc>
          <w:tcPr>
            <w:tcW w:w="1134" w:type="dxa"/>
          </w:tcPr>
          <w:p>
            <w:pPr>
              <w:pStyle w:val="nTable"/>
              <w:spacing w:after="40"/>
            </w:pPr>
            <w:r>
              <w:t>35 of 1992</w:t>
            </w:r>
          </w:p>
        </w:tc>
        <w:tc>
          <w:tcPr>
            <w:tcW w:w="1276" w:type="dxa"/>
          </w:tcPr>
          <w:p>
            <w:pPr>
              <w:pStyle w:val="nTable"/>
              <w:spacing w:after="40"/>
            </w:pPr>
            <w:r>
              <w:t>23 Jun 1992</w:t>
            </w:r>
          </w:p>
        </w:tc>
        <w:tc>
          <w:tcPr>
            <w:tcW w:w="2558"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12"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276" w:type="dxa"/>
          </w:tcPr>
          <w:p>
            <w:pPr>
              <w:pStyle w:val="nTable"/>
              <w:spacing w:after="40"/>
            </w:pPr>
            <w:r>
              <w:t>11 Dec 1992</w:t>
            </w:r>
          </w:p>
        </w:tc>
        <w:tc>
          <w:tcPr>
            <w:tcW w:w="2558"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12" w:type="dxa"/>
          </w:tcPr>
          <w:p>
            <w:pPr>
              <w:pStyle w:val="nTable"/>
              <w:spacing w:after="40"/>
              <w:ind w:right="113"/>
            </w:pPr>
            <w:r>
              <w:rPr>
                <w:i/>
              </w:rPr>
              <w:lastRenderedPageBreak/>
              <w:t>Local Government (Superannuation) Amendment and Repeal Act 1993</w:t>
            </w:r>
            <w:r>
              <w:t xml:space="preserve"> s. 17</w:t>
            </w:r>
          </w:p>
        </w:tc>
        <w:tc>
          <w:tcPr>
            <w:tcW w:w="1134" w:type="dxa"/>
          </w:tcPr>
          <w:p>
            <w:pPr>
              <w:pStyle w:val="nTable"/>
              <w:spacing w:after="40"/>
            </w:pPr>
            <w:r>
              <w:t>2 of 1993</w:t>
            </w:r>
          </w:p>
        </w:tc>
        <w:tc>
          <w:tcPr>
            <w:tcW w:w="1276" w:type="dxa"/>
          </w:tcPr>
          <w:p>
            <w:pPr>
              <w:pStyle w:val="nTable"/>
              <w:spacing w:after="40"/>
            </w:pPr>
            <w:r>
              <w:t>18 Aug 1993</w:t>
            </w:r>
          </w:p>
        </w:tc>
        <w:tc>
          <w:tcPr>
            <w:tcW w:w="2558" w:type="dxa"/>
            <w:gridSpan w:val="2"/>
          </w:tcPr>
          <w:p>
            <w:pPr>
              <w:pStyle w:val="nTable"/>
              <w:spacing w:after="40"/>
            </w:pPr>
            <w:r>
              <w:t>1 Jul 1993 (see s. 2)</w:t>
            </w:r>
          </w:p>
        </w:tc>
      </w:tr>
      <w:tr>
        <w:trPr>
          <w:gridBefore w:val="1"/>
          <w:wBefore w:w="13" w:type="dxa"/>
          <w:cantSplit/>
        </w:trPr>
        <w:tc>
          <w:tcPr>
            <w:tcW w:w="2212"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276" w:type="dxa"/>
          </w:tcPr>
          <w:p>
            <w:pPr>
              <w:pStyle w:val="nTable"/>
              <w:spacing w:after="40"/>
            </w:pPr>
            <w:r>
              <w:t>27 Aug 1993</w:t>
            </w:r>
          </w:p>
        </w:tc>
        <w:tc>
          <w:tcPr>
            <w:tcW w:w="2558" w:type="dxa"/>
            <w:gridSpan w:val="2"/>
          </w:tcPr>
          <w:p>
            <w:pPr>
              <w:pStyle w:val="nTable"/>
              <w:spacing w:after="40"/>
            </w:pPr>
            <w:r>
              <w:t>1 Jul 1993 (see s. 2(1))</w:t>
            </w:r>
          </w:p>
        </w:tc>
      </w:tr>
      <w:tr>
        <w:trPr>
          <w:gridBefore w:val="1"/>
          <w:wBefore w:w="13" w:type="dxa"/>
          <w:cantSplit/>
        </w:trPr>
        <w:tc>
          <w:tcPr>
            <w:tcW w:w="2212"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276" w:type="dxa"/>
          </w:tcPr>
          <w:p>
            <w:pPr>
              <w:pStyle w:val="nTable"/>
              <w:spacing w:after="40"/>
            </w:pPr>
            <w:r>
              <w:t>6 Oct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276" w:type="dxa"/>
          </w:tcPr>
          <w:p>
            <w:pPr>
              <w:pStyle w:val="nTable"/>
              <w:spacing w:after="40"/>
            </w:pPr>
            <w:r>
              <w:t>23 Nov 1993</w:t>
            </w:r>
          </w:p>
        </w:tc>
        <w:tc>
          <w:tcPr>
            <w:tcW w:w="2558"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12"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276" w:type="dxa"/>
          </w:tcPr>
          <w:p>
            <w:pPr>
              <w:pStyle w:val="nTable"/>
              <w:spacing w:after="40"/>
            </w:pPr>
            <w:r>
              <w:t>15 Dec 1993</w:t>
            </w:r>
          </w:p>
        </w:tc>
        <w:tc>
          <w:tcPr>
            <w:tcW w:w="2558"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12"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276" w:type="dxa"/>
          </w:tcPr>
          <w:p>
            <w:pPr>
              <w:pStyle w:val="nTable"/>
              <w:spacing w:after="40"/>
            </w:pPr>
            <w:r>
              <w:t>16 Dec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276" w:type="dxa"/>
          </w:tcPr>
          <w:p>
            <w:pPr>
              <w:pStyle w:val="nTable"/>
              <w:spacing w:after="40"/>
            </w:pPr>
            <w:r>
              <w:t>16 Dec 1993</w:t>
            </w:r>
          </w:p>
        </w:tc>
        <w:tc>
          <w:tcPr>
            <w:tcW w:w="2558" w:type="dxa"/>
            <w:gridSpan w:val="2"/>
          </w:tcPr>
          <w:p>
            <w:pPr>
              <w:pStyle w:val="nTable"/>
              <w:spacing w:after="40"/>
            </w:pPr>
            <w:r>
              <w:t>23 Dec 1993 (see s. 2)</w:t>
            </w:r>
          </w:p>
        </w:tc>
      </w:tr>
      <w:tr>
        <w:trPr>
          <w:gridBefore w:val="1"/>
          <w:wBefore w:w="13" w:type="dxa"/>
          <w:cantSplit/>
        </w:trPr>
        <w:tc>
          <w:tcPr>
            <w:tcW w:w="2212"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276" w:type="dxa"/>
          </w:tcPr>
          <w:p>
            <w:pPr>
              <w:pStyle w:val="nTable"/>
              <w:spacing w:after="40"/>
            </w:pPr>
            <w:r>
              <w:t>22 Dec 1993</w:t>
            </w:r>
          </w:p>
        </w:tc>
        <w:tc>
          <w:tcPr>
            <w:tcW w:w="2558"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12"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276" w:type="dxa"/>
          </w:tcPr>
          <w:p>
            <w:pPr>
              <w:pStyle w:val="nTable"/>
              <w:spacing w:after="40"/>
            </w:pPr>
            <w:r>
              <w:t>15 Apr 1994</w:t>
            </w:r>
          </w:p>
        </w:tc>
        <w:tc>
          <w:tcPr>
            <w:tcW w:w="2558"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12"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276" w:type="dxa"/>
          </w:tcPr>
          <w:p>
            <w:pPr>
              <w:pStyle w:val="nTable"/>
              <w:spacing w:after="40"/>
            </w:pPr>
            <w:r>
              <w:t>22 Apr 1994</w:t>
            </w:r>
          </w:p>
        </w:tc>
        <w:tc>
          <w:tcPr>
            <w:tcW w:w="2558"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12"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276" w:type="dxa"/>
          </w:tcPr>
          <w:p>
            <w:pPr>
              <w:pStyle w:val="nTable"/>
              <w:spacing w:after="40"/>
            </w:pPr>
            <w:r>
              <w:t>29 Jun 1994</w:t>
            </w:r>
          </w:p>
        </w:tc>
        <w:tc>
          <w:tcPr>
            <w:tcW w:w="2558"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12"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276" w:type="dxa"/>
          </w:tcPr>
          <w:p>
            <w:pPr>
              <w:pStyle w:val="nTable"/>
              <w:spacing w:after="40"/>
            </w:pPr>
            <w:r>
              <w:t>8 Jul 1994</w:t>
            </w:r>
          </w:p>
        </w:tc>
        <w:tc>
          <w:tcPr>
            <w:tcW w:w="2558"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12" w:type="dxa"/>
          </w:tcPr>
          <w:p>
            <w:pPr>
              <w:pStyle w:val="nTable"/>
              <w:spacing w:after="40"/>
              <w:ind w:right="113"/>
            </w:pPr>
            <w:r>
              <w:rPr>
                <w:i/>
              </w:rPr>
              <w:t>Perth International Centre for Application of Solar Energy Act 1994</w:t>
            </w:r>
            <w:r>
              <w:t xml:space="preserve"> s. 35</w:t>
            </w:r>
          </w:p>
        </w:tc>
        <w:tc>
          <w:tcPr>
            <w:tcW w:w="1134" w:type="dxa"/>
          </w:tcPr>
          <w:p>
            <w:pPr>
              <w:pStyle w:val="nTable"/>
              <w:spacing w:after="40"/>
            </w:pPr>
            <w:r>
              <w:t>36 of 1994</w:t>
            </w:r>
          </w:p>
        </w:tc>
        <w:tc>
          <w:tcPr>
            <w:tcW w:w="1276" w:type="dxa"/>
          </w:tcPr>
          <w:p>
            <w:pPr>
              <w:pStyle w:val="nTable"/>
              <w:spacing w:after="40"/>
            </w:pPr>
            <w:r>
              <w:t>8 Jul 1994</w:t>
            </w:r>
          </w:p>
        </w:tc>
        <w:tc>
          <w:tcPr>
            <w:tcW w:w="2558"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12" w:type="dxa"/>
          </w:tcPr>
          <w:p>
            <w:pPr>
              <w:pStyle w:val="nTable"/>
              <w:spacing w:after="40"/>
              <w:ind w:right="113"/>
            </w:pPr>
            <w:r>
              <w:rPr>
                <w:i/>
              </w:rPr>
              <w:lastRenderedPageBreak/>
              <w:t>Acts Amendment (Coal Mining Industry) Act 1994</w:t>
            </w:r>
            <w:r>
              <w:t xml:space="preserve"> s. 23</w:t>
            </w:r>
          </w:p>
        </w:tc>
        <w:tc>
          <w:tcPr>
            <w:tcW w:w="1134" w:type="dxa"/>
          </w:tcPr>
          <w:p>
            <w:pPr>
              <w:pStyle w:val="nTable"/>
              <w:spacing w:after="40"/>
            </w:pPr>
            <w:r>
              <w:t>45 of 1994</w:t>
            </w:r>
          </w:p>
        </w:tc>
        <w:tc>
          <w:tcPr>
            <w:tcW w:w="1276" w:type="dxa"/>
          </w:tcPr>
          <w:p>
            <w:pPr>
              <w:pStyle w:val="nTable"/>
              <w:spacing w:after="40"/>
            </w:pPr>
            <w:r>
              <w:t>22 Sep 1994</w:t>
            </w:r>
          </w:p>
        </w:tc>
        <w:tc>
          <w:tcPr>
            <w:tcW w:w="2558" w:type="dxa"/>
            <w:gridSpan w:val="2"/>
          </w:tcPr>
          <w:p>
            <w:pPr>
              <w:pStyle w:val="nTable"/>
              <w:spacing w:after="40"/>
            </w:pPr>
            <w:r>
              <w:t>22 Sep 1994 (see s. 2(1))</w:t>
            </w:r>
          </w:p>
        </w:tc>
      </w:tr>
      <w:tr>
        <w:trPr>
          <w:gridBefore w:val="1"/>
          <w:wBefore w:w="13" w:type="dxa"/>
          <w:cantSplit/>
        </w:trPr>
        <w:tc>
          <w:tcPr>
            <w:tcW w:w="2212"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276" w:type="dxa"/>
          </w:tcPr>
          <w:p>
            <w:pPr>
              <w:pStyle w:val="nTable"/>
              <w:spacing w:after="40"/>
            </w:pPr>
            <w:r>
              <w:t>7 Nov 1994</w:t>
            </w:r>
          </w:p>
        </w:tc>
        <w:tc>
          <w:tcPr>
            <w:tcW w:w="2558"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12"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276" w:type="dxa"/>
          </w:tcPr>
          <w:p>
            <w:pPr>
              <w:pStyle w:val="nTable"/>
              <w:spacing w:after="40"/>
            </w:pPr>
            <w:r>
              <w:t>9 Dec 1994</w:t>
            </w:r>
          </w:p>
        </w:tc>
        <w:tc>
          <w:tcPr>
            <w:tcW w:w="2558" w:type="dxa"/>
            <w:gridSpan w:val="2"/>
          </w:tcPr>
          <w:p>
            <w:pPr>
              <w:pStyle w:val="nTable"/>
              <w:spacing w:after="40"/>
            </w:pPr>
            <w:r>
              <w:t>9 Dec 1994 (see s. 2)</w:t>
            </w:r>
          </w:p>
        </w:tc>
      </w:tr>
      <w:tr>
        <w:trPr>
          <w:gridBefore w:val="1"/>
          <w:wBefore w:w="13" w:type="dxa"/>
          <w:cantSplit/>
        </w:trPr>
        <w:tc>
          <w:tcPr>
            <w:tcW w:w="2212"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276" w:type="dxa"/>
          </w:tcPr>
          <w:p>
            <w:pPr>
              <w:pStyle w:val="nTable"/>
              <w:spacing w:after="40"/>
            </w:pPr>
            <w:r>
              <w:t>15 Dec 1994</w:t>
            </w:r>
          </w:p>
        </w:tc>
        <w:tc>
          <w:tcPr>
            <w:tcW w:w="2558"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12"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276" w:type="dxa"/>
          </w:tcPr>
          <w:p>
            <w:pPr>
              <w:pStyle w:val="nTable"/>
              <w:spacing w:after="40"/>
            </w:pPr>
            <w:r>
              <w:t>20 Dec 1994</w:t>
            </w:r>
          </w:p>
        </w:tc>
        <w:tc>
          <w:tcPr>
            <w:tcW w:w="2558"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12"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276" w:type="dxa"/>
          </w:tcPr>
          <w:p>
            <w:pPr>
              <w:pStyle w:val="nTable"/>
              <w:spacing w:after="40"/>
            </w:pPr>
            <w:r>
              <w:t>11 Jan 1995</w:t>
            </w:r>
          </w:p>
        </w:tc>
        <w:tc>
          <w:tcPr>
            <w:tcW w:w="2558"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12"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276" w:type="dxa"/>
          </w:tcPr>
          <w:p>
            <w:pPr>
              <w:pStyle w:val="nTable"/>
              <w:spacing w:after="40"/>
            </w:pPr>
            <w:r>
              <w:t>13 Jan 1995</w:t>
            </w:r>
          </w:p>
        </w:tc>
        <w:tc>
          <w:tcPr>
            <w:tcW w:w="2558"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12"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276" w:type="dxa"/>
          </w:tcPr>
          <w:p>
            <w:pPr>
              <w:pStyle w:val="nTable"/>
              <w:spacing w:after="40"/>
            </w:pPr>
            <w:r>
              <w:t>9 May 1995</w:t>
            </w:r>
          </w:p>
        </w:tc>
        <w:tc>
          <w:tcPr>
            <w:tcW w:w="2558"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12"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276" w:type="dxa"/>
          </w:tcPr>
          <w:p>
            <w:pPr>
              <w:pStyle w:val="nTable"/>
              <w:spacing w:after="40"/>
            </w:pPr>
            <w:r>
              <w:t>30 Jun 1995</w:t>
            </w:r>
          </w:p>
        </w:tc>
        <w:tc>
          <w:tcPr>
            <w:tcW w:w="2558"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12"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276" w:type="dxa"/>
          </w:tcPr>
          <w:p>
            <w:pPr>
              <w:pStyle w:val="nTable"/>
              <w:spacing w:after="40"/>
            </w:pPr>
            <w:r>
              <w:t>11 Sep 1995</w:t>
            </w:r>
          </w:p>
        </w:tc>
        <w:tc>
          <w:tcPr>
            <w:tcW w:w="2558"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12"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276" w:type="dxa"/>
          </w:tcPr>
          <w:p>
            <w:pPr>
              <w:pStyle w:val="nTable"/>
              <w:spacing w:after="40"/>
            </w:pPr>
            <w:r>
              <w:t>27 Dec 1995</w:t>
            </w:r>
          </w:p>
        </w:tc>
        <w:tc>
          <w:tcPr>
            <w:tcW w:w="2558"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12" w:type="dxa"/>
          </w:tcPr>
          <w:p>
            <w:pPr>
              <w:pStyle w:val="nTable"/>
              <w:spacing w:after="40"/>
              <w:ind w:right="113"/>
            </w:pPr>
            <w:r>
              <w:rPr>
                <w:i/>
              </w:rPr>
              <w:lastRenderedPageBreak/>
              <w:t>Water Agencies Restructure (Transitional and Consequential Provisions) Act 1995</w:t>
            </w:r>
            <w:r>
              <w:t xml:space="preserve"> s. 188</w:t>
            </w:r>
          </w:p>
        </w:tc>
        <w:tc>
          <w:tcPr>
            <w:tcW w:w="1134" w:type="dxa"/>
          </w:tcPr>
          <w:p>
            <w:pPr>
              <w:pStyle w:val="nTable"/>
              <w:spacing w:after="40"/>
            </w:pPr>
            <w:r>
              <w:t>73 of 1995</w:t>
            </w:r>
          </w:p>
        </w:tc>
        <w:tc>
          <w:tcPr>
            <w:tcW w:w="1276" w:type="dxa"/>
          </w:tcPr>
          <w:p>
            <w:pPr>
              <w:pStyle w:val="nTable"/>
              <w:spacing w:after="40"/>
            </w:pPr>
            <w:r>
              <w:t>27 Dec 1995</w:t>
            </w:r>
          </w:p>
        </w:tc>
        <w:tc>
          <w:tcPr>
            <w:tcW w:w="2558"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12"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276" w:type="dxa"/>
          </w:tcPr>
          <w:p>
            <w:pPr>
              <w:pStyle w:val="nTable"/>
              <w:spacing w:after="40"/>
            </w:pPr>
            <w:r>
              <w:t>9 Jan 1996</w:t>
            </w:r>
          </w:p>
        </w:tc>
        <w:tc>
          <w:tcPr>
            <w:tcW w:w="2558"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12"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276" w:type="dxa"/>
          </w:tcPr>
          <w:p>
            <w:pPr>
              <w:pStyle w:val="nTable"/>
              <w:spacing w:after="40"/>
            </w:pPr>
            <w:r>
              <w:t>24 May 1996</w:t>
            </w:r>
          </w:p>
        </w:tc>
        <w:tc>
          <w:tcPr>
            <w:tcW w:w="2558"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12"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276" w:type="dxa"/>
          </w:tcPr>
          <w:p>
            <w:pPr>
              <w:pStyle w:val="nTable"/>
              <w:spacing w:after="40"/>
            </w:pPr>
            <w:r>
              <w:t>28 Jun 1996</w:t>
            </w:r>
          </w:p>
        </w:tc>
        <w:tc>
          <w:tcPr>
            <w:tcW w:w="2558" w:type="dxa"/>
            <w:gridSpan w:val="2"/>
          </w:tcPr>
          <w:p>
            <w:pPr>
              <w:pStyle w:val="nTable"/>
              <w:spacing w:after="40"/>
            </w:pPr>
            <w:r>
              <w:t>1 Jul 1996 (see s. 2)</w:t>
            </w:r>
          </w:p>
        </w:tc>
      </w:tr>
      <w:tr>
        <w:trPr>
          <w:gridBefore w:val="1"/>
          <w:wBefore w:w="13" w:type="dxa"/>
          <w:cantSplit/>
        </w:trPr>
        <w:tc>
          <w:tcPr>
            <w:tcW w:w="2212"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276" w:type="dxa"/>
          </w:tcPr>
          <w:p>
            <w:pPr>
              <w:pStyle w:val="nTable"/>
              <w:spacing w:after="40"/>
            </w:pPr>
            <w:r>
              <w:t>28 Aug 1996</w:t>
            </w:r>
          </w:p>
        </w:tc>
        <w:tc>
          <w:tcPr>
            <w:tcW w:w="2558"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12"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276" w:type="dxa"/>
          </w:tcPr>
          <w:p>
            <w:pPr>
              <w:pStyle w:val="nTable"/>
              <w:spacing w:after="40"/>
            </w:pPr>
            <w:r>
              <w:t>25 Oct 1996</w:t>
            </w:r>
          </w:p>
        </w:tc>
        <w:tc>
          <w:tcPr>
            <w:tcW w:w="2558" w:type="dxa"/>
            <w:gridSpan w:val="2"/>
          </w:tcPr>
          <w:p>
            <w:pPr>
              <w:pStyle w:val="nTable"/>
              <w:spacing w:after="40"/>
            </w:pPr>
            <w:r>
              <w:t>25 Oct 1996 (see s. 2(1))</w:t>
            </w:r>
          </w:p>
        </w:tc>
      </w:tr>
      <w:tr>
        <w:trPr>
          <w:gridBefore w:val="1"/>
          <w:wBefore w:w="13" w:type="dxa"/>
          <w:cantSplit/>
        </w:trPr>
        <w:tc>
          <w:tcPr>
            <w:tcW w:w="2212"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276" w:type="dxa"/>
          </w:tcPr>
          <w:p>
            <w:pPr>
              <w:pStyle w:val="nTable"/>
              <w:spacing w:after="40"/>
            </w:pPr>
            <w:r>
              <w:t>14 Nov 1996</w:t>
            </w:r>
          </w:p>
        </w:tc>
        <w:tc>
          <w:tcPr>
            <w:tcW w:w="2558" w:type="dxa"/>
            <w:gridSpan w:val="2"/>
          </w:tcPr>
          <w:p>
            <w:pPr>
              <w:pStyle w:val="nTable"/>
              <w:spacing w:after="40"/>
            </w:pPr>
            <w:r>
              <w:t>14 Nov 1996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12"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276" w:type="dxa"/>
          </w:tcPr>
          <w:p>
            <w:pPr>
              <w:pStyle w:val="nTable"/>
              <w:spacing w:after="40"/>
            </w:pPr>
            <w:r>
              <w:t>9 Dec 1997</w:t>
            </w:r>
          </w:p>
        </w:tc>
        <w:tc>
          <w:tcPr>
            <w:tcW w:w="2558"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12"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276" w:type="dxa"/>
          </w:tcPr>
          <w:p>
            <w:pPr>
              <w:pStyle w:val="nTable"/>
              <w:spacing w:after="40"/>
            </w:pPr>
            <w:r>
              <w:t>30 Apr 1998</w:t>
            </w:r>
          </w:p>
        </w:tc>
        <w:tc>
          <w:tcPr>
            <w:tcW w:w="2558" w:type="dxa"/>
            <w:gridSpan w:val="2"/>
          </w:tcPr>
          <w:p>
            <w:pPr>
              <w:pStyle w:val="nTable"/>
              <w:spacing w:after="40"/>
            </w:pPr>
            <w:r>
              <w:t>30 Apr 1998 (see s. 2(1))</w:t>
            </w:r>
          </w:p>
        </w:tc>
      </w:tr>
      <w:tr>
        <w:trPr>
          <w:gridBefore w:val="1"/>
          <w:wBefore w:w="13" w:type="dxa"/>
          <w:cantSplit/>
        </w:trPr>
        <w:tc>
          <w:tcPr>
            <w:tcW w:w="2212" w:type="dxa"/>
          </w:tcPr>
          <w:p>
            <w:pPr>
              <w:pStyle w:val="nTable"/>
              <w:spacing w:after="40"/>
              <w:ind w:right="113"/>
            </w:pPr>
            <w:r>
              <w:rPr>
                <w:i/>
              </w:rPr>
              <w:t>Gas Pipelines Access (Western Australia) Act 1998</w:t>
            </w:r>
            <w:r>
              <w:t xml:space="preserve"> Sch. 3 Div. 8</w:t>
            </w:r>
          </w:p>
        </w:tc>
        <w:tc>
          <w:tcPr>
            <w:tcW w:w="1134" w:type="dxa"/>
          </w:tcPr>
          <w:p>
            <w:pPr>
              <w:pStyle w:val="nTable"/>
              <w:spacing w:after="40"/>
            </w:pPr>
            <w:r>
              <w:t>65 of 1998</w:t>
            </w:r>
          </w:p>
        </w:tc>
        <w:tc>
          <w:tcPr>
            <w:tcW w:w="1276" w:type="dxa"/>
          </w:tcPr>
          <w:p>
            <w:pPr>
              <w:pStyle w:val="nTable"/>
              <w:spacing w:after="40"/>
            </w:pPr>
            <w:r>
              <w:t>15 Jan 1999</w:t>
            </w:r>
          </w:p>
        </w:tc>
        <w:tc>
          <w:tcPr>
            <w:tcW w:w="2558"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12" w:type="dxa"/>
          </w:tcPr>
          <w:p>
            <w:pPr>
              <w:pStyle w:val="nTable"/>
              <w:spacing w:after="40"/>
              <w:ind w:right="113"/>
            </w:pPr>
            <w:r>
              <w:rPr>
                <w:i/>
              </w:rPr>
              <w:lastRenderedPageBreak/>
              <w:t xml:space="preserve">Prisons Amendment Act 1999 </w:t>
            </w:r>
            <w:r>
              <w:t>s. 20 (Sch. 1 cl. 5)</w:t>
            </w:r>
          </w:p>
        </w:tc>
        <w:tc>
          <w:tcPr>
            <w:tcW w:w="1134" w:type="dxa"/>
          </w:tcPr>
          <w:p>
            <w:pPr>
              <w:pStyle w:val="nTable"/>
              <w:spacing w:after="40"/>
            </w:pPr>
            <w:r>
              <w:t>43 of 1999</w:t>
            </w:r>
          </w:p>
        </w:tc>
        <w:tc>
          <w:tcPr>
            <w:tcW w:w="1276" w:type="dxa"/>
          </w:tcPr>
          <w:p>
            <w:pPr>
              <w:pStyle w:val="nTable"/>
              <w:spacing w:after="40"/>
            </w:pPr>
            <w:r>
              <w:t>8 Dec 1999</w:t>
            </w:r>
          </w:p>
        </w:tc>
        <w:tc>
          <w:tcPr>
            <w:tcW w:w="2558"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12"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276" w:type="dxa"/>
          </w:tcPr>
          <w:p>
            <w:pPr>
              <w:pStyle w:val="nTable"/>
              <w:spacing w:after="40"/>
            </w:pPr>
            <w:r>
              <w:t>8 Dec 1999</w:t>
            </w:r>
          </w:p>
        </w:tc>
        <w:tc>
          <w:tcPr>
            <w:tcW w:w="2558"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12"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276" w:type="dxa"/>
          </w:tcPr>
          <w:p>
            <w:pPr>
              <w:pStyle w:val="nTable"/>
              <w:spacing w:after="40"/>
            </w:pPr>
            <w:r>
              <w:t>28 Nov 2000</w:t>
            </w:r>
          </w:p>
        </w:tc>
        <w:tc>
          <w:tcPr>
            <w:tcW w:w="2558" w:type="dxa"/>
            <w:gridSpan w:val="2"/>
          </w:tcPr>
          <w:p>
            <w:pPr>
              <w:pStyle w:val="nTable"/>
              <w:spacing w:after="40"/>
            </w:pPr>
            <w:r>
              <w:t>28 Nov 2000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12"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276" w:type="dxa"/>
          </w:tcPr>
          <w:p>
            <w:pPr>
              <w:pStyle w:val="nTable"/>
              <w:spacing w:after="40"/>
            </w:pPr>
            <w:r>
              <w:t>26 Jun 2003</w:t>
            </w:r>
          </w:p>
        </w:tc>
        <w:tc>
          <w:tcPr>
            <w:tcW w:w="2558"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12"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276" w:type="dxa"/>
          </w:tcPr>
          <w:p>
            <w:pPr>
              <w:pStyle w:val="nTable"/>
              <w:spacing w:after="40"/>
            </w:pPr>
            <w:r>
              <w:t>8 Oct 2003</w:t>
            </w:r>
          </w:p>
        </w:tc>
        <w:tc>
          <w:tcPr>
            <w:tcW w:w="2558"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12" w:type="dxa"/>
          </w:tcPr>
          <w:p>
            <w:pPr>
              <w:pStyle w:val="nTable"/>
              <w:spacing w:after="40"/>
              <w:ind w:right="113"/>
              <w:rPr>
                <w:i/>
                <w:vertAlign w:val="superscript"/>
              </w:rPr>
            </w:pPr>
            <w:r>
              <w:rPr>
                <w:i/>
              </w:rPr>
              <w:t>Economic Regulation Authority Act 2003</w:t>
            </w:r>
            <w:r>
              <w:t xml:space="preserve"> Sch. 2 Div. 10</w:t>
            </w:r>
          </w:p>
        </w:tc>
        <w:tc>
          <w:tcPr>
            <w:tcW w:w="1134" w:type="dxa"/>
          </w:tcPr>
          <w:p>
            <w:pPr>
              <w:pStyle w:val="nTable"/>
              <w:spacing w:after="40"/>
            </w:pPr>
            <w:r>
              <w:t>67 of 2003</w:t>
            </w:r>
          </w:p>
        </w:tc>
        <w:tc>
          <w:tcPr>
            <w:tcW w:w="1276" w:type="dxa"/>
          </w:tcPr>
          <w:p>
            <w:pPr>
              <w:pStyle w:val="nTable"/>
              <w:spacing w:after="40"/>
            </w:pPr>
            <w:r>
              <w:t>5 Dec 2003</w:t>
            </w:r>
          </w:p>
        </w:tc>
        <w:tc>
          <w:tcPr>
            <w:tcW w:w="2558"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12" w:type="dxa"/>
          </w:tcPr>
          <w:p>
            <w:pPr>
              <w:pStyle w:val="nTable"/>
              <w:spacing w:after="40"/>
              <w:ind w:right="113"/>
            </w:pPr>
            <w:r>
              <w:rPr>
                <w:i/>
              </w:rPr>
              <w:t>Statutes (Repeals and Minor Amendments) Act 2003</w:t>
            </w:r>
            <w:r>
              <w:t xml:space="preserve"> s. 91</w:t>
            </w:r>
            <w:r>
              <w:rPr>
                <w:vertAlign w:val="superscript"/>
              </w:rPr>
              <w:t> 5</w:t>
            </w:r>
          </w:p>
        </w:tc>
        <w:tc>
          <w:tcPr>
            <w:tcW w:w="1134" w:type="dxa"/>
          </w:tcPr>
          <w:p>
            <w:pPr>
              <w:pStyle w:val="nTable"/>
              <w:spacing w:after="40"/>
            </w:pPr>
            <w:r>
              <w:t>74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rPr>
                <w:i/>
              </w:rPr>
            </w:pPr>
            <w:r>
              <w:rPr>
                <w:i/>
              </w:rPr>
              <w:t xml:space="preserve">Corruption and Crime Commission Amendment and Repeal Act 2003 </w:t>
            </w:r>
            <w:r>
              <w:t>s. 72</w:t>
            </w:r>
            <w:r>
              <w:noBreakHyphen/>
              <w:t>74</w:t>
            </w:r>
            <w:r>
              <w:rPr>
                <w:vertAlign w:val="superscript"/>
              </w:rPr>
              <w:t> 6</w:t>
            </w:r>
          </w:p>
        </w:tc>
        <w:tc>
          <w:tcPr>
            <w:tcW w:w="1134" w:type="dxa"/>
          </w:tcPr>
          <w:p>
            <w:pPr>
              <w:pStyle w:val="nTable"/>
              <w:spacing w:after="40"/>
            </w:pPr>
            <w:r>
              <w:t>78 of 2003</w:t>
            </w:r>
          </w:p>
        </w:tc>
        <w:tc>
          <w:tcPr>
            <w:tcW w:w="1276" w:type="dxa"/>
          </w:tcPr>
          <w:p>
            <w:pPr>
              <w:pStyle w:val="nTable"/>
              <w:spacing w:after="40"/>
            </w:pPr>
            <w:r>
              <w:t>22 Dec 2003</w:t>
            </w:r>
          </w:p>
        </w:tc>
        <w:tc>
          <w:tcPr>
            <w:tcW w:w="2558"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180" w:type="dxa"/>
            <w:gridSpan w:val="5"/>
          </w:tcPr>
          <w:p>
            <w:pPr>
              <w:pStyle w:val="nTable"/>
              <w:spacing w:after="40"/>
            </w:pPr>
            <w:r>
              <w:rPr>
                <w:b/>
              </w:rPr>
              <w:lastRenderedPageBreak/>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12"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276" w:type="dxa"/>
          </w:tcPr>
          <w:p>
            <w:pPr>
              <w:pStyle w:val="nTable"/>
              <w:spacing w:after="40"/>
            </w:pPr>
            <w:r>
              <w:t>20 Oct 2004</w:t>
            </w:r>
          </w:p>
        </w:tc>
        <w:tc>
          <w:tcPr>
            <w:tcW w:w="2558"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12"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276" w:type="dxa"/>
          </w:tcPr>
          <w:p>
            <w:pPr>
              <w:pStyle w:val="nTable"/>
              <w:spacing w:after="40"/>
            </w:pPr>
            <w:r>
              <w:t>23 Nov 2004</w:t>
            </w:r>
          </w:p>
        </w:tc>
        <w:tc>
          <w:tcPr>
            <w:tcW w:w="2558"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12"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276" w:type="dxa"/>
          </w:tcPr>
          <w:p>
            <w:pPr>
              <w:pStyle w:val="nTable"/>
              <w:spacing w:after="40"/>
            </w:pPr>
            <w:r>
              <w:t>23 Nov 2004</w:t>
            </w:r>
          </w:p>
        </w:tc>
        <w:tc>
          <w:tcPr>
            <w:tcW w:w="2558"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12"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7</w:t>
            </w:r>
          </w:p>
        </w:tc>
        <w:tc>
          <w:tcPr>
            <w:tcW w:w="1134" w:type="dxa"/>
          </w:tcPr>
          <w:p>
            <w:pPr>
              <w:pStyle w:val="nTable"/>
              <w:spacing w:after="40"/>
            </w:pPr>
            <w:r>
              <w:t>55 of 2004</w:t>
            </w:r>
          </w:p>
        </w:tc>
        <w:tc>
          <w:tcPr>
            <w:tcW w:w="1276" w:type="dxa"/>
          </w:tcPr>
          <w:p>
            <w:pPr>
              <w:pStyle w:val="nTable"/>
              <w:spacing w:after="40"/>
            </w:pPr>
            <w:r>
              <w:t>24 Nov 2004</w:t>
            </w:r>
          </w:p>
        </w:tc>
        <w:tc>
          <w:tcPr>
            <w:tcW w:w="2558"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12"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276" w:type="dxa"/>
          </w:tcPr>
          <w:p>
            <w:pPr>
              <w:pStyle w:val="nTable"/>
              <w:spacing w:after="40"/>
            </w:pPr>
            <w:r>
              <w:rPr>
                <w:snapToGrid w:val="0"/>
              </w:rPr>
              <w:t>21 Dec 2006</w:t>
            </w:r>
          </w:p>
        </w:tc>
        <w:tc>
          <w:tcPr>
            <w:tcW w:w="2558"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180" w:type="dxa"/>
            <w:gridSpan w:val="5"/>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12"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276" w:type="dxa"/>
          </w:tcPr>
          <w:p>
            <w:pPr>
              <w:pStyle w:val="nTable"/>
              <w:spacing w:after="40"/>
            </w:pPr>
            <w:r>
              <w:rPr>
                <w:snapToGrid w:val="0"/>
              </w:rPr>
              <w:t>29 Jun 2009</w:t>
            </w:r>
          </w:p>
        </w:tc>
        <w:tc>
          <w:tcPr>
            <w:tcW w:w="2558"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12"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276" w:type="dxa"/>
          </w:tcPr>
          <w:p>
            <w:pPr>
              <w:pStyle w:val="nTable"/>
              <w:spacing w:after="40"/>
              <w:rPr>
                <w:snapToGrid w:val="0"/>
              </w:rPr>
            </w:pPr>
            <w:r>
              <w:t>1 Sep 2009</w:t>
            </w:r>
          </w:p>
        </w:tc>
        <w:tc>
          <w:tcPr>
            <w:tcW w:w="2558"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12"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276" w:type="dxa"/>
          </w:tcPr>
          <w:p>
            <w:pPr>
              <w:pStyle w:val="nTable"/>
              <w:spacing w:after="40"/>
            </w:pPr>
            <w:r>
              <w:t>16 Sep 2009</w:t>
            </w:r>
          </w:p>
        </w:tc>
        <w:tc>
          <w:tcPr>
            <w:tcW w:w="2558" w:type="dxa"/>
            <w:gridSpan w:val="2"/>
          </w:tcPr>
          <w:p>
            <w:pPr>
              <w:pStyle w:val="nTable"/>
              <w:spacing w:after="40"/>
            </w:pPr>
            <w:r>
              <w:t>17 Sep 2009 (see s. 2(b))</w:t>
            </w:r>
          </w:p>
        </w:tc>
      </w:tr>
      <w:tr>
        <w:trPr>
          <w:gridBefore w:val="1"/>
          <w:wBefore w:w="13" w:type="dxa"/>
          <w:cantSplit/>
        </w:trPr>
        <w:tc>
          <w:tcPr>
            <w:tcW w:w="2212"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276" w:type="dxa"/>
          </w:tcPr>
          <w:p>
            <w:pPr>
              <w:pStyle w:val="nTable"/>
              <w:spacing w:after="40"/>
            </w:pPr>
            <w:r>
              <w:rPr>
                <w:snapToGrid w:val="0"/>
              </w:rPr>
              <w:t>28 Jun 2010</w:t>
            </w:r>
          </w:p>
        </w:tc>
        <w:tc>
          <w:tcPr>
            <w:tcW w:w="2558"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12"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276" w:type="dxa"/>
          </w:tcPr>
          <w:p>
            <w:pPr>
              <w:pStyle w:val="nTable"/>
              <w:spacing w:after="40"/>
              <w:rPr>
                <w:snapToGrid w:val="0"/>
              </w:rPr>
            </w:pPr>
            <w:r>
              <w:rPr>
                <w:snapToGrid w:val="0"/>
              </w:rPr>
              <w:t>1 Oct 2010</w:t>
            </w:r>
          </w:p>
        </w:tc>
        <w:tc>
          <w:tcPr>
            <w:tcW w:w="2558"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180" w:type="dxa"/>
            <w:gridSpan w:val="5"/>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12" w:type="dxa"/>
          </w:tcPr>
          <w:p>
            <w:pPr>
              <w:pStyle w:val="nTable"/>
              <w:spacing w:after="40"/>
              <w:rPr>
                <w:i/>
                <w:snapToGrid w:val="0"/>
              </w:rPr>
            </w:pPr>
            <w:r>
              <w:rPr>
                <w:i/>
              </w:rPr>
              <w:t>Water Services Legislation Amendment and Repeal Act 2012</w:t>
            </w:r>
            <w:r>
              <w:t xml:space="preserve"> s. 221</w:t>
            </w:r>
          </w:p>
        </w:tc>
        <w:tc>
          <w:tcPr>
            <w:tcW w:w="1134" w:type="dxa"/>
          </w:tcPr>
          <w:p>
            <w:pPr>
              <w:pStyle w:val="nTable"/>
              <w:spacing w:after="40"/>
              <w:rPr>
                <w:snapToGrid w:val="0"/>
              </w:rPr>
            </w:pPr>
            <w:r>
              <w:t>25 of 2012</w:t>
            </w:r>
          </w:p>
        </w:tc>
        <w:tc>
          <w:tcPr>
            <w:tcW w:w="1276" w:type="dxa"/>
          </w:tcPr>
          <w:p>
            <w:pPr>
              <w:pStyle w:val="nTable"/>
              <w:spacing w:after="40"/>
              <w:rPr>
                <w:snapToGrid w:val="0"/>
              </w:rPr>
            </w:pPr>
            <w:r>
              <w:t>3 Sep 2012</w:t>
            </w:r>
          </w:p>
        </w:tc>
        <w:tc>
          <w:tcPr>
            <w:tcW w:w="2558"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7" w:type="dxa"/>
        </w:trPr>
        <w:tc>
          <w:tcPr>
            <w:tcW w:w="2225" w:type="dxa"/>
            <w:gridSpan w:val="2"/>
            <w:tcBorders>
              <w:top w:val="nil"/>
              <w:bottom w:val="nil"/>
            </w:tcBorders>
          </w:tcPr>
          <w:p>
            <w:pPr>
              <w:pStyle w:val="nTable"/>
              <w:spacing w:after="40"/>
              <w:rPr>
                <w:vertAlign w:val="superscript"/>
              </w:rPr>
            </w:pPr>
            <w:r>
              <w:rPr>
                <w:i/>
              </w:rPr>
              <w:lastRenderedPageBreak/>
              <w:t>Mental Health Legislation Amendment Act 2014</w:t>
            </w:r>
            <w:r>
              <w:t xml:space="preserve"> Pt. 4 Div. 4 Subdiv. 18</w:t>
            </w:r>
          </w:p>
        </w:tc>
        <w:tc>
          <w:tcPr>
            <w:tcW w:w="1134" w:type="dxa"/>
            <w:tcBorders>
              <w:top w:val="nil"/>
              <w:bottom w:val="nil"/>
            </w:tcBorders>
          </w:tcPr>
          <w:p>
            <w:pPr>
              <w:pStyle w:val="nTable"/>
              <w:spacing w:after="40"/>
              <w:rPr>
                <w:snapToGrid w:val="0"/>
              </w:rPr>
            </w:pPr>
            <w:r>
              <w:rPr>
                <w:snapToGrid w:val="0"/>
              </w:rPr>
              <w:t>25 of 2014</w:t>
            </w:r>
          </w:p>
        </w:tc>
        <w:tc>
          <w:tcPr>
            <w:tcW w:w="1276" w:type="dxa"/>
            <w:tcBorders>
              <w:top w:val="nil"/>
              <w:bottom w:val="nil"/>
            </w:tcBorders>
          </w:tcPr>
          <w:p>
            <w:pPr>
              <w:pStyle w:val="nTable"/>
              <w:spacing w:after="40"/>
              <w:rPr>
                <w:snapToGrid w:val="0"/>
              </w:rPr>
            </w:pPr>
            <w:r>
              <w:t>3 Nov 2014</w:t>
            </w:r>
          </w:p>
        </w:tc>
        <w:tc>
          <w:tcPr>
            <w:tcW w:w="2551" w:type="dxa"/>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12" w:type="dxa"/>
          </w:tcPr>
          <w:p>
            <w:pPr>
              <w:pStyle w:val="nTable"/>
              <w:spacing w:after="40"/>
              <w:rPr>
                <w:i/>
              </w:rPr>
            </w:pPr>
            <w:r>
              <w:rPr>
                <w:i/>
                <w:snapToGrid w:val="0"/>
              </w:rPr>
              <w:t>Corruption and Crime Commission Amendment (Misconduct) Act 2014</w:t>
            </w:r>
            <w:r>
              <w:rPr>
                <w:snapToGrid w:val="0"/>
              </w:rPr>
              <w:t xml:space="preserve"> s. 36</w:t>
            </w:r>
          </w:p>
        </w:tc>
        <w:tc>
          <w:tcPr>
            <w:tcW w:w="1134" w:type="dxa"/>
          </w:tcPr>
          <w:p>
            <w:pPr>
              <w:pStyle w:val="nTable"/>
              <w:spacing w:after="40"/>
            </w:pPr>
            <w:r>
              <w:rPr>
                <w:snapToGrid w:val="0"/>
              </w:rPr>
              <w:t>35 of 2014</w:t>
            </w:r>
          </w:p>
        </w:tc>
        <w:tc>
          <w:tcPr>
            <w:tcW w:w="1276" w:type="dxa"/>
          </w:tcPr>
          <w:p>
            <w:pPr>
              <w:pStyle w:val="nTable"/>
              <w:spacing w:after="40"/>
            </w:pPr>
            <w:r>
              <w:t>9 Dec 2014</w:t>
            </w:r>
          </w:p>
        </w:tc>
        <w:tc>
          <w:tcPr>
            <w:tcW w:w="2558"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12" w:type="dxa"/>
            <w:shd w:val="clear" w:color="auto" w:fill="auto"/>
          </w:tcPr>
          <w:p>
            <w:pPr>
              <w:pStyle w:val="nTable"/>
              <w:spacing w:after="40"/>
              <w:rPr>
                <w:i/>
              </w:rPr>
            </w:pPr>
            <w:r>
              <w:rPr>
                <w:i/>
              </w:rPr>
              <w:t>Declared Places (Mentally Impaired Accused) Act 2015</w:t>
            </w:r>
            <w:r>
              <w:t xml:space="preserve"> s. 87</w:t>
            </w:r>
          </w:p>
        </w:tc>
        <w:tc>
          <w:tcPr>
            <w:tcW w:w="1134" w:type="dxa"/>
            <w:shd w:val="clear" w:color="auto" w:fill="auto"/>
          </w:tcPr>
          <w:p>
            <w:pPr>
              <w:pStyle w:val="nTable"/>
              <w:spacing w:after="40"/>
            </w:pPr>
            <w:r>
              <w:rPr>
                <w:snapToGrid w:val="0"/>
              </w:rPr>
              <w:t>4 of 2015</w:t>
            </w:r>
          </w:p>
        </w:tc>
        <w:tc>
          <w:tcPr>
            <w:tcW w:w="1276" w:type="dxa"/>
            <w:shd w:val="clear" w:color="auto" w:fill="auto"/>
          </w:tcPr>
          <w:p>
            <w:pPr>
              <w:pStyle w:val="nTable"/>
              <w:spacing w:after="40"/>
            </w:pPr>
            <w:r>
              <w:t>3 Mar 2015</w:t>
            </w:r>
          </w:p>
        </w:tc>
        <w:tc>
          <w:tcPr>
            <w:tcW w:w="2558"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180" w:type="dxa"/>
            <w:gridSpan w:val="5"/>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trPr>
          <w:gridBefore w:val="1"/>
          <w:wBefore w:w="13" w:type="dxa"/>
          <w:cantSplit/>
        </w:trPr>
        <w:tc>
          <w:tcPr>
            <w:tcW w:w="2212" w:type="dxa"/>
            <w:shd w:val="clear" w:color="auto" w:fill="auto"/>
          </w:tcPr>
          <w:p>
            <w:pPr>
              <w:pStyle w:val="nTable"/>
              <w:spacing w:after="40"/>
              <w:rPr>
                <w:b/>
                <w:snapToGrid w:val="0"/>
              </w:rPr>
            </w:pPr>
            <w:r>
              <w:rPr>
                <w:i/>
                <w:snapToGrid w:val="0"/>
              </w:rPr>
              <w:t>Local Government Legislation Amendment Act 2016</w:t>
            </w:r>
            <w:r>
              <w:rPr>
                <w:snapToGrid w:val="0"/>
              </w:rPr>
              <w:t xml:space="preserve"> Pt. 3 Div. 26</w:t>
            </w:r>
          </w:p>
        </w:tc>
        <w:tc>
          <w:tcPr>
            <w:tcW w:w="1134" w:type="dxa"/>
            <w:shd w:val="clear" w:color="auto" w:fill="auto"/>
          </w:tcPr>
          <w:p>
            <w:pPr>
              <w:pStyle w:val="nTable"/>
              <w:spacing w:after="40"/>
              <w:rPr>
                <w:b/>
                <w:snapToGrid w:val="0"/>
              </w:rPr>
            </w:pPr>
            <w:r>
              <w:t>26 of 2016</w:t>
            </w:r>
          </w:p>
        </w:tc>
        <w:tc>
          <w:tcPr>
            <w:tcW w:w="1276" w:type="dxa"/>
            <w:shd w:val="clear" w:color="auto" w:fill="auto"/>
          </w:tcPr>
          <w:p>
            <w:pPr>
              <w:pStyle w:val="nTable"/>
              <w:spacing w:after="40"/>
              <w:rPr>
                <w:b/>
                <w:snapToGrid w:val="0"/>
              </w:rPr>
            </w:pPr>
            <w:r>
              <w:t>21 Sep 2016</w:t>
            </w:r>
          </w:p>
        </w:tc>
        <w:tc>
          <w:tcPr>
            <w:tcW w:w="2558" w:type="dxa"/>
            <w:gridSpan w:val="2"/>
            <w:shd w:val="clear" w:color="auto" w:fill="auto"/>
          </w:tcPr>
          <w:p>
            <w:pPr>
              <w:pStyle w:val="nTable"/>
              <w:spacing w:after="40"/>
              <w:rPr>
                <w:b/>
                <w:snapToGrid w:val="0"/>
              </w:rPr>
            </w:pPr>
            <w:r>
              <w:rPr>
                <w:snapToGrid w:val="0"/>
              </w:rPr>
              <w:t xml:space="preserve">21 Jan 2017 (see s. 2(b) and </w:t>
            </w:r>
            <w:r>
              <w:rPr>
                <w:i/>
                <w:snapToGrid w:val="0"/>
              </w:rPr>
              <w:t>Gazette</w:t>
            </w:r>
            <w:r>
              <w:rPr>
                <w:snapToGrid w:val="0"/>
              </w:rPr>
              <w:t xml:space="preserve"> 20 Jan 2017 p. 648)</w:t>
            </w:r>
          </w:p>
        </w:tc>
      </w:tr>
      <w:tr>
        <w:trPr>
          <w:gridBefore w:val="1"/>
          <w:wBefore w:w="13" w:type="dxa"/>
          <w:cantSplit/>
        </w:trPr>
        <w:tc>
          <w:tcPr>
            <w:tcW w:w="2212" w:type="dxa"/>
            <w:tcBorders>
              <w:bottom w:val="single" w:sz="4" w:space="0" w:color="auto"/>
            </w:tcBorders>
            <w:shd w:val="clear" w:color="auto" w:fill="auto"/>
          </w:tcPr>
          <w:p>
            <w:pPr>
              <w:pStyle w:val="nTable"/>
              <w:spacing w:after="40"/>
              <w:rPr>
                <w:i/>
                <w:snapToGrid w:val="0"/>
              </w:rPr>
            </w:pPr>
            <w:r>
              <w:rPr>
                <w:i/>
              </w:rPr>
              <w:t>Parliamentary Commissioner Amendment (Reportable Conduct) Act 2022</w:t>
            </w:r>
          </w:p>
        </w:tc>
        <w:tc>
          <w:tcPr>
            <w:tcW w:w="1134" w:type="dxa"/>
            <w:tcBorders>
              <w:bottom w:val="single" w:sz="4" w:space="0" w:color="auto"/>
            </w:tcBorders>
            <w:shd w:val="clear" w:color="auto" w:fill="auto"/>
          </w:tcPr>
          <w:p>
            <w:pPr>
              <w:pStyle w:val="nTable"/>
              <w:spacing w:after="40"/>
            </w:pPr>
            <w:r>
              <w:t>25 of 2022</w:t>
            </w:r>
          </w:p>
        </w:tc>
        <w:tc>
          <w:tcPr>
            <w:tcW w:w="1276" w:type="dxa"/>
            <w:tcBorders>
              <w:bottom w:val="single" w:sz="4" w:space="0" w:color="auto"/>
            </w:tcBorders>
            <w:shd w:val="clear" w:color="auto" w:fill="auto"/>
          </w:tcPr>
          <w:p>
            <w:pPr>
              <w:pStyle w:val="nTable"/>
              <w:spacing w:after="40"/>
            </w:pPr>
            <w:r>
              <w:t>19 Aug 2022</w:t>
            </w:r>
          </w:p>
        </w:tc>
        <w:tc>
          <w:tcPr>
            <w:tcW w:w="2558" w:type="dxa"/>
            <w:gridSpan w:val="2"/>
            <w:tcBorders>
              <w:bottom w:val="single" w:sz="4" w:space="0" w:color="auto"/>
            </w:tcBorders>
            <w:shd w:val="clear" w:color="auto" w:fill="auto"/>
          </w:tcPr>
          <w:p>
            <w:pPr>
              <w:pStyle w:val="nTable"/>
              <w:spacing w:after="40"/>
              <w:rPr>
                <w:snapToGrid w:val="0"/>
              </w:rPr>
            </w:pPr>
            <w:r>
              <w:rPr>
                <w:snapToGrid w:val="0"/>
              </w:rPr>
              <w:t>Pt. 1: 19 Aug 2022 (see s. 2(a));</w:t>
            </w:r>
            <w:r>
              <w:rPr>
                <w:snapToGrid w:val="0"/>
              </w:rPr>
              <w:br/>
              <w:t>Act other than Pt. 1 and Pt. 2 Div. 2: 1 Jan 2023 (see s. 2(c) and SL 2022/206 cl. 2);</w:t>
            </w:r>
            <w:r>
              <w:rPr>
                <w:snapToGrid w:val="0"/>
              </w:rPr>
              <w:br/>
              <w:t xml:space="preserve">Pt. 2 Div. 2: </w:t>
            </w:r>
            <w:r>
              <w:t>1 Jan 2024 (see s. 2(b))</w:t>
            </w:r>
          </w:p>
        </w:tc>
      </w:tr>
    </w:tbl>
    <w:p>
      <w:pPr>
        <w:pStyle w:val="nHeading3"/>
      </w:pPr>
      <w:bookmarkStart w:id="226" w:name="_Toc174950885"/>
      <w:r>
        <w:t>Uncommenced provisions table</w:t>
      </w:r>
      <w:bookmarkEnd w:id="226"/>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68" w:type="dxa"/>
            <w:shd w:val="clear" w:color="auto" w:fill="auto"/>
          </w:tcPr>
          <w:p>
            <w:pPr>
              <w:pStyle w:val="nTable"/>
              <w:spacing w:after="40"/>
              <w:ind w:right="113"/>
              <w:rPr>
                <w:i/>
              </w:rPr>
            </w:pPr>
            <w:r>
              <w:rPr>
                <w:i/>
              </w:rPr>
              <w:t>State Superannuation (Transitional and Consequential Provisions) Act 2000</w:t>
            </w:r>
            <w:r>
              <w:t xml:space="preserve"> s. 75</w:t>
            </w:r>
          </w:p>
        </w:tc>
        <w:tc>
          <w:tcPr>
            <w:tcW w:w="1134" w:type="dxa"/>
            <w:shd w:val="clear" w:color="auto" w:fill="auto"/>
          </w:tcPr>
          <w:p>
            <w:pPr>
              <w:pStyle w:val="nTable"/>
              <w:spacing w:after="40"/>
            </w:pPr>
            <w:r>
              <w:t>43 of 2000</w:t>
            </w:r>
          </w:p>
        </w:tc>
        <w:tc>
          <w:tcPr>
            <w:tcW w:w="1134" w:type="dxa"/>
            <w:shd w:val="clear" w:color="auto" w:fill="auto"/>
          </w:tcPr>
          <w:p>
            <w:pPr>
              <w:pStyle w:val="nTable"/>
              <w:spacing w:after="40"/>
            </w:pPr>
            <w:r>
              <w:t>2 Nov 2000</w:t>
            </w:r>
          </w:p>
        </w:tc>
        <w:tc>
          <w:tcPr>
            <w:tcW w:w="2552" w:type="dxa"/>
            <w:shd w:val="clear" w:color="auto" w:fill="auto"/>
          </w:tcPr>
          <w:p>
            <w:pPr>
              <w:pStyle w:val="nTable"/>
              <w:spacing w:after="40"/>
            </w:pPr>
            <w:r>
              <w:t>To be proclaimed (see s. 2(2))</w:t>
            </w:r>
          </w:p>
        </w:tc>
      </w:tr>
      <w:tr>
        <w:trPr>
          <w:cantSplit/>
        </w:trPr>
        <w:tc>
          <w:tcPr>
            <w:tcW w:w="2268" w:type="dxa"/>
            <w:shd w:val="clear" w:color="auto" w:fill="auto"/>
          </w:tcPr>
          <w:p>
            <w:pPr>
              <w:pStyle w:val="nTable"/>
              <w:spacing w:after="40"/>
              <w:ind w:right="113"/>
              <w:rPr>
                <w:i/>
              </w:rPr>
            </w:pPr>
            <w:r>
              <w:rPr>
                <w:i/>
              </w:rPr>
              <w:t>TAB (Disposal) Act 2019</w:t>
            </w:r>
            <w:r>
              <w:t xml:space="preserve"> s. 151</w:t>
            </w:r>
          </w:p>
        </w:tc>
        <w:tc>
          <w:tcPr>
            <w:tcW w:w="1134" w:type="dxa"/>
            <w:shd w:val="clear" w:color="auto" w:fill="auto"/>
          </w:tcPr>
          <w:p>
            <w:pPr>
              <w:pStyle w:val="nTable"/>
              <w:spacing w:after="40"/>
            </w:pPr>
            <w:r>
              <w:t>21 of 2019</w:t>
            </w:r>
          </w:p>
        </w:tc>
        <w:tc>
          <w:tcPr>
            <w:tcW w:w="1134" w:type="dxa"/>
            <w:shd w:val="clear" w:color="auto" w:fill="auto"/>
          </w:tcPr>
          <w:p>
            <w:pPr>
              <w:pStyle w:val="nTable"/>
              <w:spacing w:after="40"/>
            </w:pPr>
            <w:r>
              <w:t>18 Sep 2019</w:t>
            </w:r>
          </w:p>
        </w:tc>
        <w:tc>
          <w:tcPr>
            <w:tcW w:w="2552" w:type="dxa"/>
            <w:shd w:val="clear" w:color="auto" w:fill="auto"/>
          </w:tcPr>
          <w:p>
            <w:pPr>
              <w:pStyle w:val="nTable"/>
              <w:spacing w:after="40"/>
            </w:pPr>
            <w:r>
              <w:t>To be proclaimed (see s. 2(1)(b)(xiii))</w:t>
            </w:r>
          </w:p>
        </w:tc>
      </w:tr>
      <w:tr>
        <w:trPr>
          <w:cantSplit/>
        </w:trPr>
        <w:tc>
          <w:tcPr>
            <w:tcW w:w="2268" w:type="dxa"/>
            <w:tcBorders>
              <w:bottom w:val="single" w:sz="4" w:space="0" w:color="auto"/>
            </w:tcBorders>
            <w:shd w:val="clear" w:color="auto" w:fill="auto"/>
          </w:tcPr>
          <w:p>
            <w:pPr>
              <w:pStyle w:val="nTable"/>
              <w:spacing w:after="40"/>
              <w:ind w:right="113"/>
            </w:pPr>
            <w:r>
              <w:rPr>
                <w:i/>
              </w:rPr>
              <w:lastRenderedPageBreak/>
              <w:t>Criminal Law (Mental Impairment) Act 2023</w:t>
            </w:r>
            <w:r>
              <w:t xml:space="preserve"> Pt. 15 Div. 22 and s. 410 and 412</w:t>
            </w:r>
          </w:p>
        </w:tc>
        <w:tc>
          <w:tcPr>
            <w:tcW w:w="1134" w:type="dxa"/>
            <w:tcBorders>
              <w:bottom w:val="single" w:sz="4" w:space="0" w:color="auto"/>
            </w:tcBorders>
            <w:shd w:val="clear" w:color="auto" w:fill="auto"/>
          </w:tcPr>
          <w:p>
            <w:pPr>
              <w:pStyle w:val="nTable"/>
              <w:spacing w:after="40"/>
            </w:pPr>
            <w:r>
              <w:t>10 of 2023</w:t>
            </w:r>
          </w:p>
        </w:tc>
        <w:tc>
          <w:tcPr>
            <w:tcW w:w="1134" w:type="dxa"/>
            <w:tcBorders>
              <w:bottom w:val="single" w:sz="4" w:space="0" w:color="auto"/>
            </w:tcBorders>
            <w:shd w:val="clear" w:color="auto" w:fill="auto"/>
          </w:tcPr>
          <w:p>
            <w:pPr>
              <w:pStyle w:val="nTable"/>
              <w:spacing w:after="40"/>
            </w:pPr>
            <w:r>
              <w:t>13 Apr 2023</w:t>
            </w:r>
          </w:p>
        </w:tc>
        <w:tc>
          <w:tcPr>
            <w:tcW w:w="2552" w:type="dxa"/>
            <w:tcBorders>
              <w:bottom w:val="single" w:sz="4" w:space="0" w:color="auto"/>
            </w:tcBorders>
            <w:shd w:val="clear" w:color="auto" w:fill="auto"/>
          </w:tcPr>
          <w:p>
            <w:pPr>
              <w:pStyle w:val="nTable"/>
              <w:spacing w:after="40"/>
            </w:pPr>
            <w:r>
              <w:t>1 Sep 2024 (see s. 2(b) and SL 2024/175 cl. 2)</w:t>
            </w:r>
          </w:p>
        </w:tc>
      </w:tr>
    </w:tbl>
    <w:p>
      <w:pPr>
        <w:pStyle w:val="nHeading3"/>
      </w:pPr>
      <w:bookmarkStart w:id="227" w:name="_Toc174950886"/>
      <w:r>
        <w:t>Other notes</w:t>
      </w:r>
      <w:bookmarkEnd w:id="227"/>
    </w:p>
    <w:p>
      <w:pPr>
        <w:pStyle w:val="nNote"/>
        <w:spacing w:before="120"/>
      </w:pPr>
      <w:r>
        <w:rPr>
          <w:vertAlign w:val="superscript"/>
        </w:rPr>
        <w:t>1</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Note"/>
      </w:pPr>
      <w:r>
        <w:rPr>
          <w:vertAlign w:val="superscript"/>
        </w:rPr>
        <w:t>2</w:t>
      </w:r>
      <w:r>
        <w:tab/>
        <w:t xml:space="preserve">Under the </w:t>
      </w:r>
      <w:r>
        <w:rPr>
          <w:i/>
          <w:iCs/>
        </w:rPr>
        <w:t>Liquor Control Act 1988</w:t>
      </w:r>
      <w:r>
        <w:t xml:space="preserve"> Sch. 1A cl. 9 a reference to the Liquor Licensing Court is to be read and construed as a reference to the Liquor Commission.</w:t>
      </w:r>
    </w:p>
    <w:p>
      <w:pPr>
        <w:pStyle w:val="nNote"/>
        <w:rPr>
          <w:snapToGrid w:val="0"/>
        </w:rPr>
      </w:pPr>
      <w:r>
        <w:rPr>
          <w:snapToGrid w:val="0"/>
          <w:vertAlign w:val="superscript"/>
        </w:rPr>
        <w:t>3</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Note"/>
        <w:rPr>
          <w:snapToGrid w:val="0"/>
        </w:rPr>
      </w:pPr>
      <w:r>
        <w:rPr>
          <w:snapToGrid w:val="0"/>
          <w:vertAlign w:val="superscript"/>
        </w:rPr>
        <w:t>4</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Note"/>
      </w:pPr>
      <w:r>
        <w:rPr>
          <w:vertAlign w:val="superscript"/>
        </w:rPr>
        <w:t>5</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w:t>
      </w:r>
      <w:r>
        <w:rPr>
          <w:i/>
        </w:rPr>
        <w:lastRenderedPageBreak/>
        <w:t xml:space="preserve">Commissioner Act 1971 </w:t>
      </w:r>
      <w:r>
        <w:t>as if that subsection had been in force at the time the appointments were purportedly made.</w:t>
      </w:r>
    </w:p>
    <w:p>
      <w:pPr>
        <w:pStyle w:val="BlankClose"/>
        <w:rPr>
          <w:sz w:val="18"/>
          <w:szCs w:val="18"/>
        </w:rPr>
      </w:pPr>
    </w:p>
    <w:p>
      <w:pPr>
        <w:pStyle w:val="nNote"/>
        <w:keepNext/>
        <w:spacing w:before="120"/>
      </w:pPr>
      <w:r>
        <w:rPr>
          <w:vertAlign w:val="superscript"/>
        </w:rPr>
        <w:t>6</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Note"/>
        <w:keepNext/>
        <w:spacing w:before="120"/>
      </w:pPr>
      <w:r>
        <w:rPr>
          <w:vertAlign w:val="superscript"/>
        </w:rPr>
        <w:t>7</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
      <w:pPr>
        <w:sectPr>
          <w:headerReference w:type="even" r:id="rId28"/>
          <w:headerReference w:type="default" r:id="rId29"/>
          <w:pgSz w:w="11907" w:h="16840" w:code="9"/>
          <w:pgMar w:top="2376" w:right="2405" w:bottom="3542" w:left="2405" w:header="706" w:footer="3544" w:gutter="0"/>
          <w:cols w:space="720"/>
          <w:noEndnote/>
          <w:docGrid w:linePitch="326"/>
        </w:sectPr>
      </w:pPr>
    </w:p>
    <w:p>
      <w:pPr>
        <w:pStyle w:val="nHeading2"/>
        <w:rPr>
          <w:sz w:val="28"/>
        </w:rPr>
      </w:pPr>
      <w:bookmarkStart w:id="229" w:name="_Toc153965099"/>
      <w:bookmarkStart w:id="230" w:name="_Toc153968757"/>
      <w:bookmarkStart w:id="231" w:name="_Toc153978154"/>
      <w:bookmarkStart w:id="232" w:name="_Toc174718139"/>
      <w:bookmarkStart w:id="233" w:name="_Toc174718784"/>
      <w:bookmarkStart w:id="234" w:name="_Toc174718890"/>
      <w:bookmarkStart w:id="235" w:name="_Toc174950887"/>
      <w:r>
        <w:rPr>
          <w:sz w:val="28"/>
        </w:rPr>
        <w:lastRenderedPageBreak/>
        <w:t>Defined terms</w:t>
      </w:r>
      <w:bookmarkEnd w:id="229"/>
      <w:bookmarkEnd w:id="230"/>
      <w:bookmarkEnd w:id="231"/>
      <w:bookmarkEnd w:id="232"/>
      <w:bookmarkEnd w:id="233"/>
      <w:bookmarkEnd w:id="234"/>
      <w:bookmarkEnd w:id="23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CCS Act</w:t>
      </w:r>
      <w:r>
        <w:tab/>
        <w:t>4</w:t>
      </w:r>
    </w:p>
    <w:p>
      <w:pPr>
        <w:pStyle w:val="DefinedTerms"/>
      </w:pPr>
      <w:r>
        <w:t>child</w:t>
      </w:r>
      <w:r>
        <w:tab/>
        <w:t>19C</w:t>
      </w:r>
    </w:p>
    <w:p>
      <w:pPr>
        <w:pStyle w:val="DefinedTerms"/>
      </w:pPr>
      <w:r>
        <w:t>commencement day</w:t>
      </w:r>
      <w:r>
        <w:tab/>
        <w:t>19C</w:t>
      </w:r>
    </w:p>
    <w:p>
      <w:pPr>
        <w:pStyle w:val="DefinedTerms"/>
      </w:pPr>
      <w:r>
        <w:t>Commissioner</w:t>
      </w:r>
      <w:r>
        <w:tab/>
        <w:t>4</w:t>
      </w:r>
    </w:p>
    <w:p>
      <w:pPr>
        <w:pStyle w:val="DefinedTerms"/>
      </w:pPr>
      <w:r>
        <w:t>Commissioner of Police</w:t>
      </w:r>
      <w:r>
        <w:tab/>
        <w:t>4</w:t>
      </w:r>
    </w:p>
    <w:p>
      <w:pPr>
        <w:pStyle w:val="DefinedTerms"/>
      </w:pPr>
      <w:r>
        <w:t>conduct</w:t>
      </w:r>
      <w:r>
        <w:tab/>
        <w:t>19G(3)</w:t>
      </w:r>
    </w:p>
    <w:p>
      <w:pPr>
        <w:pStyle w:val="DefinedTerms"/>
      </w:pPr>
      <w:r>
        <w:t>contractor</w:t>
      </w:r>
      <w:r>
        <w:tab/>
        <w:t>4</w:t>
      </w:r>
    </w:p>
    <w:p>
      <w:pPr>
        <w:pStyle w:val="DefinedTerms"/>
      </w:pPr>
      <w:r>
        <w:t>conviction</w:t>
      </w:r>
      <w:r>
        <w:tab/>
        <w:t>19H(2), (3) and (5)</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employee</w:t>
      </w:r>
      <w:r>
        <w:tab/>
        <w:t>19C, 19D(1)</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head</w:t>
      </w:r>
      <w:r>
        <w:tab/>
        <w:t>4, 19E(1), (2) and (3)</w:t>
      </w:r>
    </w:p>
    <w:p>
      <w:pPr>
        <w:pStyle w:val="DefinedTerms"/>
      </w:pPr>
      <w:r>
        <w:t>Inspector of Custodial Services</w:t>
      </w:r>
      <w:r>
        <w:tab/>
        <w:t>4</w:t>
      </w:r>
    </w:p>
    <w:p>
      <w:pPr>
        <w:pStyle w:val="DefinedTerms"/>
      </w:pPr>
      <w:r>
        <w:t>investigable death</w:t>
      </w:r>
      <w:r>
        <w:tab/>
        <w:t>19A(1)</w:t>
      </w:r>
    </w:p>
    <w:p>
      <w:pPr>
        <w:pStyle w:val="DefinedTerms"/>
      </w:pPr>
      <w:r>
        <w:t>investigation</w:t>
      </w:r>
      <w:r>
        <w:tab/>
        <w:t>19C</w:t>
      </w:r>
    </w:p>
    <w:p>
      <w:pPr>
        <w:pStyle w:val="DefinedTerms"/>
      </w:pPr>
      <w:r>
        <w:t>investigation information</w:t>
      </w:r>
      <w:r>
        <w:tab/>
        <w:t>19B(5), 19C</w:t>
      </w:r>
    </w:p>
    <w:p>
      <w:pPr>
        <w:pStyle w:val="DefinedTerms"/>
      </w:pPr>
      <w:r>
        <w:t>investigator</w:t>
      </w:r>
      <w:r>
        <w:tab/>
        <w:t>4</w:t>
      </w:r>
    </w:p>
    <w:p>
      <w:pPr>
        <w:pStyle w:val="DefinedTerms"/>
      </w:pPr>
      <w:r>
        <w:t>officer of the Commissioner</w:t>
      </w:r>
      <w:r>
        <w:tab/>
        <w:t>4</w:t>
      </w:r>
    </w:p>
    <w:p>
      <w:pPr>
        <w:pStyle w:val="DefinedTerms"/>
      </w:pPr>
      <w:r>
        <w:t>officer of the Corruption and Crime Commission</w:t>
      </w:r>
      <w:r>
        <w:tab/>
        <w:t>4</w:t>
      </w:r>
    </w:p>
    <w:p>
      <w:pPr>
        <w:pStyle w:val="DefinedTerms"/>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physical assault</w:t>
      </w:r>
      <w:r>
        <w:tab/>
        <w:t>19C</w:t>
      </w:r>
    </w:p>
    <w:p>
      <w:pPr>
        <w:pStyle w:val="DefinedTerms"/>
      </w:pPr>
      <w:r>
        <w:t>principal officer</w:t>
      </w:r>
      <w:r>
        <w:tab/>
        <w:t>4</w:t>
      </w:r>
    </w:p>
    <w:p>
      <w:pPr>
        <w:pStyle w:val="DefinedTerms"/>
      </w:pPr>
      <w:r>
        <w:t>public service officer</w:t>
      </w:r>
      <w:r>
        <w:tab/>
        <w:t>4</w:t>
      </w:r>
    </w:p>
    <w:p>
      <w:pPr>
        <w:pStyle w:val="DefinedTerms"/>
      </w:pPr>
      <w:r>
        <w:t>publish</w:t>
      </w:r>
      <w:r>
        <w:tab/>
        <w:t>19ZJ(1)</w:t>
      </w:r>
    </w:p>
    <w:p>
      <w:pPr>
        <w:pStyle w:val="DefinedTerms"/>
      </w:pPr>
      <w:r>
        <w:t>Registrar</w:t>
      </w:r>
      <w:r>
        <w:tab/>
        <w:t>19ZI(1)</w:t>
      </w:r>
    </w:p>
    <w:p>
      <w:pPr>
        <w:pStyle w:val="DefinedTerms"/>
      </w:pPr>
      <w:r>
        <w:t>relevant authorities</w:t>
      </w:r>
      <w:r>
        <w:tab/>
        <w:t>17A(4)</w:t>
      </w:r>
    </w:p>
    <w:p>
      <w:pPr>
        <w:pStyle w:val="DefinedTerms"/>
      </w:pPr>
      <w:r>
        <w:lastRenderedPageBreak/>
        <w:t>relevant court</w:t>
      </w:r>
      <w:r>
        <w:tab/>
        <w:t>19ZI(1)</w:t>
      </w:r>
    </w:p>
    <w:p>
      <w:pPr>
        <w:pStyle w:val="DefinedTerms"/>
      </w:pPr>
      <w:r>
        <w:t>relevant employee</w:t>
      </w:r>
      <w:r>
        <w:tab/>
        <w:t>19T(4)</w:t>
      </w:r>
    </w:p>
    <w:p>
      <w:pPr>
        <w:pStyle w:val="DefinedTerms"/>
      </w:pPr>
      <w:r>
        <w:t>relevant entity</w:t>
      </w:r>
      <w:r>
        <w:tab/>
        <w:t>4</w:t>
      </w:r>
    </w:p>
    <w:p>
      <w:pPr>
        <w:pStyle w:val="DefinedTerms"/>
      </w:pPr>
      <w:r>
        <w:t>relevant investigation</w:t>
      </w:r>
      <w:r>
        <w:tab/>
        <w:t>19ZG(1)</w:t>
      </w:r>
    </w:p>
    <w:p>
      <w:pPr>
        <w:pStyle w:val="DefinedTerms"/>
      </w:pPr>
      <w:r>
        <w:t>religious body</w:t>
      </w:r>
      <w:r>
        <w:tab/>
        <w:t>4</w:t>
      </w:r>
    </w:p>
    <w:p>
      <w:pPr>
        <w:pStyle w:val="DefinedTerms"/>
      </w:pPr>
      <w:r>
        <w:t>reportable allegation</w:t>
      </w:r>
      <w:r>
        <w:tab/>
        <w:t>4, 19F(1) and (2)</w:t>
      </w:r>
    </w:p>
    <w:p>
      <w:pPr>
        <w:pStyle w:val="DefinedTerms"/>
      </w:pPr>
      <w:r>
        <w:t>reportable conduct</w:t>
      </w:r>
      <w:r>
        <w:tab/>
        <w:t>4, 19G(2)</w:t>
      </w:r>
    </w:p>
    <w:p>
      <w:pPr>
        <w:pStyle w:val="DefinedTerms"/>
      </w:pPr>
      <w:r>
        <w:t>Reportable conduct</w:t>
      </w:r>
      <w:r>
        <w:tab/>
        <w:t>19G(1)</w:t>
      </w:r>
    </w:p>
    <w:p>
      <w:pPr>
        <w:pStyle w:val="DefinedTerms"/>
      </w:pPr>
      <w:r>
        <w:t>reportable conduct information</w:t>
      </w:r>
      <w:r>
        <w:tab/>
        <w:t>22C(1)</w:t>
      </w:r>
    </w:p>
    <w:p>
      <w:pPr>
        <w:pStyle w:val="DefinedTerms"/>
      </w:pPr>
      <w:r>
        <w:t>reportable conduct scheme</w:t>
      </w:r>
      <w:r>
        <w:tab/>
        <w:t>4</w:t>
      </w:r>
    </w:p>
    <w:p>
      <w:pPr>
        <w:pStyle w:val="DefinedTerms"/>
      </w:pPr>
      <w:r>
        <w:t>reportable conviction</w:t>
      </w:r>
      <w:r>
        <w:tab/>
        <w:t>4, 19H(1)</w:t>
      </w:r>
    </w:p>
    <w:p>
      <w:pPr>
        <w:pStyle w:val="DefinedTerms"/>
      </w:pPr>
      <w:r>
        <w:t>responsible Minister</w:t>
      </w:r>
      <w:r>
        <w:tab/>
        <w:t>4</w:t>
      </w:r>
    </w:p>
    <w:p>
      <w:pPr>
        <w:pStyle w:val="DefinedTerms"/>
      </w:pPr>
      <w:r>
        <w:t>sexual misconduct</w:t>
      </w:r>
      <w:r>
        <w:tab/>
        <w:t>19C</w:t>
      </w:r>
    </w:p>
    <w:p>
      <w:pPr>
        <w:pStyle w:val="DefinedTerms"/>
      </w:pPr>
      <w:r>
        <w:t>sexual offence</w:t>
      </w:r>
      <w:r>
        <w:tab/>
        <w:t>19C</w:t>
      </w:r>
    </w:p>
    <w:p>
      <w:pPr>
        <w:pStyle w:val="DefinedTerms"/>
      </w:pPr>
      <w:r>
        <w:t>staff</w:t>
      </w:r>
      <w:r>
        <w:tab/>
        <w:t>4</w:t>
      </w:r>
    </w:p>
    <w:p>
      <w:pPr>
        <w:pStyle w:val="DefinedTerms"/>
      </w:pPr>
      <w:r>
        <w:t>subcontractor</w:t>
      </w:r>
      <w:r>
        <w:tab/>
        <w:t>4</w:t>
      </w:r>
    </w:p>
    <w:p>
      <w:pPr>
        <w:pStyle w:val="DefinedTerms"/>
      </w:pPr>
      <w:r>
        <w:t>tribunal</w:t>
      </w:r>
      <w:r>
        <w:tab/>
        <w:t>4</w:t>
      </w:r>
    </w:p>
    <w:p>
      <w:pPr>
        <w:pStyle w:val="DefinedTerms"/>
      </w:pPr>
      <w:r>
        <w:t>water ombudsman scheme</w:t>
      </w:r>
      <w:r>
        <w:tab/>
        <w:t>34(7)</w:t>
      </w:r>
    </w:p>
    <w:p/>
    <w:p>
      <w:pPr>
        <w:sectPr>
          <w:headerReference w:type="even" r:id="rId30"/>
          <w:headerReference w:type="default" r:id="rId31"/>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4E7B2AA7"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2B8D7637" w14:textId="2500F293" w:rsidR="00507AFE" w:rsidRDefault="000A773E">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083F06">
                        <w:rPr>
                          <w:sz w:val="16"/>
                        </w:rPr>
                        <w:t>2024</w:t>
                      </w:r>
                      <w:r>
                        <w:rPr>
                          <w:sz w:val="16"/>
                        </w:rPr>
                        <w:fldChar w:fldCharType="end"/>
                      </w:r>
                      <w:r>
                        <w:rPr>
                          <w:sz w:val="16"/>
                        </w:rPr>
                        <w:t>.</w:t>
                      </w:r>
                    </w:p>
                    <w:p w14:paraId="6CFCEC87" w14:textId="77777777" w:rsidR="00507AFE" w:rsidRDefault="000A773E">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3E0ADAFF" w14:textId="2E9338D9" w:rsidR="00507AFE" w:rsidRDefault="000A773E">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083F06">
                        <w:rPr>
                          <w:sz w:val="16"/>
                        </w:rPr>
                        <w:t>2024</w:t>
                      </w:r>
                      <w:r>
                        <w:rPr>
                          <w:sz w:val="16"/>
                        </w:rPr>
                        <w:fldChar w:fldCharType="end"/>
                      </w:r>
                      <w:r>
                        <w:rPr>
                          <w:sz w:val="16"/>
                        </w:rPr>
                        <w:t>.</w:t>
                      </w:r>
                    </w:p>
                    <w:p w14:paraId="41804E77" w14:textId="77777777" w:rsidR="00507AFE" w:rsidRDefault="000A773E">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2"/>
      <w:headerReference w:type="default" r:id="rId33"/>
      <w:footerReference w:type="even" r:id="rId34"/>
      <w:footerReference w:type="default" r:id="rId35"/>
      <w:headerReference w:type="first" r:id="rId36"/>
      <w:footerReference w:type="first" r:id="rId37"/>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Jan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10-h0-01</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Jan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10-h0-01</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Jan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10-h0-01</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xviii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Jan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10-h0-01</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Jan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xix</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10-h0-01</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Jan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10-h0-01</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17" w:name="Schedule"/>
    <w:bookmarkEnd w:id="217"/>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228" w:name="Compilation"/>
    <w:bookmarkEnd w:id="228"/>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36" w:name="DefinedTerms"/>
    <w:bookmarkEnd w:id="236"/>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237" w:name="Coversheet"/>
    <w:bookmarkEnd w:id="23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0113105"/>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 w:name="WAFER_20190920151028" w:val="RemoveTocBookmarks,RemoveUnusedBookmarks,RemoveLanguageTags,ResetPageSize,RunningHeaders,UpdateStyles,UsedStyles"/>
    <w:docVar w:name="WAFER_20190920151028_GUID" w:val="0a82add1-b348-4162-9aa1-616cc4caa8be"/>
    <w:docVar w:name="WAFER_20200211144701"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44701_GUID" w:val="542eaf72-0d6b-4793-8e33-c1eb22e18f00"/>
    <w:docVar w:name="WAFER_2022112510150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1125101500_GUID" w:val="3bf95306-cb75-4947-b8c8-1e4dbf1ff600"/>
    <w:docVar w:name="WAFER_202212150859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215085920_GUID" w:val="ad6b1002-c26d-4579-9e55-22bd812d6e11"/>
    <w:docVar w:name="WAFER_202304121230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12123035_GUID" w:val="16b84fde-b88a-4296-a492-b2623c204441"/>
    <w:docVar w:name="WAFER_202312201129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220112921_GUID" w:val="038ee64d-022b-4b4a-8cc9-ae5405979f1b"/>
    <w:docVar w:name="WAFER_202312201131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220113105_GUID" w:val="8a878477-5ec4-47ea-be40-63cb39484b5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5:docId w15:val="{3BABE8BE-DAC5-4522-B17B-A523404A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A5171-FA63-4950-99E2-EBCBAF83B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27242</Words>
  <Characters>132400</Characters>
  <Application>Microsoft Office Word</Application>
  <DocSecurity>0</DocSecurity>
  <Lines>4012</Lines>
  <Paragraphs>2186</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157456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1971 - 10-h0-01</dc:title>
  <dc:subject/>
  <dc:creator/>
  <cp:keywords/>
  <dc:description/>
  <cp:lastModifiedBy>Master Repository Process</cp:lastModifiedBy>
  <cp:revision>4</cp:revision>
  <cp:lastPrinted>2016-03-16T01:33:00Z</cp:lastPrinted>
  <dcterms:created xsi:type="dcterms:W3CDTF">2025-06-13T04:10:00Z</dcterms:created>
  <dcterms:modified xsi:type="dcterms:W3CDTF">2025-06-13T04:10:00Z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CommencementDate">
    <vt:lpwstr>20240101</vt:lpwstr>
  </property>
  <property fmtid="{D5CDD505-2E9C-101B-9397-08002B2CF9AE}" pid="8" name="CommencementYear">
    <vt:lpwstr>2024</vt:lpwstr>
  </property>
  <property fmtid="{D5CDD505-2E9C-101B-9397-08002B2CF9AE}" pid="9" name="AsAtDate">
    <vt:lpwstr>01 Jan 2024</vt:lpwstr>
  </property>
  <property fmtid="{D5CDD505-2E9C-101B-9397-08002B2CF9AE}" pid="10" name="Suffix">
    <vt:lpwstr>10-h0-01</vt:lpwstr>
  </property>
  <property fmtid="{D5CDD505-2E9C-101B-9397-08002B2CF9AE}" pid="11" name="Official">
    <vt:lpwstr/>
  </property>
</Properties>
</file>