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Racing and Wagering Western Australia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Racing and Wagering Western Australia Regulations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_Toc154068255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_Toc154068256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_Toc154068257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 of directors</w:t>
      </w:r>
    </w:p>
    <w:p>
      <w:pPr>
        <w:pStyle w:val="TOC8"/>
        <w:rPr>
          <w:rFonts w:asciiTheme="minorHAnsi" w:eastAsiaTheme="minorEastAsia" w:hAnsiTheme="minorHAnsi" w:cstheme="minorBidi"/>
          <w:szCs w:val="22"/>
        </w:rPr>
      </w:pPr>
      <w:r>
        <w:t>4.</w:t>
      </w:r>
      <w:r>
        <w:tab/>
        <w:t>Notifications by RWWA to Commission</w:t>
      </w:r>
      <w:r>
        <w:tab/>
      </w:r>
      <w:r>
        <w:fldChar w:fldCharType="begin"/>
      </w:r>
      <w:r>
        <w:instrText xml:space="preserve"> PAGEREF _Toc154068259 \h </w:instrText>
      </w:r>
      <w:r>
        <w:fldChar w:fldCharType="separate"/>
      </w:r>
      <w:r>
        <w:t>5</w:t>
      </w:r>
      <w:r>
        <w:fldChar w:fldCharType="end"/>
      </w:r>
    </w:p>
    <w:p>
      <w:pPr>
        <w:pStyle w:val="TOC8"/>
        <w:rPr>
          <w:rFonts w:asciiTheme="minorHAnsi" w:eastAsiaTheme="minorEastAsia" w:hAnsiTheme="minorHAnsi" w:cstheme="minorBidi"/>
          <w:szCs w:val="22"/>
        </w:rPr>
      </w:pPr>
      <w:r>
        <w:t>5.</w:t>
      </w:r>
      <w:r>
        <w:tab/>
        <w:t>Application for licence</w:t>
      </w:r>
      <w:r>
        <w:tab/>
      </w:r>
      <w:r>
        <w:fldChar w:fldCharType="begin"/>
      </w:r>
      <w:r>
        <w:instrText xml:space="preserve"> PAGEREF _Toc154068260 \h </w:instrText>
      </w:r>
      <w:r>
        <w:fldChar w:fldCharType="separate"/>
      </w:r>
      <w:r>
        <w:t>5</w:t>
      </w:r>
      <w:r>
        <w:fldChar w:fldCharType="end"/>
      </w:r>
    </w:p>
    <w:p>
      <w:pPr>
        <w:pStyle w:val="TOC8"/>
        <w:rPr>
          <w:rFonts w:asciiTheme="minorHAnsi" w:eastAsiaTheme="minorEastAsia" w:hAnsiTheme="minorHAnsi" w:cstheme="minorBidi"/>
          <w:szCs w:val="22"/>
        </w:rPr>
      </w:pPr>
      <w:r>
        <w:t>6.</w:t>
      </w:r>
      <w:r>
        <w:tab/>
        <w:t>Form of application</w:t>
      </w:r>
      <w:r>
        <w:tab/>
      </w:r>
      <w:r>
        <w:fldChar w:fldCharType="begin"/>
      </w:r>
      <w:r>
        <w:instrText xml:space="preserve"> PAGEREF _Toc154068261 \h </w:instrText>
      </w:r>
      <w:r>
        <w:fldChar w:fldCharType="separate"/>
      </w:r>
      <w:r>
        <w:t>5</w:t>
      </w:r>
      <w:r>
        <w:fldChar w:fldCharType="end"/>
      </w:r>
    </w:p>
    <w:p>
      <w:pPr>
        <w:pStyle w:val="TOC8"/>
        <w:rPr>
          <w:rFonts w:asciiTheme="minorHAnsi" w:eastAsiaTheme="minorEastAsia" w:hAnsiTheme="minorHAnsi" w:cstheme="minorBidi"/>
          <w:szCs w:val="22"/>
        </w:rPr>
      </w:pPr>
      <w:r>
        <w:t>7.</w:t>
      </w:r>
      <w:r>
        <w:tab/>
        <w:t>Investigation by police</w:t>
      </w:r>
      <w:r>
        <w:tab/>
      </w:r>
      <w:r>
        <w:fldChar w:fldCharType="begin"/>
      </w:r>
      <w:r>
        <w:instrText xml:space="preserve"> PAGEREF _Toc154068262 \h </w:instrText>
      </w:r>
      <w:r>
        <w:fldChar w:fldCharType="separate"/>
      </w:r>
      <w:r>
        <w:t>6</w:t>
      </w:r>
      <w:r>
        <w:fldChar w:fldCharType="end"/>
      </w:r>
    </w:p>
    <w:p>
      <w:pPr>
        <w:pStyle w:val="TOC8"/>
        <w:rPr>
          <w:rFonts w:asciiTheme="minorHAnsi" w:eastAsiaTheme="minorEastAsia" w:hAnsiTheme="minorHAnsi" w:cstheme="minorBidi"/>
          <w:szCs w:val="22"/>
        </w:rPr>
      </w:pPr>
      <w:r>
        <w:t>8.</w:t>
      </w:r>
      <w:r>
        <w:tab/>
        <w:t>Commission may licence, or refuse to licence, director</w:t>
      </w:r>
      <w:r>
        <w:tab/>
      </w:r>
      <w:r>
        <w:fldChar w:fldCharType="begin"/>
      </w:r>
      <w:r>
        <w:instrText xml:space="preserve"> PAGEREF _Toc154068263 \h </w:instrText>
      </w:r>
      <w:r>
        <w:fldChar w:fldCharType="separate"/>
      </w:r>
      <w:r>
        <w:t>7</w:t>
      </w:r>
      <w:r>
        <w:fldChar w:fldCharType="end"/>
      </w:r>
    </w:p>
    <w:p>
      <w:pPr>
        <w:pStyle w:val="TOC8"/>
        <w:rPr>
          <w:rFonts w:asciiTheme="minorHAnsi" w:eastAsiaTheme="minorEastAsia" w:hAnsiTheme="minorHAnsi" w:cstheme="minorBidi"/>
          <w:szCs w:val="22"/>
        </w:rPr>
      </w:pPr>
      <w:r>
        <w:t>9.</w:t>
      </w:r>
      <w:r>
        <w:tab/>
        <w:t>Duration of director’s licence</w:t>
      </w:r>
      <w:r>
        <w:tab/>
      </w:r>
      <w:r>
        <w:fldChar w:fldCharType="begin"/>
      </w:r>
      <w:r>
        <w:instrText xml:space="preserve"> PAGEREF _Toc154068264 \h </w:instrText>
      </w:r>
      <w:r>
        <w:fldChar w:fldCharType="separate"/>
      </w:r>
      <w:r>
        <w:t>7</w:t>
      </w:r>
      <w:r>
        <w:fldChar w:fldCharType="end"/>
      </w:r>
    </w:p>
    <w:p>
      <w:pPr>
        <w:pStyle w:val="TOC8"/>
        <w:rPr>
          <w:rFonts w:asciiTheme="minorHAnsi" w:eastAsiaTheme="minorEastAsia" w:hAnsiTheme="minorHAnsi" w:cstheme="minorBidi"/>
          <w:szCs w:val="22"/>
        </w:rPr>
      </w:pPr>
      <w:r>
        <w:t>10.</w:t>
      </w:r>
      <w:r>
        <w:tab/>
        <w:t>Renewal of licence</w:t>
      </w:r>
      <w:r>
        <w:tab/>
      </w:r>
      <w:r>
        <w:fldChar w:fldCharType="begin"/>
      </w:r>
      <w:r>
        <w:instrText xml:space="preserve"> PAGEREF _Toc154068265 \h </w:instrText>
      </w:r>
      <w:r>
        <w:fldChar w:fldCharType="separate"/>
      </w:r>
      <w:r>
        <w:t>7</w:t>
      </w:r>
      <w:r>
        <w:fldChar w:fldCharType="end"/>
      </w:r>
    </w:p>
    <w:p>
      <w:pPr>
        <w:pStyle w:val="TOC8"/>
        <w:rPr>
          <w:rFonts w:asciiTheme="minorHAnsi" w:eastAsiaTheme="minorEastAsia" w:hAnsiTheme="minorHAnsi" w:cstheme="minorBidi"/>
          <w:szCs w:val="22"/>
        </w:rPr>
      </w:pPr>
      <w:r>
        <w:t>11.</w:t>
      </w:r>
      <w:r>
        <w:tab/>
        <w:t>Further investigation</w:t>
      </w:r>
      <w:r>
        <w:tab/>
      </w:r>
      <w:r>
        <w:fldChar w:fldCharType="begin"/>
      </w:r>
      <w:r>
        <w:instrText xml:space="preserve"> PAGEREF _Toc154068266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Licensing of RWWA key employees</w:t>
      </w:r>
    </w:p>
    <w:p>
      <w:pPr>
        <w:pStyle w:val="TOC8"/>
        <w:rPr>
          <w:rFonts w:asciiTheme="minorHAnsi" w:eastAsiaTheme="minorEastAsia" w:hAnsiTheme="minorHAnsi" w:cstheme="minorBidi"/>
          <w:szCs w:val="22"/>
        </w:rPr>
      </w:pPr>
      <w:r>
        <w:t>12.</w:t>
      </w:r>
      <w:r>
        <w:tab/>
        <w:t>RWWA key employees taken to hold provisional licence</w:t>
      </w:r>
      <w:r>
        <w:tab/>
      </w:r>
      <w:r>
        <w:fldChar w:fldCharType="begin"/>
      </w:r>
      <w:r>
        <w:instrText xml:space="preserve"> PAGEREF _Toc154068268 \h </w:instrText>
      </w:r>
      <w:r>
        <w:fldChar w:fldCharType="separate"/>
      </w:r>
      <w:r>
        <w:t>9</w:t>
      </w:r>
      <w:r>
        <w:fldChar w:fldCharType="end"/>
      </w:r>
    </w:p>
    <w:p>
      <w:pPr>
        <w:pStyle w:val="TOC8"/>
        <w:rPr>
          <w:rFonts w:asciiTheme="minorHAnsi" w:eastAsiaTheme="minorEastAsia" w:hAnsiTheme="minorHAnsi" w:cstheme="minorBidi"/>
          <w:szCs w:val="22"/>
        </w:rPr>
      </w:pPr>
      <w:r>
        <w:t>13.</w:t>
      </w:r>
      <w:r>
        <w:tab/>
        <w:t>Application for employee’s licence</w:t>
      </w:r>
      <w:r>
        <w:tab/>
      </w:r>
      <w:r>
        <w:fldChar w:fldCharType="begin"/>
      </w:r>
      <w:r>
        <w:instrText xml:space="preserve"> PAGEREF _Toc154068269 \h </w:instrText>
      </w:r>
      <w:r>
        <w:fldChar w:fldCharType="separate"/>
      </w:r>
      <w:r>
        <w:t>9</w:t>
      </w:r>
      <w:r>
        <w:fldChar w:fldCharType="end"/>
      </w:r>
    </w:p>
    <w:p>
      <w:pPr>
        <w:pStyle w:val="TOC8"/>
        <w:rPr>
          <w:rFonts w:asciiTheme="minorHAnsi" w:eastAsiaTheme="minorEastAsia" w:hAnsiTheme="minorHAnsi" w:cstheme="minorBidi"/>
          <w:szCs w:val="22"/>
        </w:rPr>
      </w:pPr>
      <w:r>
        <w:t>14.</w:t>
      </w:r>
      <w:r>
        <w:tab/>
        <w:t>Investigation by police</w:t>
      </w:r>
      <w:r>
        <w:tab/>
      </w:r>
      <w:r>
        <w:fldChar w:fldCharType="begin"/>
      </w:r>
      <w:r>
        <w:instrText xml:space="preserve"> PAGEREF _Toc154068270 \h </w:instrText>
      </w:r>
      <w:r>
        <w:fldChar w:fldCharType="separate"/>
      </w:r>
      <w:r>
        <w:t>10</w:t>
      </w:r>
      <w:r>
        <w:fldChar w:fldCharType="end"/>
      </w:r>
    </w:p>
    <w:p>
      <w:pPr>
        <w:pStyle w:val="TOC8"/>
        <w:rPr>
          <w:rFonts w:asciiTheme="minorHAnsi" w:eastAsiaTheme="minorEastAsia" w:hAnsiTheme="minorHAnsi" w:cstheme="minorBidi"/>
          <w:szCs w:val="22"/>
        </w:rPr>
      </w:pPr>
      <w:r>
        <w:t>15.</w:t>
      </w:r>
      <w:r>
        <w:tab/>
        <w:t>Commission may licence, or refuse to licence, employee</w:t>
      </w:r>
      <w:r>
        <w:tab/>
      </w:r>
      <w:r>
        <w:fldChar w:fldCharType="begin"/>
      </w:r>
      <w:r>
        <w:instrText xml:space="preserve"> PAGEREF _Toc154068271 \h </w:instrText>
      </w:r>
      <w:r>
        <w:fldChar w:fldCharType="separate"/>
      </w:r>
      <w:r>
        <w:t>10</w:t>
      </w:r>
      <w:r>
        <w:fldChar w:fldCharType="end"/>
      </w:r>
    </w:p>
    <w:p>
      <w:pPr>
        <w:pStyle w:val="TOC8"/>
        <w:rPr>
          <w:rFonts w:asciiTheme="minorHAnsi" w:eastAsiaTheme="minorEastAsia" w:hAnsiTheme="minorHAnsi" w:cstheme="minorBidi"/>
          <w:szCs w:val="22"/>
        </w:rPr>
      </w:pPr>
      <w:r>
        <w:t>16.</w:t>
      </w:r>
      <w:r>
        <w:tab/>
        <w:t>Person may reapply for licence</w:t>
      </w:r>
      <w:r>
        <w:tab/>
      </w:r>
      <w:r>
        <w:fldChar w:fldCharType="begin"/>
      </w:r>
      <w:r>
        <w:instrText xml:space="preserve"> PAGEREF _Toc154068272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17.</w:t>
      </w:r>
      <w:r>
        <w:tab/>
        <w:t>RWWA must not employ person who has been refused  employee’s licence</w:t>
      </w:r>
      <w:r>
        <w:tab/>
      </w:r>
      <w:r>
        <w:fldChar w:fldCharType="begin"/>
      </w:r>
      <w:r>
        <w:instrText xml:space="preserve"> PAGEREF _Toc154068273 \h </w:instrText>
      </w:r>
      <w:r>
        <w:fldChar w:fldCharType="separate"/>
      </w:r>
      <w:r>
        <w:t>11</w:t>
      </w:r>
      <w:r>
        <w:fldChar w:fldCharType="end"/>
      </w:r>
    </w:p>
    <w:p>
      <w:pPr>
        <w:pStyle w:val="TOC8"/>
        <w:rPr>
          <w:rFonts w:asciiTheme="minorHAnsi" w:eastAsiaTheme="minorEastAsia" w:hAnsiTheme="minorHAnsi" w:cstheme="minorBidi"/>
          <w:szCs w:val="22"/>
        </w:rPr>
      </w:pPr>
      <w:r>
        <w:t>18.</w:t>
      </w:r>
      <w:r>
        <w:tab/>
        <w:t>Duration of employee’s licence</w:t>
      </w:r>
      <w:r>
        <w:tab/>
      </w:r>
      <w:r>
        <w:fldChar w:fldCharType="begin"/>
      </w:r>
      <w:r>
        <w:instrText xml:space="preserve"> PAGEREF _Toc154068274 \h </w:instrText>
      </w:r>
      <w:r>
        <w:fldChar w:fldCharType="separate"/>
      </w:r>
      <w:r>
        <w:t>12</w:t>
      </w:r>
      <w:r>
        <w:fldChar w:fldCharType="end"/>
      </w:r>
    </w:p>
    <w:p>
      <w:pPr>
        <w:pStyle w:val="TOC8"/>
        <w:rPr>
          <w:rFonts w:asciiTheme="minorHAnsi" w:eastAsiaTheme="minorEastAsia" w:hAnsiTheme="minorHAnsi" w:cstheme="minorBidi"/>
          <w:szCs w:val="22"/>
        </w:rPr>
      </w:pPr>
      <w:r>
        <w:t>19.</w:t>
      </w:r>
      <w:r>
        <w:tab/>
        <w:t>Disciplinary action</w:t>
      </w:r>
      <w:r>
        <w:tab/>
      </w:r>
      <w:r>
        <w:fldChar w:fldCharType="begin"/>
      </w:r>
      <w:r>
        <w:instrText xml:space="preserve"> PAGEREF _Toc154068275 \h </w:instrText>
      </w:r>
      <w:r>
        <w:fldChar w:fldCharType="separate"/>
      </w:r>
      <w:r>
        <w:t>12</w:t>
      </w:r>
      <w:r>
        <w:fldChar w:fldCharType="end"/>
      </w:r>
    </w:p>
    <w:p>
      <w:pPr>
        <w:pStyle w:val="TOC8"/>
        <w:rPr>
          <w:rFonts w:asciiTheme="minorHAnsi" w:eastAsiaTheme="minorEastAsia" w:hAnsiTheme="minorHAnsi" w:cstheme="minorBidi"/>
          <w:szCs w:val="22"/>
        </w:rPr>
      </w:pPr>
      <w:r>
        <w:t>20.</w:t>
      </w:r>
      <w:r>
        <w:tab/>
        <w:t>Surrender of licence</w:t>
      </w:r>
      <w:r>
        <w:tab/>
      </w:r>
      <w:r>
        <w:fldChar w:fldCharType="begin"/>
      </w:r>
      <w:r>
        <w:instrText xml:space="preserve"> PAGEREF _Toc154068276 \h </w:instrText>
      </w:r>
      <w:r>
        <w:fldChar w:fldCharType="separate"/>
      </w:r>
      <w:r>
        <w:t>13</w:t>
      </w:r>
      <w:r>
        <w:fldChar w:fldCharType="end"/>
      </w:r>
    </w:p>
    <w:p>
      <w:pPr>
        <w:pStyle w:val="TOC8"/>
        <w:rPr>
          <w:rFonts w:asciiTheme="minorHAnsi" w:eastAsiaTheme="minorEastAsia" w:hAnsiTheme="minorHAnsi" w:cstheme="minorBidi"/>
          <w:szCs w:val="22"/>
        </w:rPr>
      </w:pPr>
      <w:r>
        <w:t>21.</w:t>
      </w:r>
      <w:r>
        <w:tab/>
        <w:t>Notification of termination of employment</w:t>
      </w:r>
      <w:r>
        <w:tab/>
      </w:r>
      <w:r>
        <w:fldChar w:fldCharType="begin"/>
      </w:r>
      <w:r>
        <w:instrText xml:space="preserve"> PAGEREF _Toc154068277 \h </w:instrText>
      </w:r>
      <w:r>
        <w:fldChar w:fldCharType="separate"/>
      </w:r>
      <w:r>
        <w:t>14</w:t>
      </w:r>
      <w:r>
        <w:fldChar w:fldCharType="end"/>
      </w:r>
    </w:p>
    <w:p>
      <w:pPr>
        <w:pStyle w:val="TOC8"/>
        <w:rPr>
          <w:rFonts w:asciiTheme="minorHAnsi" w:eastAsiaTheme="minorEastAsia" w:hAnsiTheme="minorHAnsi" w:cstheme="minorBidi"/>
          <w:szCs w:val="22"/>
        </w:rPr>
      </w:pPr>
      <w:r>
        <w:t>22.</w:t>
      </w:r>
      <w:r>
        <w:tab/>
        <w:t>Further investigation</w:t>
      </w:r>
      <w:r>
        <w:tab/>
      </w:r>
      <w:r>
        <w:fldChar w:fldCharType="begin"/>
      </w:r>
      <w:r>
        <w:instrText xml:space="preserve"> PAGEREF _Toc154068278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Offences</w:t>
      </w:r>
    </w:p>
    <w:p>
      <w:pPr>
        <w:pStyle w:val="TOC8"/>
        <w:rPr>
          <w:rFonts w:asciiTheme="minorHAnsi" w:eastAsiaTheme="minorEastAsia" w:hAnsiTheme="minorHAnsi" w:cstheme="minorBidi"/>
          <w:szCs w:val="22"/>
        </w:rPr>
      </w:pPr>
      <w:r>
        <w:t>23.</w:t>
      </w:r>
      <w:r>
        <w:tab/>
        <w:t>Offence relating to misleading information</w:t>
      </w:r>
      <w:r>
        <w:tab/>
      </w:r>
      <w:r>
        <w:fldChar w:fldCharType="begin"/>
      </w:r>
      <w:r>
        <w:instrText xml:space="preserve"> PAGEREF _Toc154068280 \h </w:instrText>
      </w:r>
      <w:r>
        <w:fldChar w:fldCharType="separate"/>
      </w:r>
      <w:r>
        <w:t>15</w:t>
      </w:r>
      <w:r>
        <w:fldChar w:fldCharType="end"/>
      </w:r>
    </w:p>
    <w:p>
      <w:pPr>
        <w:pStyle w:val="TOC8"/>
        <w:rPr>
          <w:rFonts w:asciiTheme="minorHAnsi" w:eastAsiaTheme="minorEastAsia" w:hAnsiTheme="minorHAnsi" w:cstheme="minorBidi"/>
          <w:szCs w:val="22"/>
        </w:rPr>
      </w:pPr>
      <w:r>
        <w:t>24.</w:t>
      </w:r>
      <w:r>
        <w:tab/>
        <w:t>Notification of conviction</w:t>
      </w:r>
      <w:r>
        <w:tab/>
      </w:r>
      <w:r>
        <w:fldChar w:fldCharType="begin"/>
      </w:r>
      <w:r>
        <w:instrText xml:space="preserve"> PAGEREF _Toc154068281 \h </w:instrText>
      </w:r>
      <w:r>
        <w:fldChar w:fldCharType="separate"/>
      </w:r>
      <w:r>
        <w:t>15</w:t>
      </w:r>
      <w:r>
        <w:fldChar w:fldCharType="end"/>
      </w:r>
    </w:p>
    <w:p>
      <w:pPr>
        <w:pStyle w:val="TOC8"/>
        <w:rPr>
          <w:rFonts w:asciiTheme="minorHAnsi" w:eastAsiaTheme="minorEastAsia" w:hAnsiTheme="minorHAnsi" w:cstheme="minorBidi"/>
          <w:szCs w:val="22"/>
        </w:rPr>
      </w:pPr>
      <w:r>
        <w:t>24A.</w:t>
      </w:r>
      <w:r>
        <w:tab/>
        <w:t>Offences relating to making and accepting wagers</w:t>
      </w:r>
      <w:r>
        <w:tab/>
      </w:r>
      <w:r>
        <w:fldChar w:fldCharType="begin"/>
      </w:r>
      <w:r>
        <w:instrText xml:space="preserve"> PAGEREF _Toc154068282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Fees, taxes and other amounts payable by RWWA</w:t>
      </w:r>
    </w:p>
    <w:p>
      <w:pPr>
        <w:pStyle w:val="TOC8"/>
        <w:rPr>
          <w:rFonts w:asciiTheme="minorHAnsi" w:eastAsiaTheme="minorEastAsia" w:hAnsiTheme="minorHAnsi" w:cstheme="minorBidi"/>
          <w:szCs w:val="22"/>
        </w:rPr>
      </w:pPr>
      <w:r>
        <w:t>25.</w:t>
      </w:r>
      <w:r>
        <w:tab/>
        <w:t>Section 53 fee</w:t>
      </w:r>
      <w:r>
        <w:tab/>
      </w:r>
      <w:r>
        <w:fldChar w:fldCharType="begin"/>
      </w:r>
      <w:r>
        <w:instrText xml:space="preserve"> PAGEREF _Toc154068284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6 </w:t>
      </w:r>
      <w:r>
        <w:rPr>
          <w:b w:val="0"/>
        </w:rPr>
        <w:t>—</w:t>
      </w:r>
      <w:r>
        <w:t> General conditions relating to wagers made at or through totalisator agencies</w:t>
      </w:r>
    </w:p>
    <w:p>
      <w:pPr>
        <w:pStyle w:val="TOC8"/>
        <w:rPr>
          <w:rFonts w:asciiTheme="minorHAnsi" w:eastAsiaTheme="minorEastAsia" w:hAnsiTheme="minorHAnsi" w:cstheme="minorBidi"/>
          <w:szCs w:val="22"/>
        </w:rPr>
      </w:pPr>
      <w:r>
        <w:t>27.</w:t>
      </w:r>
      <w:r>
        <w:tab/>
        <w:t>Persons excluded from totalisator agencies</w:t>
      </w:r>
      <w:r>
        <w:tab/>
      </w:r>
      <w:r>
        <w:fldChar w:fldCharType="begin"/>
      </w:r>
      <w:r>
        <w:instrText xml:space="preserve"> PAGEREF _Toc154068286 \h </w:instrText>
      </w:r>
      <w:r>
        <w:fldChar w:fldCharType="separate"/>
      </w:r>
      <w:r>
        <w:t>19</w:t>
      </w:r>
      <w:r>
        <w:fldChar w:fldCharType="end"/>
      </w:r>
    </w:p>
    <w:p>
      <w:pPr>
        <w:pStyle w:val="TOC8"/>
        <w:rPr>
          <w:rFonts w:asciiTheme="minorHAnsi" w:eastAsiaTheme="minorEastAsia" w:hAnsiTheme="minorHAnsi" w:cstheme="minorBidi"/>
          <w:szCs w:val="22"/>
        </w:rPr>
      </w:pPr>
      <w:r>
        <w:t>28.</w:t>
      </w:r>
      <w:r>
        <w:tab/>
        <w:t>Person making wager bound by these regulations, the rules of wagering and instructions</w:t>
      </w:r>
      <w:r>
        <w:tab/>
      </w:r>
      <w:r>
        <w:fldChar w:fldCharType="begin"/>
      </w:r>
      <w:r>
        <w:instrText xml:space="preserve"> PAGEREF _Toc154068287 \h </w:instrText>
      </w:r>
      <w:r>
        <w:fldChar w:fldCharType="separate"/>
      </w:r>
      <w:r>
        <w:t>20</w:t>
      </w:r>
      <w:r>
        <w:fldChar w:fldCharType="end"/>
      </w:r>
    </w:p>
    <w:p>
      <w:pPr>
        <w:pStyle w:val="TOC8"/>
        <w:rPr>
          <w:rFonts w:asciiTheme="minorHAnsi" w:eastAsiaTheme="minorEastAsia" w:hAnsiTheme="minorHAnsi" w:cstheme="minorBidi"/>
          <w:szCs w:val="22"/>
        </w:rPr>
      </w:pPr>
      <w:r>
        <w:t>29.</w:t>
      </w:r>
      <w:r>
        <w:tab/>
        <w:t>Wagers accepted subject to the rules and these regulations</w:t>
      </w:r>
      <w:r>
        <w:tab/>
      </w:r>
      <w:r>
        <w:fldChar w:fldCharType="begin"/>
      </w:r>
      <w:r>
        <w:instrText xml:space="preserve"> PAGEREF _Toc154068288 \h </w:instrText>
      </w:r>
      <w:r>
        <w:fldChar w:fldCharType="separate"/>
      </w:r>
      <w:r>
        <w:t>20</w:t>
      </w:r>
      <w:r>
        <w:fldChar w:fldCharType="end"/>
      </w:r>
    </w:p>
    <w:p>
      <w:pPr>
        <w:pStyle w:val="TOC8"/>
        <w:rPr>
          <w:rFonts w:asciiTheme="minorHAnsi" w:eastAsiaTheme="minorEastAsia" w:hAnsiTheme="minorHAnsi" w:cstheme="minorBidi"/>
          <w:szCs w:val="22"/>
        </w:rPr>
      </w:pPr>
      <w:r>
        <w:t>30.</w:t>
      </w:r>
      <w:r>
        <w:tab/>
        <w:t>All wagers to be 50 cents or multiples of 50 cents</w:t>
      </w:r>
      <w:r>
        <w:tab/>
      </w:r>
      <w:r>
        <w:fldChar w:fldCharType="begin"/>
      </w:r>
      <w:r>
        <w:instrText xml:space="preserve"> PAGEREF _Toc154068289 \h </w:instrText>
      </w:r>
      <w:r>
        <w:fldChar w:fldCharType="separate"/>
      </w:r>
      <w:r>
        <w:t>21</w:t>
      </w:r>
      <w:r>
        <w:fldChar w:fldCharType="end"/>
      </w:r>
    </w:p>
    <w:p>
      <w:pPr>
        <w:pStyle w:val="TOC8"/>
        <w:rPr>
          <w:rFonts w:asciiTheme="minorHAnsi" w:eastAsiaTheme="minorEastAsia" w:hAnsiTheme="minorHAnsi" w:cstheme="minorBidi"/>
          <w:szCs w:val="22"/>
        </w:rPr>
      </w:pPr>
      <w:r>
        <w:t>31.</w:t>
      </w:r>
      <w:r>
        <w:tab/>
        <w:t>Dividend as declared</w:t>
      </w:r>
      <w:r>
        <w:tab/>
      </w:r>
      <w:r>
        <w:fldChar w:fldCharType="begin"/>
      </w:r>
      <w:r>
        <w:instrText xml:space="preserve"> PAGEREF _Toc154068290 \h </w:instrText>
      </w:r>
      <w:r>
        <w:fldChar w:fldCharType="separate"/>
      </w:r>
      <w:r>
        <w:t>22</w:t>
      </w:r>
      <w:r>
        <w:fldChar w:fldCharType="end"/>
      </w:r>
    </w:p>
    <w:p>
      <w:pPr>
        <w:pStyle w:val="TOC8"/>
        <w:rPr>
          <w:rFonts w:asciiTheme="minorHAnsi" w:eastAsiaTheme="minorEastAsia" w:hAnsiTheme="minorHAnsi" w:cstheme="minorBidi"/>
          <w:szCs w:val="22"/>
        </w:rPr>
      </w:pPr>
      <w:r>
        <w:t>32.</w:t>
      </w:r>
      <w:r>
        <w:tab/>
        <w:t>Wagers may be refused</w:t>
      </w:r>
      <w:r>
        <w:tab/>
      </w:r>
      <w:r>
        <w:fldChar w:fldCharType="begin"/>
      </w:r>
      <w:r>
        <w:instrText xml:space="preserve"> PAGEREF _Toc154068291 \h </w:instrText>
      </w:r>
      <w:r>
        <w:fldChar w:fldCharType="separate"/>
      </w:r>
      <w:r>
        <w:t>23</w:t>
      </w:r>
      <w:r>
        <w:fldChar w:fldCharType="end"/>
      </w:r>
    </w:p>
    <w:p>
      <w:pPr>
        <w:pStyle w:val="TOC8"/>
        <w:rPr>
          <w:rFonts w:asciiTheme="minorHAnsi" w:eastAsiaTheme="minorEastAsia" w:hAnsiTheme="minorHAnsi" w:cstheme="minorBidi"/>
          <w:szCs w:val="22"/>
        </w:rPr>
      </w:pPr>
      <w:r>
        <w:t>33.</w:t>
      </w:r>
      <w:r>
        <w:tab/>
        <w:t>Only authorised wagers to be accepted</w:t>
      </w:r>
      <w:r>
        <w:tab/>
      </w:r>
      <w:r>
        <w:fldChar w:fldCharType="begin"/>
      </w:r>
      <w:r>
        <w:instrText xml:space="preserve"> PAGEREF _Toc154068292 \h </w:instrText>
      </w:r>
      <w:r>
        <w:fldChar w:fldCharType="separate"/>
      </w:r>
      <w:r>
        <w:t>23</w:t>
      </w:r>
      <w:r>
        <w:fldChar w:fldCharType="end"/>
      </w:r>
    </w:p>
    <w:p>
      <w:pPr>
        <w:pStyle w:val="TOC8"/>
        <w:rPr>
          <w:rFonts w:asciiTheme="minorHAnsi" w:eastAsiaTheme="minorEastAsia" w:hAnsiTheme="minorHAnsi" w:cstheme="minorBidi"/>
          <w:szCs w:val="22"/>
        </w:rPr>
      </w:pPr>
      <w:r>
        <w:t>34.</w:t>
      </w:r>
      <w:r>
        <w:tab/>
        <w:t>Hours for opening</w:t>
      </w:r>
      <w:r>
        <w:tab/>
      </w:r>
      <w:r>
        <w:fldChar w:fldCharType="begin"/>
      </w:r>
      <w:r>
        <w:instrText xml:space="preserve"> PAGEREF _Toc154068293 \h </w:instrText>
      </w:r>
      <w:r>
        <w:fldChar w:fldCharType="separate"/>
      </w:r>
      <w:r>
        <w:t>23</w:t>
      </w:r>
      <w:r>
        <w:fldChar w:fldCharType="end"/>
      </w:r>
    </w:p>
    <w:p>
      <w:pPr>
        <w:pStyle w:val="TOC8"/>
        <w:rPr>
          <w:rFonts w:asciiTheme="minorHAnsi" w:eastAsiaTheme="minorEastAsia" w:hAnsiTheme="minorHAnsi" w:cstheme="minorBidi"/>
          <w:szCs w:val="22"/>
        </w:rPr>
      </w:pPr>
      <w:r>
        <w:t>35.</w:t>
      </w:r>
      <w:r>
        <w:tab/>
        <w:t>Wagers may be made by various methods</w:t>
      </w:r>
      <w:r>
        <w:tab/>
      </w:r>
      <w:r>
        <w:fldChar w:fldCharType="begin"/>
      </w:r>
      <w:r>
        <w:instrText xml:space="preserve"> PAGEREF _Toc154068294 \h </w:instrText>
      </w:r>
      <w:r>
        <w:fldChar w:fldCharType="separate"/>
      </w:r>
      <w:r>
        <w:t>24</w:t>
      </w:r>
      <w:r>
        <w:fldChar w:fldCharType="end"/>
      </w:r>
    </w:p>
    <w:p>
      <w:pPr>
        <w:pStyle w:val="TOC8"/>
        <w:rPr>
          <w:rFonts w:asciiTheme="minorHAnsi" w:eastAsiaTheme="minorEastAsia" w:hAnsiTheme="minorHAnsi" w:cstheme="minorBidi"/>
          <w:szCs w:val="22"/>
        </w:rPr>
      </w:pPr>
      <w:r>
        <w:t>36.</w:t>
      </w:r>
      <w:r>
        <w:tab/>
        <w:t>Wagers to be properly marked</w:t>
      </w:r>
      <w:r>
        <w:tab/>
      </w:r>
      <w:r>
        <w:fldChar w:fldCharType="begin"/>
      </w:r>
      <w:r>
        <w:instrText xml:space="preserve"> PAGEREF _Toc154068295 \h </w:instrText>
      </w:r>
      <w:r>
        <w:fldChar w:fldCharType="separate"/>
      </w:r>
      <w:r>
        <w:t>25</w:t>
      </w:r>
      <w:r>
        <w:fldChar w:fldCharType="end"/>
      </w:r>
    </w:p>
    <w:p>
      <w:pPr>
        <w:pStyle w:val="TOC8"/>
        <w:rPr>
          <w:rFonts w:asciiTheme="minorHAnsi" w:eastAsiaTheme="minorEastAsia" w:hAnsiTheme="minorHAnsi" w:cstheme="minorBidi"/>
          <w:szCs w:val="22"/>
        </w:rPr>
      </w:pPr>
      <w:r>
        <w:t>37.</w:t>
      </w:r>
      <w:r>
        <w:tab/>
        <w:t>RWWA may decide particulars of wagers</w:t>
      </w:r>
      <w:r>
        <w:tab/>
      </w:r>
      <w:r>
        <w:fldChar w:fldCharType="begin"/>
      </w:r>
      <w:r>
        <w:instrText xml:space="preserve"> PAGEREF _Toc154068296 \h </w:instrText>
      </w:r>
      <w:r>
        <w:fldChar w:fldCharType="separate"/>
      </w:r>
      <w:r>
        <w:t>26</w:t>
      </w:r>
      <w:r>
        <w:fldChar w:fldCharType="end"/>
      </w:r>
    </w:p>
    <w:p>
      <w:pPr>
        <w:pStyle w:val="TOC8"/>
        <w:rPr>
          <w:rFonts w:asciiTheme="minorHAnsi" w:eastAsiaTheme="minorEastAsia" w:hAnsiTheme="minorHAnsi" w:cstheme="minorBidi"/>
          <w:szCs w:val="22"/>
        </w:rPr>
      </w:pPr>
      <w:r>
        <w:t>38.</w:t>
      </w:r>
      <w:r>
        <w:tab/>
        <w:t>Tickets to be properly marked</w:t>
      </w:r>
      <w:r>
        <w:tab/>
      </w:r>
      <w:r>
        <w:fldChar w:fldCharType="begin"/>
      </w:r>
      <w:r>
        <w:instrText xml:space="preserve"> PAGEREF _Toc154068297 \h </w:instrText>
      </w:r>
      <w:r>
        <w:fldChar w:fldCharType="separate"/>
      </w:r>
      <w:r>
        <w:t>26</w:t>
      </w:r>
      <w:r>
        <w:fldChar w:fldCharType="end"/>
      </w:r>
    </w:p>
    <w:p>
      <w:pPr>
        <w:pStyle w:val="TOC8"/>
        <w:rPr>
          <w:rFonts w:asciiTheme="minorHAnsi" w:eastAsiaTheme="minorEastAsia" w:hAnsiTheme="minorHAnsi" w:cstheme="minorBidi"/>
          <w:szCs w:val="22"/>
        </w:rPr>
      </w:pPr>
      <w:r>
        <w:t>39.</w:t>
      </w:r>
      <w:r>
        <w:tab/>
        <w:t>RWWA to exhibit notices</w:t>
      </w:r>
      <w:r>
        <w:tab/>
      </w:r>
      <w:r>
        <w:fldChar w:fldCharType="begin"/>
      </w:r>
      <w:r>
        <w:instrText xml:space="preserve"> PAGEREF _Toc154068298 \h </w:instrText>
      </w:r>
      <w:r>
        <w:fldChar w:fldCharType="separate"/>
      </w:r>
      <w:r>
        <w:t>27</w:t>
      </w:r>
      <w:r>
        <w:fldChar w:fldCharType="end"/>
      </w:r>
    </w:p>
    <w:p>
      <w:pPr>
        <w:pStyle w:val="TOC8"/>
        <w:rPr>
          <w:rFonts w:asciiTheme="minorHAnsi" w:eastAsiaTheme="minorEastAsia" w:hAnsiTheme="minorHAnsi" w:cstheme="minorBidi"/>
          <w:szCs w:val="22"/>
        </w:rPr>
      </w:pPr>
      <w:r>
        <w:t>40.</w:t>
      </w:r>
      <w:r>
        <w:tab/>
        <w:t>Correction of errors and omissions, and the giving of certain refunds</w:t>
      </w:r>
      <w:r>
        <w:tab/>
      </w:r>
      <w:r>
        <w:fldChar w:fldCharType="begin"/>
      </w:r>
      <w:r>
        <w:instrText xml:space="preserve"> PAGEREF _Toc154068299 \h </w:instrText>
      </w:r>
      <w:r>
        <w:fldChar w:fldCharType="separate"/>
      </w:r>
      <w:r>
        <w:t>28</w:t>
      </w:r>
      <w:r>
        <w:fldChar w:fldCharType="end"/>
      </w:r>
    </w:p>
    <w:p>
      <w:pPr>
        <w:pStyle w:val="TOC8"/>
        <w:rPr>
          <w:rFonts w:asciiTheme="minorHAnsi" w:eastAsiaTheme="minorEastAsia" w:hAnsiTheme="minorHAnsi" w:cstheme="minorBidi"/>
          <w:szCs w:val="22"/>
        </w:rPr>
      </w:pPr>
      <w:r>
        <w:t>41.</w:t>
      </w:r>
      <w:r>
        <w:tab/>
        <w:t>Time for payment of dividends or refunds for cash wagers</w:t>
      </w:r>
      <w:r>
        <w:tab/>
      </w:r>
      <w:r>
        <w:fldChar w:fldCharType="begin"/>
      </w:r>
      <w:r>
        <w:instrText xml:space="preserve"> PAGEREF _Toc154068300 \h </w:instrText>
      </w:r>
      <w:r>
        <w:fldChar w:fldCharType="separate"/>
      </w:r>
      <w:r>
        <w:t>30</w:t>
      </w:r>
      <w:r>
        <w:fldChar w:fldCharType="end"/>
      </w:r>
    </w:p>
    <w:p>
      <w:pPr>
        <w:pStyle w:val="TOC8"/>
        <w:rPr>
          <w:rFonts w:asciiTheme="minorHAnsi" w:eastAsiaTheme="minorEastAsia" w:hAnsiTheme="minorHAnsi" w:cstheme="minorBidi"/>
          <w:szCs w:val="22"/>
        </w:rPr>
      </w:pPr>
      <w:r>
        <w:lastRenderedPageBreak/>
        <w:t>42.</w:t>
      </w:r>
      <w:r>
        <w:tab/>
        <w:t>Presentation of tickets or claims</w:t>
      </w:r>
      <w:r>
        <w:tab/>
      </w:r>
      <w:r>
        <w:fldChar w:fldCharType="begin"/>
      </w:r>
      <w:r>
        <w:instrText xml:space="preserve"> PAGEREF _Toc154068301 \h </w:instrText>
      </w:r>
      <w:r>
        <w:fldChar w:fldCharType="separate"/>
      </w:r>
      <w:r>
        <w:t>30</w:t>
      </w:r>
      <w:r>
        <w:fldChar w:fldCharType="end"/>
      </w:r>
    </w:p>
    <w:p>
      <w:pPr>
        <w:pStyle w:val="TOC8"/>
        <w:rPr>
          <w:rFonts w:asciiTheme="minorHAnsi" w:eastAsiaTheme="minorEastAsia" w:hAnsiTheme="minorHAnsi" w:cstheme="minorBidi"/>
          <w:szCs w:val="22"/>
        </w:rPr>
      </w:pPr>
      <w:r>
        <w:t>43.</w:t>
      </w:r>
      <w:r>
        <w:tab/>
        <w:t>When refunds of wagers are payable</w:t>
      </w:r>
      <w:r>
        <w:tab/>
      </w:r>
      <w:r>
        <w:fldChar w:fldCharType="begin"/>
      </w:r>
      <w:r>
        <w:instrText xml:space="preserve"> PAGEREF _Toc154068302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7 </w:t>
      </w:r>
      <w:r>
        <w:rPr>
          <w:b w:val="0"/>
        </w:rPr>
        <w:t>—</w:t>
      </w:r>
      <w:r>
        <w:t> General conditions related to wagers received and transmitted by racing club to RWWA</w:t>
      </w:r>
    </w:p>
    <w:p>
      <w:pPr>
        <w:pStyle w:val="TOC8"/>
        <w:rPr>
          <w:rFonts w:asciiTheme="minorHAnsi" w:eastAsiaTheme="minorEastAsia" w:hAnsiTheme="minorHAnsi" w:cstheme="minorBidi"/>
          <w:szCs w:val="22"/>
        </w:rPr>
      </w:pPr>
      <w:r>
        <w:t>44.</w:t>
      </w:r>
      <w:r>
        <w:tab/>
        <w:t>Authorised racing club may transmit wagers</w:t>
      </w:r>
      <w:r>
        <w:tab/>
      </w:r>
      <w:r>
        <w:fldChar w:fldCharType="begin"/>
      </w:r>
      <w:r>
        <w:instrText xml:space="preserve"> PAGEREF _Toc154068304 \h </w:instrText>
      </w:r>
      <w:r>
        <w:fldChar w:fldCharType="separate"/>
      </w:r>
      <w:r>
        <w:t>34</w:t>
      </w:r>
      <w:r>
        <w:fldChar w:fldCharType="end"/>
      </w:r>
    </w:p>
    <w:p>
      <w:pPr>
        <w:pStyle w:val="TOC8"/>
        <w:rPr>
          <w:rFonts w:asciiTheme="minorHAnsi" w:eastAsiaTheme="minorEastAsia" w:hAnsiTheme="minorHAnsi" w:cstheme="minorBidi"/>
          <w:szCs w:val="22"/>
        </w:rPr>
      </w:pPr>
      <w:r>
        <w:t>45.</w:t>
      </w:r>
      <w:r>
        <w:tab/>
        <w:t>Person making wager bound by these regulations and rules of wagering</w:t>
      </w:r>
      <w:r>
        <w:tab/>
      </w:r>
      <w:r>
        <w:fldChar w:fldCharType="begin"/>
      </w:r>
      <w:r>
        <w:instrText xml:space="preserve"> PAGEREF _Toc154068305 \h </w:instrText>
      </w:r>
      <w:r>
        <w:fldChar w:fldCharType="separate"/>
      </w:r>
      <w:r>
        <w:t>34</w:t>
      </w:r>
      <w:r>
        <w:fldChar w:fldCharType="end"/>
      </w:r>
    </w:p>
    <w:p>
      <w:pPr>
        <w:pStyle w:val="TOC8"/>
        <w:rPr>
          <w:rFonts w:asciiTheme="minorHAnsi" w:eastAsiaTheme="minorEastAsia" w:hAnsiTheme="minorHAnsi" w:cstheme="minorBidi"/>
          <w:szCs w:val="22"/>
        </w:rPr>
      </w:pPr>
      <w:r>
        <w:t>46.</w:t>
      </w:r>
      <w:r>
        <w:tab/>
        <w:t>Only authorised wagering to be accepted</w:t>
      </w:r>
      <w:r>
        <w:tab/>
      </w:r>
      <w:r>
        <w:fldChar w:fldCharType="begin"/>
      </w:r>
      <w:r>
        <w:instrText xml:space="preserve"> PAGEREF _Toc154068306 \h </w:instrText>
      </w:r>
      <w:r>
        <w:fldChar w:fldCharType="separate"/>
      </w:r>
      <w:r>
        <w:t>34</w:t>
      </w:r>
      <w:r>
        <w:fldChar w:fldCharType="end"/>
      </w:r>
    </w:p>
    <w:p>
      <w:pPr>
        <w:pStyle w:val="TOC8"/>
        <w:rPr>
          <w:rFonts w:asciiTheme="minorHAnsi" w:eastAsiaTheme="minorEastAsia" w:hAnsiTheme="minorHAnsi" w:cstheme="minorBidi"/>
          <w:szCs w:val="22"/>
        </w:rPr>
      </w:pPr>
      <w:r>
        <w:t>47.</w:t>
      </w:r>
      <w:r>
        <w:tab/>
        <w:t>Wagers transmitted by racing club to be registered on RWWA’s totalisator</w:t>
      </w:r>
      <w:r>
        <w:tab/>
      </w:r>
      <w:r>
        <w:fldChar w:fldCharType="begin"/>
      </w:r>
      <w:r>
        <w:instrText xml:space="preserve"> PAGEREF _Toc154068307 \h </w:instrText>
      </w:r>
      <w:r>
        <w:fldChar w:fldCharType="separate"/>
      </w:r>
      <w:r>
        <w:t>35</w:t>
      </w:r>
      <w:r>
        <w:fldChar w:fldCharType="end"/>
      </w:r>
    </w:p>
    <w:p>
      <w:pPr>
        <w:pStyle w:val="TOC8"/>
        <w:rPr>
          <w:rFonts w:asciiTheme="minorHAnsi" w:eastAsiaTheme="minorEastAsia" w:hAnsiTheme="minorHAnsi" w:cstheme="minorBidi"/>
          <w:szCs w:val="22"/>
        </w:rPr>
      </w:pPr>
      <w:r>
        <w:t>48.</w:t>
      </w:r>
      <w:r>
        <w:tab/>
        <w:t>Apportionment of profit or loss</w:t>
      </w:r>
      <w:r>
        <w:tab/>
      </w:r>
      <w:r>
        <w:fldChar w:fldCharType="begin"/>
      </w:r>
      <w:r>
        <w:instrText xml:space="preserve"> PAGEREF _Toc154068308 \h </w:instrText>
      </w:r>
      <w:r>
        <w:fldChar w:fldCharType="separate"/>
      </w:r>
      <w:r>
        <w:t>35</w:t>
      </w:r>
      <w:r>
        <w:fldChar w:fldCharType="end"/>
      </w:r>
    </w:p>
    <w:p>
      <w:pPr>
        <w:pStyle w:val="TOC8"/>
        <w:rPr>
          <w:rFonts w:asciiTheme="minorHAnsi" w:eastAsiaTheme="minorEastAsia" w:hAnsiTheme="minorHAnsi" w:cstheme="minorBidi"/>
          <w:szCs w:val="22"/>
        </w:rPr>
      </w:pPr>
      <w:r>
        <w:t>49.</w:t>
      </w:r>
      <w:r>
        <w:tab/>
        <w:t>References to pool conducted by RWWA</w:t>
      </w:r>
      <w:r>
        <w:tab/>
      </w:r>
      <w:r>
        <w:fldChar w:fldCharType="begin"/>
      </w:r>
      <w:r>
        <w:instrText xml:space="preserve"> PAGEREF _Toc154068309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8 — Wagering accounts</w:t>
      </w:r>
    </w:p>
    <w:p>
      <w:pPr>
        <w:pStyle w:val="TOC8"/>
        <w:rPr>
          <w:rFonts w:asciiTheme="minorHAnsi" w:eastAsiaTheme="minorEastAsia" w:hAnsiTheme="minorHAnsi" w:cstheme="minorBidi"/>
          <w:szCs w:val="22"/>
        </w:rPr>
      </w:pPr>
      <w:r>
        <w:t>50.</w:t>
      </w:r>
      <w:r>
        <w:tab/>
        <w:t>Procedure for establishing wagering account</w:t>
      </w:r>
      <w:r>
        <w:tab/>
      </w:r>
      <w:r>
        <w:fldChar w:fldCharType="begin"/>
      </w:r>
      <w:r>
        <w:instrText xml:space="preserve"> PAGEREF _Toc154068311 \h </w:instrText>
      </w:r>
      <w:r>
        <w:fldChar w:fldCharType="separate"/>
      </w:r>
      <w:r>
        <w:t>37</w:t>
      </w:r>
      <w:r>
        <w:fldChar w:fldCharType="end"/>
      </w:r>
    </w:p>
    <w:p>
      <w:pPr>
        <w:pStyle w:val="TOC8"/>
        <w:rPr>
          <w:rFonts w:asciiTheme="minorHAnsi" w:eastAsiaTheme="minorEastAsia" w:hAnsiTheme="minorHAnsi" w:cstheme="minorBidi"/>
          <w:szCs w:val="22"/>
        </w:rPr>
      </w:pPr>
      <w:r>
        <w:t>51.</w:t>
      </w:r>
      <w:r>
        <w:tab/>
        <w:t>Procedure for keeping, maintaining, increasing or renewing a wagering account</w:t>
      </w:r>
      <w:r>
        <w:tab/>
      </w:r>
      <w:r>
        <w:fldChar w:fldCharType="begin"/>
      </w:r>
      <w:r>
        <w:instrText xml:space="preserve"> PAGEREF _Toc154068312 \h </w:instrText>
      </w:r>
      <w:r>
        <w:fldChar w:fldCharType="separate"/>
      </w:r>
      <w:r>
        <w:t>38</w:t>
      </w:r>
      <w:r>
        <w:fldChar w:fldCharType="end"/>
      </w:r>
    </w:p>
    <w:p>
      <w:pPr>
        <w:pStyle w:val="TOC8"/>
        <w:rPr>
          <w:rFonts w:asciiTheme="minorHAnsi" w:eastAsiaTheme="minorEastAsia" w:hAnsiTheme="minorHAnsi" w:cstheme="minorBidi"/>
          <w:szCs w:val="22"/>
        </w:rPr>
      </w:pPr>
      <w:r>
        <w:t>52.</w:t>
      </w:r>
      <w:r>
        <w:tab/>
        <w:t>Recording of wagers against a wagering account</w:t>
      </w:r>
      <w:r>
        <w:tab/>
      </w:r>
      <w:r>
        <w:fldChar w:fldCharType="begin"/>
      </w:r>
      <w:r>
        <w:instrText xml:space="preserve"> PAGEREF _Toc154068313 \h </w:instrText>
      </w:r>
      <w:r>
        <w:fldChar w:fldCharType="separate"/>
      </w:r>
      <w:r>
        <w:t>38</w:t>
      </w:r>
      <w:r>
        <w:fldChar w:fldCharType="end"/>
      </w:r>
    </w:p>
    <w:p>
      <w:pPr>
        <w:pStyle w:val="TOC8"/>
        <w:rPr>
          <w:rFonts w:asciiTheme="minorHAnsi" w:eastAsiaTheme="minorEastAsia" w:hAnsiTheme="minorHAnsi" w:cstheme="minorBidi"/>
          <w:szCs w:val="22"/>
        </w:rPr>
      </w:pPr>
      <w:r>
        <w:t>53.</w:t>
      </w:r>
      <w:r>
        <w:tab/>
        <w:t>Crediting of dividends against a wagering account</w:t>
      </w:r>
      <w:r>
        <w:tab/>
      </w:r>
      <w:r>
        <w:fldChar w:fldCharType="begin"/>
      </w:r>
      <w:r>
        <w:instrText xml:space="preserve"> PAGEREF _Toc154068314 \h </w:instrText>
      </w:r>
      <w:r>
        <w:fldChar w:fldCharType="separate"/>
      </w:r>
      <w:r>
        <w:t>39</w:t>
      </w:r>
      <w:r>
        <w:fldChar w:fldCharType="end"/>
      </w:r>
    </w:p>
    <w:p>
      <w:pPr>
        <w:pStyle w:val="TOC8"/>
        <w:rPr>
          <w:rFonts w:asciiTheme="minorHAnsi" w:eastAsiaTheme="minorEastAsia" w:hAnsiTheme="minorHAnsi" w:cstheme="minorBidi"/>
          <w:szCs w:val="22"/>
        </w:rPr>
      </w:pPr>
      <w:r>
        <w:t>54.</w:t>
      </w:r>
      <w:r>
        <w:tab/>
        <w:t>Wagering accounts to be disposed of in accordance with instructions</w:t>
      </w:r>
      <w:r>
        <w:tab/>
      </w:r>
      <w:r>
        <w:fldChar w:fldCharType="begin"/>
      </w:r>
      <w:r>
        <w:instrText xml:space="preserve"> PAGEREF _Toc154068315 \h </w:instrText>
      </w:r>
      <w:r>
        <w:fldChar w:fldCharType="separate"/>
      </w:r>
      <w:r>
        <w:t>39</w:t>
      </w:r>
      <w:r>
        <w:fldChar w:fldCharType="end"/>
      </w:r>
    </w:p>
    <w:p>
      <w:pPr>
        <w:pStyle w:val="TOC8"/>
        <w:rPr>
          <w:rFonts w:asciiTheme="minorHAnsi" w:eastAsiaTheme="minorEastAsia" w:hAnsiTheme="minorHAnsi" w:cstheme="minorBidi"/>
          <w:szCs w:val="22"/>
        </w:rPr>
      </w:pPr>
      <w:r>
        <w:t>55.</w:t>
      </w:r>
      <w:r>
        <w:tab/>
        <w:t>General conditions applicable to wagering accounts</w:t>
      </w:r>
      <w:r>
        <w:tab/>
      </w:r>
      <w:r>
        <w:fldChar w:fldCharType="begin"/>
      </w:r>
      <w:r>
        <w:instrText xml:space="preserve"> PAGEREF _Toc154068316 \h </w:instrText>
      </w:r>
      <w:r>
        <w:fldChar w:fldCharType="separate"/>
      </w:r>
      <w:r>
        <w:t>39</w:t>
      </w:r>
      <w:r>
        <w:fldChar w:fldCharType="end"/>
      </w:r>
    </w:p>
    <w:p>
      <w:pPr>
        <w:pStyle w:val="TOC8"/>
        <w:rPr>
          <w:rFonts w:asciiTheme="minorHAnsi" w:eastAsiaTheme="minorEastAsia" w:hAnsiTheme="minorHAnsi" w:cstheme="minorBidi"/>
          <w:szCs w:val="22"/>
        </w:rPr>
      </w:pPr>
      <w:r>
        <w:t>56.</w:t>
      </w:r>
      <w:r>
        <w:tab/>
        <w:t>General conditions on statements of account</w:t>
      </w:r>
      <w:r>
        <w:tab/>
      </w:r>
      <w:r>
        <w:fldChar w:fldCharType="begin"/>
      </w:r>
      <w:r>
        <w:instrText xml:space="preserve"> PAGEREF _Toc154068317 \h </w:instrText>
      </w:r>
      <w:r>
        <w:fldChar w:fldCharType="separate"/>
      </w:r>
      <w:r>
        <w:t>40</w:t>
      </w:r>
      <w:r>
        <w:fldChar w:fldCharType="end"/>
      </w:r>
    </w:p>
    <w:p>
      <w:pPr>
        <w:pStyle w:val="TOC8"/>
        <w:rPr>
          <w:rFonts w:asciiTheme="minorHAnsi" w:eastAsiaTheme="minorEastAsia" w:hAnsiTheme="minorHAnsi" w:cstheme="minorBidi"/>
          <w:szCs w:val="22"/>
        </w:rPr>
      </w:pPr>
      <w:r>
        <w:t>57.</w:t>
      </w:r>
      <w:r>
        <w:tab/>
        <w:t>General provisions relating to wagers made by post</w:t>
      </w:r>
      <w:r>
        <w:tab/>
      </w:r>
      <w:r>
        <w:fldChar w:fldCharType="begin"/>
      </w:r>
      <w:r>
        <w:instrText xml:space="preserve"> PAGEREF _Toc154068318 \h </w:instrText>
      </w:r>
      <w:r>
        <w:fldChar w:fldCharType="separate"/>
      </w:r>
      <w:r>
        <w:t>41</w:t>
      </w:r>
      <w:r>
        <w:fldChar w:fldCharType="end"/>
      </w:r>
    </w:p>
    <w:p>
      <w:pPr>
        <w:pStyle w:val="TOC8"/>
        <w:rPr>
          <w:rFonts w:asciiTheme="minorHAnsi" w:eastAsiaTheme="minorEastAsia" w:hAnsiTheme="minorHAnsi" w:cstheme="minorBidi"/>
          <w:szCs w:val="22"/>
        </w:rPr>
      </w:pPr>
      <w:r>
        <w:t>58.</w:t>
      </w:r>
      <w:r>
        <w:tab/>
        <w:t>Crediting and payment of dividends and refunds on wagering accounts and wagers made by post</w:t>
      </w:r>
      <w:r>
        <w:tab/>
      </w:r>
      <w:r>
        <w:fldChar w:fldCharType="begin"/>
      </w:r>
      <w:r>
        <w:instrText xml:space="preserve"> PAGEREF _Toc154068319 \h </w:instrText>
      </w:r>
      <w:r>
        <w:fldChar w:fldCharType="separate"/>
      </w:r>
      <w:r>
        <w:t>42</w:t>
      </w:r>
      <w:r>
        <w:fldChar w:fldCharType="end"/>
      </w:r>
    </w:p>
    <w:p>
      <w:pPr>
        <w:pStyle w:val="TOC8"/>
        <w:rPr>
          <w:rFonts w:asciiTheme="minorHAnsi" w:eastAsiaTheme="minorEastAsia" w:hAnsiTheme="minorHAnsi" w:cstheme="minorBidi"/>
          <w:szCs w:val="22"/>
        </w:rPr>
      </w:pPr>
      <w:r>
        <w:t>58A.</w:t>
      </w:r>
      <w:r>
        <w:tab/>
        <w:t>Refunds to wagering accounts following scratchings</w:t>
      </w:r>
      <w:r>
        <w:tab/>
      </w:r>
      <w:r>
        <w:fldChar w:fldCharType="begin"/>
      </w:r>
      <w:r>
        <w:instrText xml:space="preserve"> PAGEREF _Toc154068320 \h </w:instrText>
      </w:r>
      <w:r>
        <w:fldChar w:fldCharType="separate"/>
      </w:r>
      <w:r>
        <w:t>43</w:t>
      </w:r>
      <w:r>
        <w:fldChar w:fldCharType="end"/>
      </w:r>
    </w:p>
    <w:p>
      <w:pPr>
        <w:pStyle w:val="TOC8"/>
        <w:rPr>
          <w:rFonts w:asciiTheme="minorHAnsi" w:eastAsiaTheme="minorEastAsia" w:hAnsiTheme="minorHAnsi" w:cstheme="minorBidi"/>
          <w:szCs w:val="22"/>
        </w:rPr>
      </w:pPr>
      <w:r>
        <w:t>59.</w:t>
      </w:r>
      <w:r>
        <w:tab/>
        <w:t>Wagers by telephone or other electronic means</w:t>
      </w:r>
      <w:r>
        <w:tab/>
      </w:r>
      <w:r>
        <w:fldChar w:fldCharType="begin"/>
      </w:r>
      <w:r>
        <w:instrText xml:space="preserve"> PAGEREF _Toc154068321 \h </w:instrText>
      </w:r>
      <w:r>
        <w:fldChar w:fldCharType="separate"/>
      </w:r>
      <w:r>
        <w:t>44</w:t>
      </w:r>
      <w:r>
        <w:fldChar w:fldCharType="end"/>
      </w:r>
    </w:p>
    <w:p>
      <w:pPr>
        <w:pStyle w:val="TOC8"/>
        <w:rPr>
          <w:rFonts w:asciiTheme="minorHAnsi" w:eastAsiaTheme="minorEastAsia" w:hAnsiTheme="minorHAnsi" w:cstheme="minorBidi"/>
          <w:szCs w:val="22"/>
        </w:rPr>
      </w:pPr>
      <w:r>
        <w:t>60.</w:t>
      </w:r>
      <w:r>
        <w:tab/>
        <w:t>Errors in wagers by telephone or other electronic means</w:t>
      </w:r>
      <w:r>
        <w:tab/>
      </w:r>
      <w:r>
        <w:fldChar w:fldCharType="begin"/>
      </w:r>
      <w:r>
        <w:instrText xml:space="preserve"> PAGEREF _Toc154068322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9 — General provisions on wagering</w:t>
      </w:r>
    </w:p>
    <w:p>
      <w:pPr>
        <w:pStyle w:val="TOC8"/>
        <w:rPr>
          <w:rFonts w:asciiTheme="minorHAnsi" w:eastAsiaTheme="minorEastAsia" w:hAnsiTheme="minorHAnsi" w:cstheme="minorBidi"/>
          <w:szCs w:val="22"/>
        </w:rPr>
      </w:pPr>
      <w:r>
        <w:t>61.</w:t>
      </w:r>
      <w:r>
        <w:tab/>
        <w:t>Closing time for acceptance of wagers</w:t>
      </w:r>
      <w:r>
        <w:tab/>
      </w:r>
      <w:r>
        <w:fldChar w:fldCharType="begin"/>
      </w:r>
      <w:r>
        <w:instrText xml:space="preserve"> PAGEREF _Toc154068324 \h </w:instrText>
      </w:r>
      <w:r>
        <w:fldChar w:fldCharType="separate"/>
      </w:r>
      <w:r>
        <w:t>47</w:t>
      </w:r>
      <w:r>
        <w:fldChar w:fldCharType="end"/>
      </w:r>
    </w:p>
    <w:p>
      <w:pPr>
        <w:pStyle w:val="TOC8"/>
        <w:rPr>
          <w:rFonts w:asciiTheme="minorHAnsi" w:eastAsiaTheme="minorEastAsia" w:hAnsiTheme="minorHAnsi" w:cstheme="minorBidi"/>
          <w:szCs w:val="22"/>
        </w:rPr>
      </w:pPr>
      <w:r>
        <w:lastRenderedPageBreak/>
        <w:t>62.</w:t>
      </w:r>
      <w:r>
        <w:tab/>
        <w:t>Totalisator pools — generally</w:t>
      </w:r>
      <w:r>
        <w:tab/>
      </w:r>
      <w:r>
        <w:fldChar w:fldCharType="begin"/>
      </w:r>
      <w:r>
        <w:instrText xml:space="preserve"> PAGEREF _Toc154068325 \h </w:instrText>
      </w:r>
      <w:r>
        <w:fldChar w:fldCharType="separate"/>
      </w:r>
      <w:r>
        <w:t>47</w:t>
      </w:r>
      <w:r>
        <w:fldChar w:fldCharType="end"/>
      </w:r>
    </w:p>
    <w:p>
      <w:pPr>
        <w:pStyle w:val="TOC8"/>
        <w:rPr>
          <w:rFonts w:asciiTheme="minorHAnsi" w:eastAsiaTheme="minorEastAsia" w:hAnsiTheme="minorHAnsi" w:cstheme="minorBidi"/>
          <w:szCs w:val="22"/>
        </w:rPr>
      </w:pPr>
      <w:r>
        <w:t>63.</w:t>
      </w:r>
      <w:r>
        <w:tab/>
        <w:t>Communication failure where a combined totalisator pool scheme is conducted</w:t>
      </w:r>
      <w:r>
        <w:tab/>
      </w:r>
      <w:r>
        <w:fldChar w:fldCharType="begin"/>
      </w:r>
      <w:r>
        <w:instrText xml:space="preserve"> PAGEREF _Toc154068326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10 — Sporting events</w:t>
      </w:r>
    </w:p>
    <w:p>
      <w:pPr>
        <w:pStyle w:val="TOC8"/>
        <w:rPr>
          <w:rFonts w:asciiTheme="minorHAnsi" w:eastAsiaTheme="minorEastAsia" w:hAnsiTheme="minorHAnsi" w:cstheme="minorBidi"/>
          <w:szCs w:val="22"/>
        </w:rPr>
      </w:pPr>
      <w:r>
        <w:t>64.</w:t>
      </w:r>
      <w:r>
        <w:tab/>
        <w:t>RWWA may specify aspects of sporting events</w:t>
      </w:r>
      <w:r>
        <w:tab/>
      </w:r>
      <w:r>
        <w:fldChar w:fldCharType="begin"/>
      </w:r>
      <w:r>
        <w:instrText xml:space="preserve"> PAGEREF _Toc154068328 \h </w:instrText>
      </w:r>
      <w:r>
        <w:fldChar w:fldCharType="separate"/>
      </w:r>
      <w:r>
        <w:t>49</w:t>
      </w:r>
      <w:r>
        <w:fldChar w:fldCharType="end"/>
      </w:r>
    </w:p>
    <w:p>
      <w:pPr>
        <w:pStyle w:val="TOC8"/>
        <w:rPr>
          <w:rFonts w:asciiTheme="minorHAnsi" w:eastAsiaTheme="minorEastAsia" w:hAnsiTheme="minorHAnsi" w:cstheme="minorBidi"/>
          <w:szCs w:val="22"/>
        </w:rPr>
      </w:pPr>
      <w:r>
        <w:t>65.</w:t>
      </w:r>
      <w:r>
        <w:tab/>
        <w:t>General conditions relating to conduct of totalisator pools</w:t>
      </w:r>
      <w:r>
        <w:tab/>
      </w:r>
      <w:r>
        <w:fldChar w:fldCharType="begin"/>
      </w:r>
      <w:r>
        <w:instrText xml:space="preserve"> PAGEREF _Toc154068329 \h </w:instrText>
      </w:r>
      <w:r>
        <w:fldChar w:fldCharType="separate"/>
      </w:r>
      <w:r>
        <w:t>50</w:t>
      </w:r>
      <w:r>
        <w:fldChar w:fldCharType="end"/>
      </w:r>
    </w:p>
    <w:p>
      <w:pPr>
        <w:pStyle w:val="TOC8"/>
        <w:rPr>
          <w:rFonts w:asciiTheme="minorHAnsi" w:eastAsiaTheme="minorEastAsia" w:hAnsiTheme="minorHAnsi" w:cstheme="minorBidi"/>
          <w:szCs w:val="22"/>
        </w:rPr>
      </w:pPr>
      <w:r>
        <w:t>66.</w:t>
      </w:r>
      <w:r>
        <w:tab/>
        <w:t>General conditions relating to wagering on games and pools of games</w:t>
      </w:r>
      <w:r>
        <w:tab/>
      </w:r>
      <w:r>
        <w:fldChar w:fldCharType="begin"/>
      </w:r>
      <w:r>
        <w:instrText xml:space="preserve"> PAGEREF _Toc154068330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11 — Totalisator agencies</w:t>
      </w:r>
    </w:p>
    <w:p>
      <w:pPr>
        <w:pStyle w:val="TOC8"/>
        <w:rPr>
          <w:rFonts w:asciiTheme="minorHAnsi" w:eastAsiaTheme="minorEastAsia" w:hAnsiTheme="minorHAnsi" w:cstheme="minorBidi"/>
          <w:szCs w:val="22"/>
        </w:rPr>
      </w:pPr>
      <w:r>
        <w:t>67.</w:t>
      </w:r>
      <w:r>
        <w:tab/>
        <w:t>Notice of intention to establish long term totalisator agency (s. 52(2))</w:t>
      </w:r>
      <w:r>
        <w:tab/>
      </w:r>
      <w:r>
        <w:fldChar w:fldCharType="begin"/>
      </w:r>
      <w:r>
        <w:instrText xml:space="preserve"> PAGEREF _Toc154068332 \h </w:instrText>
      </w:r>
      <w:r>
        <w:fldChar w:fldCharType="separate"/>
      </w:r>
      <w:r>
        <w:t>52</w:t>
      </w:r>
      <w:r>
        <w:fldChar w:fldCharType="end"/>
      </w:r>
    </w:p>
    <w:p>
      <w:pPr>
        <w:pStyle w:val="TOC8"/>
        <w:rPr>
          <w:rFonts w:asciiTheme="minorHAnsi" w:eastAsiaTheme="minorEastAsia" w:hAnsiTheme="minorHAnsi" w:cstheme="minorBidi"/>
          <w:szCs w:val="22"/>
        </w:rPr>
      </w:pPr>
      <w:r>
        <w:t>68.</w:t>
      </w:r>
      <w:r>
        <w:tab/>
        <w:t>Notice of intention to establish temporary totalisator agency (s. 52(2))</w:t>
      </w:r>
      <w:r>
        <w:tab/>
      </w:r>
      <w:r>
        <w:fldChar w:fldCharType="begin"/>
      </w:r>
      <w:r>
        <w:instrText xml:space="preserve"> PAGEREF _Toc154068333 \h </w:instrText>
      </w:r>
      <w:r>
        <w:fldChar w:fldCharType="separate"/>
      </w:r>
      <w:r>
        <w:t>52</w:t>
      </w:r>
      <w:r>
        <w:fldChar w:fldCharType="end"/>
      </w:r>
    </w:p>
    <w:p>
      <w:pPr>
        <w:pStyle w:val="TOC8"/>
        <w:rPr>
          <w:rFonts w:asciiTheme="minorHAnsi" w:eastAsiaTheme="minorEastAsia" w:hAnsiTheme="minorHAnsi" w:cstheme="minorBidi"/>
          <w:szCs w:val="22"/>
        </w:rPr>
      </w:pPr>
      <w:r>
        <w:t>69.</w:t>
      </w:r>
      <w:r>
        <w:tab/>
        <w:t>Information on totalisator agencies</w:t>
      </w:r>
      <w:r>
        <w:tab/>
      </w:r>
      <w:r>
        <w:fldChar w:fldCharType="begin"/>
      </w:r>
      <w:r>
        <w:instrText xml:space="preserve"> PAGEREF _Toc154068334 \h </w:instrText>
      </w:r>
      <w:r>
        <w:fldChar w:fldCharType="separate"/>
      </w:r>
      <w:r>
        <w:t>53</w:t>
      </w:r>
      <w:r>
        <w:fldChar w:fldCharType="end"/>
      </w:r>
    </w:p>
    <w:p>
      <w:pPr>
        <w:pStyle w:val="TOC8"/>
        <w:rPr>
          <w:rFonts w:asciiTheme="minorHAnsi" w:eastAsiaTheme="minorEastAsia" w:hAnsiTheme="minorHAnsi" w:cstheme="minorBidi"/>
          <w:szCs w:val="22"/>
        </w:rPr>
      </w:pPr>
      <w:r>
        <w:t>70.</w:t>
      </w:r>
      <w:r>
        <w:tab/>
        <w:t>Direction to close or not to establish totalisator agency (s. 52(3))</w:t>
      </w:r>
      <w:r>
        <w:tab/>
      </w:r>
      <w:r>
        <w:fldChar w:fldCharType="begin"/>
      </w:r>
      <w:r>
        <w:instrText xml:space="preserve"> PAGEREF _Toc154068335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Consultation</w:t>
      </w:r>
    </w:p>
    <w:p>
      <w:pPr>
        <w:pStyle w:val="TOC8"/>
        <w:rPr>
          <w:rFonts w:asciiTheme="minorHAnsi" w:eastAsiaTheme="minorEastAsia" w:hAnsiTheme="minorHAnsi" w:cstheme="minorBidi"/>
          <w:szCs w:val="22"/>
        </w:rPr>
      </w:pPr>
      <w:r>
        <w:t>71.</w:t>
      </w:r>
      <w:r>
        <w:tab/>
        <w:t>Consultation (s. 82)</w:t>
      </w:r>
      <w:r>
        <w:tab/>
      </w:r>
      <w:r>
        <w:fldChar w:fldCharType="begin"/>
      </w:r>
      <w:r>
        <w:instrText xml:space="preserve"> PAGEREF _Toc154068337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13</w:t>
      </w:r>
      <w:r>
        <w:rPr>
          <w:b w:val="0"/>
        </w:rPr>
        <w:t> </w:t>
      </w:r>
      <w:r>
        <w:t>—</w:t>
      </w:r>
      <w:r>
        <w:rPr>
          <w:b w:val="0"/>
        </w:rPr>
        <w:t> </w:t>
      </w:r>
      <w:r>
        <w:t>Disciplinary action — Racing</w:t>
      </w:r>
    </w:p>
    <w:p>
      <w:pPr>
        <w:pStyle w:val="TOC8"/>
        <w:rPr>
          <w:rFonts w:asciiTheme="minorHAnsi" w:eastAsiaTheme="minorEastAsia" w:hAnsiTheme="minorHAnsi" w:cstheme="minorBidi"/>
          <w:szCs w:val="22"/>
        </w:rPr>
      </w:pPr>
      <w:r>
        <w:t>72.</w:t>
      </w:r>
      <w:r>
        <w:tab/>
        <w:t>Warning off</w:t>
      </w:r>
      <w:r>
        <w:tab/>
      </w:r>
      <w:r>
        <w:fldChar w:fldCharType="begin"/>
      </w:r>
      <w:r>
        <w:instrText xml:space="preserve"> PAGEREF _Toc154068339 \h </w:instrText>
      </w:r>
      <w:r>
        <w:fldChar w:fldCharType="separate"/>
      </w:r>
      <w:r>
        <w:t>56</w:t>
      </w:r>
      <w:r>
        <w:fldChar w:fldCharType="end"/>
      </w:r>
    </w:p>
    <w:p>
      <w:pPr>
        <w:pStyle w:val="TOC8"/>
        <w:rPr>
          <w:rFonts w:asciiTheme="minorHAnsi" w:eastAsiaTheme="minorEastAsia" w:hAnsiTheme="minorHAnsi" w:cstheme="minorBidi"/>
          <w:szCs w:val="22"/>
        </w:rPr>
      </w:pPr>
      <w:r>
        <w:t>73.</w:t>
      </w:r>
      <w:r>
        <w:tab/>
        <w:t>Failure to comply with a warning off</w:t>
      </w:r>
      <w:r>
        <w:tab/>
      </w:r>
      <w:r>
        <w:fldChar w:fldCharType="begin"/>
      </w:r>
      <w:r>
        <w:instrText xml:space="preserve"> PAGEREF _Toc154068340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_Toc154068343 \h </w:instrText>
      </w:r>
      <w:r>
        <w:fldChar w:fldCharType="separate"/>
      </w:r>
      <w:r>
        <w:t>59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_Toc154068344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Racing and Wagering Western Australia Act 2003</w:t>
      </w:r>
    </w:p>
    <w:p>
      <w:pPr>
        <w:pStyle w:val="NameofActReg"/>
      </w:pPr>
      <w:r>
        <w:t>Racing and Wagering Western Australia Regulations 2003</w:t>
      </w:r>
    </w:p>
    <w:p>
      <w:pPr>
        <w:pStyle w:val="Heading2"/>
        <w:pageBreakBefore w:val="0"/>
      </w:pPr>
      <w:bookmarkStart w:id="2" w:name="_Toc153979948"/>
      <w:bookmarkStart w:id="3" w:name="_Toc154050098"/>
      <w:bookmarkStart w:id="4" w:name="_Toc154050274"/>
      <w:bookmarkStart w:id="5" w:name="_Toc15406825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spacing w:before="200"/>
      </w:pPr>
      <w:bookmarkStart w:id="6" w:name="_Toc154068255"/>
      <w:r>
        <w:rPr>
          <w:rStyle w:val="CharSectno"/>
        </w:rPr>
        <w:t>1</w:t>
      </w:r>
      <w:r>
        <w:t>.</w:t>
      </w:r>
      <w:r>
        <w:tab/>
        <w:t>Citation</w:t>
      </w:r>
      <w:bookmarkEnd w:id="6"/>
    </w:p>
    <w:p>
      <w:pPr>
        <w:pStyle w:val="Subsection"/>
        <w:spacing w:before="140"/>
      </w:pPr>
      <w:r>
        <w:tab/>
      </w:r>
      <w:r>
        <w:tab/>
      </w:r>
      <w:r>
        <w:rPr>
          <w:spacing w:val="-2"/>
        </w:rPr>
        <w:t>These</w:t>
      </w:r>
      <w:r>
        <w:t xml:space="preserve"> </w:t>
      </w:r>
      <w:r>
        <w:rPr>
          <w:spacing w:val="-2"/>
        </w:rPr>
        <w:t>regulations</w:t>
      </w:r>
      <w:r>
        <w:t xml:space="preserve"> may be cited as the </w:t>
      </w:r>
      <w:r>
        <w:rPr>
          <w:i/>
        </w:rPr>
        <w:t>Racing and Wagering Western Australia Regulations 2003</w:t>
      </w:r>
      <w:r>
        <w:t>.</w:t>
      </w:r>
    </w:p>
    <w:p>
      <w:pPr>
        <w:pStyle w:val="Heading5"/>
        <w:spacing w:before="200"/>
        <w:rPr>
          <w:spacing w:val="-2"/>
        </w:rPr>
      </w:pPr>
      <w:bookmarkStart w:id="7" w:name="_Toc154068256"/>
      <w:r>
        <w:rPr>
          <w:rStyle w:val="CharSectno"/>
        </w:rPr>
        <w:t>2</w:t>
      </w:r>
      <w:r>
        <w:rPr>
          <w:spacing w:val="-2"/>
        </w:rPr>
        <w:t>.</w:t>
      </w:r>
      <w:r>
        <w:rPr>
          <w:spacing w:val="-2"/>
        </w:rPr>
        <w:tab/>
        <w:t>Commencement</w:t>
      </w:r>
      <w:bookmarkEnd w:id="7"/>
    </w:p>
    <w:p>
      <w:pPr>
        <w:pStyle w:val="Subsection"/>
        <w:spacing w:before="140"/>
      </w:pPr>
      <w:r>
        <w:rPr>
          <w:spacing w:val="-2"/>
        </w:rPr>
        <w:tab/>
      </w:r>
      <w:r>
        <w:rPr>
          <w:spacing w:val="-2"/>
        </w:rPr>
        <w:tab/>
        <w:t xml:space="preserve">These regulations come into operation on the day on which the </w:t>
      </w:r>
      <w:r>
        <w:rPr>
          <w:i/>
          <w:spacing w:val="-2"/>
        </w:rPr>
        <w:t>Racing and Wagering Western Australia Act 2003</w:t>
      </w:r>
      <w:r>
        <w:rPr>
          <w:spacing w:val="-2"/>
        </w:rPr>
        <w:t xml:space="preserve"> comes into operation</w:t>
      </w:r>
      <w:r>
        <w:t>.</w:t>
      </w:r>
    </w:p>
    <w:p>
      <w:pPr>
        <w:pStyle w:val="Heading5"/>
        <w:spacing w:before="200"/>
      </w:pPr>
      <w:bookmarkStart w:id="8" w:name="_Toc154068257"/>
      <w:r>
        <w:rPr>
          <w:rStyle w:val="CharSectno"/>
        </w:rPr>
        <w:t>3</w:t>
      </w:r>
      <w:r>
        <w:t>.</w:t>
      </w:r>
      <w:r>
        <w:tab/>
        <w:t>Terms used</w:t>
      </w:r>
      <w:bookmarkEnd w:id="8"/>
    </w:p>
    <w:p>
      <w:pPr>
        <w:pStyle w:val="Subsection"/>
        <w:spacing w:before="140"/>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spacing w:before="60"/>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spacing w:before="60"/>
      </w:pPr>
      <w:r>
        <w:tab/>
        <w:t>(b)</w:t>
      </w:r>
      <w:r>
        <w:tab/>
        <w:t xml:space="preserve">on and after the appointed day fixed by order under section 7 of the </w:t>
      </w:r>
      <w:bookmarkStart w:id="9" w:name="RuleErr_8"/>
      <w:r>
        <w:rPr>
          <w:i/>
        </w:rPr>
        <w:t>Racing and Gambling Legislation Amendment and Repeal Act 2003</w:t>
      </w:r>
      <w:bookmarkEnd w:id="9"/>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lastRenderedPageBreak/>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lastRenderedPageBreak/>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(2A)</w:t>
      </w:r>
      <w:r>
        <w:tab/>
        <w:t>For the purposes of these regulations, presentation of a ticket, whether for collection of a winning dividend or a refund, includes presentation of a facsimile image of the ticket originally issued by RWWA.</w:t>
      </w:r>
    </w:p>
    <w:p>
      <w:pPr>
        <w:pStyle w:val="Subsection"/>
        <w:keepNext/>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keepNext/>
        <w:keepLines/>
      </w:pPr>
      <w:r>
        <w:lastRenderedPageBreak/>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Gazette 30 Jan 2004 p. 357</w:t>
      </w:r>
      <w:r>
        <w:noBreakHyphen/>
        <w:t>60; 14 Jul 2006 p. 2569</w:t>
      </w:r>
      <w:r>
        <w:noBreakHyphen/>
        <w:t>70; 18 Sep 2007 p. 4715; 24 Jun 2016 p. 2341</w:t>
      </w:r>
      <w:r>
        <w:noBreakHyphen/>
        <w:t>2.]</w:t>
      </w:r>
    </w:p>
    <w:p>
      <w:pPr>
        <w:pStyle w:val="Heading2"/>
      </w:pPr>
      <w:bookmarkStart w:id="10" w:name="_Toc153979952"/>
      <w:bookmarkStart w:id="11" w:name="_Toc154050102"/>
      <w:bookmarkStart w:id="12" w:name="_Toc154050278"/>
      <w:bookmarkStart w:id="13" w:name="_Toc154068258"/>
      <w:r>
        <w:rPr>
          <w:rStyle w:val="CharPartNo"/>
        </w:rPr>
        <w:lastRenderedPageBreak/>
        <w:t>Part 2</w:t>
      </w:r>
      <w:r>
        <w:rPr>
          <w:rStyle w:val="CharDivNo"/>
        </w:rPr>
        <w:t> </w:t>
      </w:r>
      <w:r>
        <w:t>—</w:t>
      </w:r>
      <w:r>
        <w:rPr>
          <w:rStyle w:val="CharDivText"/>
        </w:rPr>
        <w:t> </w:t>
      </w:r>
      <w:r>
        <w:rPr>
          <w:rStyle w:val="CharPartText"/>
        </w:rPr>
        <w:t>Licensing of directors</w:t>
      </w:r>
      <w:bookmarkEnd w:id="10"/>
      <w:bookmarkEnd w:id="11"/>
      <w:bookmarkEnd w:id="12"/>
      <w:bookmarkEnd w:id="13"/>
    </w:p>
    <w:p>
      <w:pPr>
        <w:pStyle w:val="Heading5"/>
      </w:pPr>
      <w:bookmarkStart w:id="14" w:name="_Toc154068259"/>
      <w:r>
        <w:rPr>
          <w:rStyle w:val="CharSectno"/>
        </w:rPr>
        <w:t>4</w:t>
      </w:r>
      <w:r>
        <w:t>.</w:t>
      </w:r>
      <w:r>
        <w:tab/>
        <w:t>Notifications by RWWA to Commission</w:t>
      </w:r>
      <w:bookmarkEnd w:id="14"/>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15" w:name="_Toc154068260"/>
      <w:r>
        <w:rPr>
          <w:rStyle w:val="CharSectno"/>
        </w:rPr>
        <w:t>5</w:t>
      </w:r>
      <w:r>
        <w:t>.</w:t>
      </w:r>
      <w:r>
        <w:tab/>
        <w:t>Application for licence</w:t>
      </w:r>
      <w:bookmarkEnd w:id="15"/>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16" w:name="_Toc154068261"/>
      <w:r>
        <w:rPr>
          <w:rStyle w:val="CharSectno"/>
        </w:rPr>
        <w:t>6</w:t>
      </w:r>
      <w:r>
        <w:t>.</w:t>
      </w:r>
      <w:r>
        <w:tab/>
        <w:t>Form of application</w:t>
      </w:r>
      <w:bookmarkEnd w:id="16"/>
    </w:p>
    <w:p>
      <w:pPr>
        <w:pStyle w:val="Subsection"/>
      </w:pPr>
      <w:r>
        <w:tab/>
        <w:t>(1)</w:t>
      </w:r>
      <w:r>
        <w:tab/>
        <w:t xml:space="preserve">An application for a director’s licence or renewal of a director’s licence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lastRenderedPageBreak/>
        <w:tab/>
        <w:t>(2)</w:t>
      </w:r>
      <w:r>
        <w:tab/>
        <w:t>The Commission may at any time request an applicant to provide further information or further records and the applicant must comply with that request.</w:t>
      </w:r>
    </w:p>
    <w:p>
      <w:pPr>
        <w:pStyle w:val="Heading5"/>
      </w:pPr>
      <w:bookmarkStart w:id="17" w:name="_Toc154068262"/>
      <w:r>
        <w:rPr>
          <w:rStyle w:val="CharSectno"/>
        </w:rPr>
        <w:t>7</w:t>
      </w:r>
      <w:r>
        <w:t>.</w:t>
      </w:r>
      <w:r>
        <w:tab/>
        <w:t>Investigation by police</w:t>
      </w:r>
      <w:bookmarkEnd w:id="17"/>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18" w:name="_Toc154068263"/>
      <w:r>
        <w:rPr>
          <w:rStyle w:val="CharSectno"/>
        </w:rPr>
        <w:lastRenderedPageBreak/>
        <w:t>8</w:t>
      </w:r>
      <w:r>
        <w:t>.</w:t>
      </w:r>
      <w:r>
        <w:tab/>
        <w:t>Commission may licence, or refuse to licence, director</w:t>
      </w:r>
      <w:bookmarkEnd w:id="18"/>
    </w:p>
    <w:p>
      <w:pPr>
        <w:pStyle w:val="Subsection"/>
        <w:keepNext/>
      </w:pPr>
      <w:r>
        <w:tab/>
        <w:t>(1)</w:t>
      </w:r>
      <w:r>
        <w:tab/>
        <w:t xml:space="preserve">If a director refuses or fails — </w:t>
      </w:r>
    </w:p>
    <w:p>
      <w:pPr>
        <w:pStyle w:val="Indenta"/>
      </w:pPr>
      <w:r>
        <w:tab/>
        <w:t>(a)</w:t>
      </w:r>
      <w:r>
        <w:tab/>
        <w:t>to apply for a licence under regulation 5 or for renewal of a licence under regulation 10;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 and</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19" w:name="_Toc154068264"/>
      <w:r>
        <w:rPr>
          <w:rStyle w:val="CharSectno"/>
        </w:rPr>
        <w:t>9</w:t>
      </w:r>
      <w:r>
        <w:t>.</w:t>
      </w:r>
      <w:r>
        <w:tab/>
        <w:t>Duration of director’s licence</w:t>
      </w:r>
      <w:bookmarkEnd w:id="19"/>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20" w:name="_Toc154068265"/>
      <w:r>
        <w:rPr>
          <w:rStyle w:val="CharSectno"/>
        </w:rPr>
        <w:t>10</w:t>
      </w:r>
      <w:r>
        <w:t>.</w:t>
      </w:r>
      <w:r>
        <w:tab/>
        <w:t>Renewal of licence</w:t>
      </w:r>
      <w:bookmarkEnd w:id="20"/>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21" w:name="_Toc154068266"/>
      <w:r>
        <w:rPr>
          <w:rStyle w:val="CharSectno"/>
        </w:rPr>
        <w:lastRenderedPageBreak/>
        <w:t>11</w:t>
      </w:r>
      <w:r>
        <w:t>.</w:t>
      </w:r>
      <w:r>
        <w:tab/>
        <w:t>Further investigation</w:t>
      </w:r>
      <w:bookmarkEnd w:id="21"/>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22" w:name="_Toc153979961"/>
      <w:bookmarkStart w:id="23" w:name="_Toc154050111"/>
      <w:bookmarkStart w:id="24" w:name="_Toc154050287"/>
      <w:bookmarkStart w:id="25" w:name="_Toc154068267"/>
      <w:r>
        <w:rPr>
          <w:rStyle w:val="CharPartNo"/>
        </w:rPr>
        <w:lastRenderedPageBreak/>
        <w:t>Part 3</w:t>
      </w:r>
      <w:r>
        <w:rPr>
          <w:rStyle w:val="CharDivNo"/>
        </w:rPr>
        <w:t> </w:t>
      </w:r>
      <w:r>
        <w:t>—</w:t>
      </w:r>
      <w:r>
        <w:rPr>
          <w:rStyle w:val="CharDivText"/>
        </w:rPr>
        <w:t> </w:t>
      </w:r>
      <w:r>
        <w:rPr>
          <w:rStyle w:val="CharPartText"/>
        </w:rPr>
        <w:t>Licensing of RWWA key employees</w:t>
      </w:r>
      <w:bookmarkEnd w:id="22"/>
      <w:bookmarkEnd w:id="23"/>
      <w:bookmarkEnd w:id="24"/>
      <w:bookmarkEnd w:id="25"/>
    </w:p>
    <w:p>
      <w:pPr>
        <w:pStyle w:val="Heading5"/>
      </w:pPr>
      <w:bookmarkStart w:id="26" w:name="_Toc154068268"/>
      <w:r>
        <w:rPr>
          <w:rStyle w:val="CharSectno"/>
        </w:rPr>
        <w:t>12</w:t>
      </w:r>
      <w:r>
        <w:t>.</w:t>
      </w:r>
      <w:r>
        <w:tab/>
        <w:t>RWWA key employees taken to hold provisional licence</w:t>
      </w:r>
      <w:bookmarkEnd w:id="26"/>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27" w:name="_Toc154068269"/>
      <w:r>
        <w:rPr>
          <w:rStyle w:val="CharSectno"/>
        </w:rPr>
        <w:t>13</w:t>
      </w:r>
      <w:r>
        <w:t>.</w:t>
      </w:r>
      <w:r>
        <w:tab/>
        <w:t>Application for employee’s licence</w:t>
      </w:r>
      <w:bookmarkEnd w:id="27"/>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28" w:name="_Toc154068270"/>
      <w:r>
        <w:rPr>
          <w:rStyle w:val="CharSectno"/>
        </w:rPr>
        <w:lastRenderedPageBreak/>
        <w:t>14</w:t>
      </w:r>
      <w:r>
        <w:t>.</w:t>
      </w:r>
      <w:r>
        <w:tab/>
        <w:t>Investigation by police</w:t>
      </w:r>
      <w:bookmarkEnd w:id="28"/>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29" w:name="_Toc154068271"/>
      <w:r>
        <w:rPr>
          <w:rStyle w:val="CharSectno"/>
        </w:rPr>
        <w:t>15</w:t>
      </w:r>
      <w:r>
        <w:t>.</w:t>
      </w:r>
      <w:r>
        <w:tab/>
        <w:t>Commission may licence, or refuse to licence, employee</w:t>
      </w:r>
      <w:bookmarkEnd w:id="29"/>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lastRenderedPageBreak/>
        <w:tab/>
        <w:t>(2)</w:t>
      </w:r>
      <w:r>
        <w:tab/>
        <w:t xml:space="preserve">Upon consideration of — </w:t>
      </w:r>
    </w:p>
    <w:p>
      <w:pPr>
        <w:pStyle w:val="Indenta"/>
      </w:pPr>
      <w:r>
        <w:tab/>
        <w:t>(a)</w:t>
      </w:r>
      <w:r>
        <w:tab/>
        <w:t>an application for an employee’s licence or renewal of an employee’s licence; and</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30" w:name="_Toc154068272"/>
      <w:r>
        <w:rPr>
          <w:rStyle w:val="CharSectno"/>
        </w:rPr>
        <w:t>16</w:t>
      </w:r>
      <w:r>
        <w:t>.</w:t>
      </w:r>
      <w:r>
        <w:tab/>
        <w:t>Person may reapply for licence</w:t>
      </w:r>
      <w:bookmarkEnd w:id="30"/>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31" w:name="_Toc154068273"/>
      <w:r>
        <w:rPr>
          <w:rStyle w:val="CharSectno"/>
        </w:rPr>
        <w:t>17</w:t>
      </w:r>
      <w:r>
        <w:t>.</w:t>
      </w:r>
      <w:r>
        <w:tab/>
        <w:t>RWWA must not employ person who has been refused  employee’s licence</w:t>
      </w:r>
      <w:bookmarkEnd w:id="31"/>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lastRenderedPageBreak/>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32" w:name="_Toc154068274"/>
      <w:r>
        <w:rPr>
          <w:rStyle w:val="CharSectno"/>
        </w:rPr>
        <w:t>18</w:t>
      </w:r>
      <w:r>
        <w:t>.</w:t>
      </w:r>
      <w:r>
        <w:tab/>
        <w:t>Duration of employee’s licence</w:t>
      </w:r>
      <w:bookmarkEnd w:id="32"/>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 or</w:t>
      </w:r>
    </w:p>
    <w:p>
      <w:pPr>
        <w:pStyle w:val="Indenta"/>
      </w:pPr>
      <w:r>
        <w:tab/>
        <w:t>(b)</w:t>
      </w:r>
      <w:r>
        <w:tab/>
        <w:t>it is surrendered by the holder; or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33" w:name="_Toc154068275"/>
      <w:r>
        <w:rPr>
          <w:rStyle w:val="CharSectno"/>
        </w:rPr>
        <w:t>19</w:t>
      </w:r>
      <w:r>
        <w:t>.</w:t>
      </w:r>
      <w:r>
        <w:tab/>
        <w:t>Disciplinary action</w:t>
      </w:r>
      <w:bookmarkEnd w:id="33"/>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 or</w:t>
      </w:r>
    </w:p>
    <w:p>
      <w:pPr>
        <w:pStyle w:val="Indenta"/>
      </w:pPr>
      <w:r>
        <w:tab/>
        <w:t>(b)</w:t>
      </w:r>
      <w:r>
        <w:tab/>
        <w:t>is not a fit and proper person to hold an employee’s licence; or</w:t>
      </w:r>
    </w:p>
    <w:p>
      <w:pPr>
        <w:pStyle w:val="Indenta"/>
        <w:spacing w:before="60"/>
      </w:pPr>
      <w:r>
        <w:lastRenderedPageBreak/>
        <w:tab/>
        <w:t>(c)</w:t>
      </w:r>
      <w:r>
        <w:tab/>
        <w:t>has failed to comply with any of these regulations or any term, condition or restriction to which the employee’s licence is subject; or</w:t>
      </w:r>
    </w:p>
    <w:p>
      <w:pPr>
        <w:pStyle w:val="Indenta"/>
        <w:spacing w:before="60"/>
      </w:pPr>
      <w:r>
        <w:tab/>
        <w:t>(d)</w:t>
      </w:r>
      <w:r>
        <w:tab/>
        <w:t>has provided false or misleading information, or omitted material particulars, in an application for an employee’s licence or the renewal of an employee’s licence,</w:t>
      </w:r>
    </w:p>
    <w:p>
      <w:pPr>
        <w:pStyle w:val="Subsection"/>
        <w:spacing w:before="120"/>
      </w:pPr>
      <w:r>
        <w:tab/>
      </w:r>
      <w:r>
        <w:tab/>
        <w:t>the Commission may take disciplinary action.</w:t>
      </w:r>
    </w:p>
    <w:p>
      <w:pPr>
        <w:pStyle w:val="Subsection"/>
        <w:spacing w:before="150"/>
      </w:pPr>
      <w:r>
        <w:tab/>
        <w:t>(3)</w:t>
      </w:r>
      <w:r>
        <w:tab/>
        <w:t xml:space="preserve">For the purposes of subregulation (2) the Commission may take disciplinary action by doing any one or more of the following — </w:t>
      </w:r>
    </w:p>
    <w:p>
      <w:pPr>
        <w:pStyle w:val="Indenta"/>
        <w:spacing w:before="60"/>
      </w:pPr>
      <w:r>
        <w:tab/>
        <w:t>(a)</w:t>
      </w:r>
      <w:r>
        <w:tab/>
        <w:t>cancelling the employee’s licence;</w:t>
      </w:r>
    </w:p>
    <w:p>
      <w:pPr>
        <w:pStyle w:val="Indenta"/>
        <w:spacing w:before="60"/>
      </w:pPr>
      <w:r>
        <w:tab/>
        <w:t>(b)</w:t>
      </w:r>
      <w:r>
        <w:tab/>
        <w:t>suspending the employee’s licence for a period specified by the Commission;</w:t>
      </w:r>
    </w:p>
    <w:p>
      <w:pPr>
        <w:pStyle w:val="Indenta"/>
        <w:spacing w:before="60"/>
      </w:pPr>
      <w:r>
        <w:tab/>
        <w:t>(c)</w:t>
      </w:r>
      <w:r>
        <w:tab/>
        <w:t>serving a letter of censure on the holder of the employee’s licence;</w:t>
      </w:r>
    </w:p>
    <w:p>
      <w:pPr>
        <w:pStyle w:val="Indenta"/>
        <w:spacing w:before="60"/>
      </w:pPr>
      <w:r>
        <w:tab/>
        <w:t>(d)</w:t>
      </w:r>
      <w:r>
        <w:tab/>
        <w:t>imposing a fine not exceeding $1 000 on the holder of the employee’s licence.</w:t>
      </w:r>
    </w:p>
    <w:p>
      <w:pPr>
        <w:pStyle w:val="Subsection"/>
        <w:spacing w:before="150"/>
      </w:pPr>
      <w:r>
        <w:tab/>
        <w:t>(4)</w:t>
      </w:r>
      <w:r>
        <w:tab/>
        <w:t xml:space="preserve">The Commission may at any time — </w:t>
      </w:r>
    </w:p>
    <w:p>
      <w:pPr>
        <w:pStyle w:val="Indenta"/>
        <w:spacing w:before="60"/>
      </w:pPr>
      <w:r>
        <w:tab/>
        <w:t>(a)</w:t>
      </w:r>
      <w:r>
        <w:tab/>
        <w:t>revoke a decision to suspend an employee’s licence; or</w:t>
      </w:r>
    </w:p>
    <w:p>
      <w:pPr>
        <w:pStyle w:val="Indenta"/>
        <w:spacing w:before="60"/>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34" w:name="_Toc154068276"/>
      <w:r>
        <w:rPr>
          <w:rStyle w:val="CharSectno"/>
        </w:rPr>
        <w:t>20</w:t>
      </w:r>
      <w:r>
        <w:t>.</w:t>
      </w:r>
      <w:r>
        <w:tab/>
        <w:t>Surrender of licence</w:t>
      </w:r>
      <w:bookmarkEnd w:id="34"/>
    </w:p>
    <w:p>
      <w:pPr>
        <w:pStyle w:val="Subsection"/>
      </w:pPr>
      <w:r>
        <w:tab/>
      </w:r>
      <w:r>
        <w:tab/>
        <w:t>The holder of an employee’s licence may, by written notice given to the Commission, surrender the licence.</w:t>
      </w:r>
    </w:p>
    <w:p>
      <w:pPr>
        <w:pStyle w:val="Heading5"/>
        <w:keepLines w:val="0"/>
      </w:pPr>
      <w:bookmarkStart w:id="35" w:name="_Toc154068277"/>
      <w:r>
        <w:rPr>
          <w:rStyle w:val="CharSectno"/>
        </w:rPr>
        <w:lastRenderedPageBreak/>
        <w:t>21</w:t>
      </w:r>
      <w:r>
        <w:t>.</w:t>
      </w:r>
      <w:r>
        <w:tab/>
        <w:t>Notification of termination of employment</w:t>
      </w:r>
      <w:bookmarkEnd w:id="35"/>
    </w:p>
    <w:p>
      <w:pPr>
        <w:pStyle w:val="Subsection"/>
        <w:keepNext/>
      </w:pPr>
      <w:r>
        <w:tab/>
      </w:r>
      <w:r>
        <w:tab/>
        <w:t xml:space="preserve">If — </w:t>
      </w:r>
    </w:p>
    <w:p>
      <w:pPr>
        <w:pStyle w:val="Indenta"/>
        <w:spacing w:before="60"/>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36" w:name="_Toc154068278"/>
      <w:r>
        <w:rPr>
          <w:rStyle w:val="CharSectno"/>
        </w:rPr>
        <w:t>22</w:t>
      </w:r>
      <w:r>
        <w:t>.</w:t>
      </w:r>
      <w:r>
        <w:tab/>
        <w:t>Further investigation</w:t>
      </w:r>
      <w:bookmarkEnd w:id="36"/>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37" w:name="_Toc153979973"/>
      <w:bookmarkStart w:id="38" w:name="_Toc154050123"/>
      <w:bookmarkStart w:id="39" w:name="_Toc154050299"/>
      <w:bookmarkStart w:id="40" w:name="_Toc154068279"/>
      <w:r>
        <w:rPr>
          <w:rStyle w:val="CharPartNo"/>
        </w:rPr>
        <w:lastRenderedPageBreak/>
        <w:t>Part 4</w:t>
      </w:r>
      <w:r>
        <w:rPr>
          <w:rStyle w:val="CharDivNo"/>
        </w:rPr>
        <w:t> </w:t>
      </w:r>
      <w:r>
        <w:t>—</w:t>
      </w:r>
      <w:r>
        <w:rPr>
          <w:rStyle w:val="CharDivText"/>
        </w:rPr>
        <w:t> </w:t>
      </w:r>
      <w:r>
        <w:rPr>
          <w:rStyle w:val="CharPartText"/>
        </w:rPr>
        <w:t>Offences</w:t>
      </w:r>
      <w:bookmarkEnd w:id="37"/>
      <w:bookmarkEnd w:id="38"/>
      <w:bookmarkEnd w:id="39"/>
      <w:bookmarkEnd w:id="40"/>
    </w:p>
    <w:p>
      <w:pPr>
        <w:pStyle w:val="Footnoteheading"/>
        <w:tabs>
          <w:tab w:val="left" w:pos="851"/>
        </w:tabs>
      </w:pPr>
      <w:r>
        <w:tab/>
        <w:t>[Heading inserted: Gazette 30 Jan 2004 p. 360.]</w:t>
      </w:r>
    </w:p>
    <w:p>
      <w:pPr>
        <w:pStyle w:val="Heading5"/>
        <w:spacing w:before="180"/>
      </w:pPr>
      <w:bookmarkStart w:id="41" w:name="_Toc154068280"/>
      <w:r>
        <w:rPr>
          <w:rStyle w:val="CharSectno"/>
        </w:rPr>
        <w:t>23</w:t>
      </w:r>
      <w:r>
        <w:t>.</w:t>
      </w:r>
      <w:r>
        <w:tab/>
        <w:t>Offence relating to misleading information</w:t>
      </w:r>
      <w:bookmarkEnd w:id="41"/>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information that the person knows is false or misleading in a material particular; or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42" w:name="_Toc154068281"/>
      <w:r>
        <w:rPr>
          <w:rStyle w:val="CharSectno"/>
        </w:rPr>
        <w:t>24</w:t>
      </w:r>
      <w:r>
        <w:t>.</w:t>
      </w:r>
      <w:r>
        <w:tab/>
        <w:t>Notification of conviction</w:t>
      </w:r>
      <w:bookmarkEnd w:id="42"/>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keepNext/>
        <w:spacing w:before="120"/>
      </w:pPr>
      <w:r>
        <w:tab/>
        <w:t>(2)</w:t>
      </w:r>
      <w:r>
        <w:tab/>
        <w:t xml:space="preserve">If RWWA becomes aware that the holder of a licence has been convicted of an offence, RWWA must give the Commission </w:t>
      </w:r>
      <w:r>
        <w:lastRenderedPageBreak/>
        <w:t>written notice of the conviction within 7 days of becoming aware of the conviction.</w:t>
      </w:r>
    </w:p>
    <w:p>
      <w:pPr>
        <w:pStyle w:val="Penstart"/>
        <w:spacing w:before="60"/>
      </w:pPr>
      <w:r>
        <w:tab/>
        <w:t>Penalty: $500.</w:t>
      </w:r>
    </w:p>
    <w:p>
      <w:pPr>
        <w:pStyle w:val="Heading5"/>
      </w:pPr>
      <w:bookmarkStart w:id="43" w:name="_Toc154068282"/>
      <w:r>
        <w:rPr>
          <w:rStyle w:val="CharSectno"/>
        </w:rPr>
        <w:t>24A</w:t>
      </w:r>
      <w:r>
        <w:t>.</w:t>
      </w:r>
      <w:r>
        <w:tab/>
        <w:t>Offences relating to making and accepting wagers</w:t>
      </w:r>
      <w:bookmarkEnd w:id="43"/>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 xml:space="preserve">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w:t>
      </w:r>
      <w:r>
        <w:lastRenderedPageBreak/>
        <w:t>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Gazette 5 May 2006 p. 1737</w:t>
      </w:r>
      <w:r>
        <w:noBreakHyphen/>
        <w:t>8.]</w:t>
      </w:r>
    </w:p>
    <w:p>
      <w:pPr>
        <w:pStyle w:val="Heading2"/>
      </w:pPr>
      <w:bookmarkStart w:id="44" w:name="_Toc153979977"/>
      <w:bookmarkStart w:id="45" w:name="_Toc154050127"/>
      <w:bookmarkStart w:id="46" w:name="_Toc154050303"/>
      <w:bookmarkStart w:id="47" w:name="_Toc154068283"/>
      <w:r>
        <w:rPr>
          <w:rStyle w:val="CharPartNo"/>
        </w:rPr>
        <w:lastRenderedPageBreak/>
        <w:t>Part 5</w:t>
      </w:r>
      <w:r>
        <w:rPr>
          <w:rStyle w:val="CharDivNo"/>
        </w:rPr>
        <w:t> </w:t>
      </w:r>
      <w:r>
        <w:t>—</w:t>
      </w:r>
      <w:r>
        <w:rPr>
          <w:rStyle w:val="CharDivText"/>
        </w:rPr>
        <w:t> </w:t>
      </w:r>
      <w:r>
        <w:rPr>
          <w:rStyle w:val="CharPartText"/>
        </w:rPr>
        <w:t>Fees, taxes and other amounts payable by RWWA</w:t>
      </w:r>
      <w:bookmarkEnd w:id="44"/>
      <w:bookmarkEnd w:id="45"/>
      <w:bookmarkEnd w:id="46"/>
      <w:bookmarkEnd w:id="47"/>
    </w:p>
    <w:p>
      <w:pPr>
        <w:pStyle w:val="Footnoteheading"/>
        <w:tabs>
          <w:tab w:val="left" w:pos="851"/>
        </w:tabs>
      </w:pPr>
      <w:r>
        <w:tab/>
        <w:t>[Heading inserted: Gazette 12 Jul 2013 p. 3226.]</w:t>
      </w:r>
    </w:p>
    <w:p>
      <w:pPr>
        <w:pStyle w:val="Heading5"/>
      </w:pPr>
      <w:bookmarkStart w:id="48" w:name="_Toc154068284"/>
      <w:r>
        <w:rPr>
          <w:rStyle w:val="CharSectno"/>
        </w:rPr>
        <w:t>25</w:t>
      </w:r>
      <w:r>
        <w:t>.</w:t>
      </w:r>
      <w:r>
        <w:tab/>
        <w:t>Section 53 fee</w:t>
      </w:r>
      <w:bookmarkEnd w:id="48"/>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Ednotesection"/>
        <w:rPr>
          <w:b/>
        </w:rPr>
      </w:pPr>
      <w:r>
        <w:t>[</w:t>
      </w:r>
      <w:r>
        <w:rPr>
          <w:b/>
        </w:rPr>
        <w:t xml:space="preserve">26, 26A. </w:t>
      </w:r>
      <w:r>
        <w:rPr>
          <w:b/>
        </w:rPr>
        <w:tab/>
      </w:r>
      <w:r>
        <w:t>Deleted: Gazette 25 Jan 2019 p. 203.]</w:t>
      </w:r>
    </w:p>
    <w:p>
      <w:pPr>
        <w:pStyle w:val="Ednotesection"/>
        <w:rPr>
          <w:b/>
        </w:rPr>
      </w:pPr>
      <w:r>
        <w:t>[</w:t>
      </w:r>
      <w:r>
        <w:rPr>
          <w:b/>
        </w:rPr>
        <w:t>27A.</w:t>
      </w:r>
      <w:r>
        <w:tab/>
        <w:t>Deleted: Gazette 4 Mar 2016 p. 629.]</w:t>
      </w:r>
    </w:p>
    <w:p>
      <w:pPr>
        <w:pStyle w:val="Heading2"/>
        <w:rPr>
          <w:b w:val="0"/>
        </w:rPr>
      </w:pPr>
      <w:bookmarkStart w:id="49" w:name="_Toc153979979"/>
      <w:bookmarkStart w:id="50" w:name="_Toc154050129"/>
      <w:bookmarkStart w:id="51" w:name="_Toc154050305"/>
      <w:bookmarkStart w:id="52" w:name="_Toc154068285"/>
      <w:r>
        <w:rPr>
          <w:rStyle w:val="CharPartNo"/>
        </w:rPr>
        <w:lastRenderedPageBreak/>
        <w:t>Part 6</w:t>
      </w:r>
      <w:r>
        <w:rPr>
          <w:rStyle w:val="CharDivNo"/>
        </w:rPr>
        <w:t> </w:t>
      </w:r>
      <w:r>
        <w:rPr>
          <w:b w:val="0"/>
        </w:rPr>
        <w:t>—</w:t>
      </w:r>
      <w:r>
        <w:rPr>
          <w:rStyle w:val="CharDivText"/>
        </w:rPr>
        <w:t> </w:t>
      </w:r>
      <w:r>
        <w:rPr>
          <w:rStyle w:val="CharPartText"/>
        </w:rPr>
        <w:t>General conditions relating to wagers made at or through totalisator agencies</w:t>
      </w:r>
      <w:bookmarkEnd w:id="49"/>
      <w:bookmarkEnd w:id="50"/>
      <w:bookmarkEnd w:id="51"/>
      <w:bookmarkEnd w:id="52"/>
    </w:p>
    <w:p>
      <w:pPr>
        <w:pStyle w:val="Footnoteheading"/>
        <w:tabs>
          <w:tab w:val="left" w:pos="851"/>
        </w:tabs>
        <w:spacing w:before="80"/>
      </w:pPr>
      <w:r>
        <w:tab/>
        <w:t>[Heading inserted: Gazette 30 Jan 2004 p. 361.]</w:t>
      </w:r>
    </w:p>
    <w:p>
      <w:pPr>
        <w:pStyle w:val="Heading5"/>
        <w:spacing w:before="170"/>
      </w:pPr>
      <w:bookmarkStart w:id="53" w:name="_Toc154068286"/>
      <w:r>
        <w:rPr>
          <w:rStyle w:val="CharSectno"/>
        </w:rPr>
        <w:t>27</w:t>
      </w:r>
      <w:r>
        <w:t>.</w:t>
      </w:r>
      <w:r>
        <w:tab/>
        <w:t>Persons excluded from totalisator agencies</w:t>
      </w:r>
      <w:bookmarkEnd w:id="53"/>
    </w:p>
    <w:p>
      <w:pPr>
        <w:pStyle w:val="Subsection"/>
        <w:spacing w:before="110"/>
      </w:pPr>
      <w:r>
        <w:tab/>
        <w:t>(1)</w:t>
      </w:r>
      <w:r>
        <w:tab/>
        <w:t xml:space="preserve">The following classes of persons are excluded from entering or remaining in a totalisator agency — </w:t>
      </w:r>
    </w:p>
    <w:p>
      <w:pPr>
        <w:pStyle w:val="Indenta"/>
        <w:spacing w:before="56"/>
      </w:pPr>
      <w:r>
        <w:tab/>
        <w:t>(a)</w:t>
      </w:r>
      <w:r>
        <w:tab/>
        <w:t xml:space="preserve">persons under disqualification imposed under — </w:t>
      </w:r>
    </w:p>
    <w:p>
      <w:pPr>
        <w:pStyle w:val="Indenti"/>
        <w:spacing w:before="56"/>
      </w:pPr>
      <w:r>
        <w:tab/>
        <w:t>(i)</w:t>
      </w:r>
      <w:r>
        <w:tab/>
        <w:t>the rules of racing; or</w:t>
      </w:r>
    </w:p>
    <w:p>
      <w:pPr>
        <w:pStyle w:val="Indenti"/>
        <w:spacing w:before="56"/>
      </w:pPr>
      <w:r>
        <w:tab/>
        <w:t>(ii)</w:t>
      </w:r>
      <w:r>
        <w:tab/>
        <w:t>the rules of thoroughbred racing, the rules of harness racing or the rules of greyhound racing made by the thoroughbred racing, harness racing or greyhound racing authority in any State or Territory;</w:t>
      </w:r>
    </w:p>
    <w:p>
      <w:pPr>
        <w:pStyle w:val="Indenta"/>
        <w:spacing w:before="56"/>
      </w:pPr>
      <w:r>
        <w:tab/>
      </w:r>
      <w:r>
        <w:tab/>
        <w:t>and</w:t>
      </w:r>
    </w:p>
    <w:p>
      <w:pPr>
        <w:pStyle w:val="Indenta"/>
        <w:spacing w:before="56"/>
      </w:pPr>
      <w:r>
        <w:tab/>
        <w:t>(b)</w:t>
      </w:r>
      <w:r>
        <w:tab/>
        <w:t xml:space="preserve">persons in respect of whom an order has been made under section 25 of the </w:t>
      </w:r>
      <w:r>
        <w:rPr>
          <w:i/>
        </w:rPr>
        <w:t>Betting Control Act 1954</w:t>
      </w:r>
      <w:r>
        <w:t>; and</w:t>
      </w:r>
    </w:p>
    <w:p>
      <w:pPr>
        <w:pStyle w:val="Indenta"/>
        <w:spacing w:before="56"/>
      </w:pPr>
      <w:r>
        <w:tab/>
        <w:t>(ba)</w:t>
      </w:r>
      <w:r>
        <w:tab/>
        <w:t>persons to whom a “warning of</w:t>
      </w:r>
      <w:r>
        <w:rPr>
          <w:rFonts w:ascii="Times" w:hAnsi="Times"/>
          <w:spacing w:val="40"/>
        </w:rPr>
        <w:t>f</w:t>
      </w:r>
      <w:r>
        <w:t>” notice has been given under regulation 72(1), while that notice is in force; and</w:t>
      </w:r>
    </w:p>
    <w:p>
      <w:pPr>
        <w:pStyle w:val="Indenta"/>
        <w:spacing w:before="56"/>
      </w:pPr>
      <w:r>
        <w:tab/>
        <w:t>(c)</w:t>
      </w:r>
      <w:r>
        <w:tab/>
        <w:t>persons apparently under the influence of intoxicating liquor; and</w:t>
      </w:r>
    </w:p>
    <w:p>
      <w:pPr>
        <w:pStyle w:val="Indenta"/>
        <w:spacing w:before="56"/>
      </w:pPr>
      <w:r>
        <w:tab/>
        <w:t>(d)</w:t>
      </w:r>
      <w:r>
        <w:tab/>
        <w:t>persons who behave in an undesirable, offensive or disorderly manner.</w:t>
      </w:r>
    </w:p>
    <w:p>
      <w:pPr>
        <w:pStyle w:val="Subsection"/>
        <w:spacing w:before="11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keepNext/>
        <w:spacing w:before="110"/>
      </w:pPr>
      <w:r>
        <w:tab/>
        <w:t>(3)</w:t>
      </w:r>
      <w:r>
        <w:tab/>
        <w:t xml:space="preserve">A person who is in a totalisator agency in contravention of subregulation (1) or (2) may be removed by a member, officer, </w:t>
      </w:r>
      <w:r>
        <w:lastRenderedPageBreak/>
        <w:t>employee or agent of RWWA or by a member of the police force of the State.</w:t>
      </w:r>
    </w:p>
    <w:p>
      <w:pPr>
        <w:pStyle w:val="Footnotesection"/>
        <w:spacing w:before="80"/>
        <w:ind w:left="890" w:hanging="890"/>
      </w:pPr>
      <w:r>
        <w:tab/>
        <w:t>[Regulation 27 inserted: Gazette 30 Jan 2004 p. 361</w:t>
      </w:r>
      <w:r>
        <w:noBreakHyphen/>
        <w:t>2; amended: Gazette 5 May 2006 p. 1738.]</w:t>
      </w:r>
    </w:p>
    <w:p>
      <w:pPr>
        <w:pStyle w:val="Heading5"/>
      </w:pPr>
      <w:bookmarkStart w:id="54" w:name="_Toc154068287"/>
      <w:r>
        <w:rPr>
          <w:rStyle w:val="CharSectno"/>
        </w:rPr>
        <w:t>28</w:t>
      </w:r>
      <w:r>
        <w:t>.</w:t>
      </w:r>
      <w:r>
        <w:tab/>
        <w:t>Person making wager bound by these regulations, the rules of wagering and instructions</w:t>
      </w:r>
      <w:bookmarkEnd w:id="54"/>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Gazette 30 Jan 2004 p. 362.]</w:t>
      </w:r>
    </w:p>
    <w:p>
      <w:pPr>
        <w:pStyle w:val="Heading5"/>
      </w:pPr>
      <w:bookmarkStart w:id="55" w:name="_Toc154068288"/>
      <w:r>
        <w:rPr>
          <w:rStyle w:val="CharSectno"/>
        </w:rPr>
        <w:t>29</w:t>
      </w:r>
      <w:r>
        <w:t>.</w:t>
      </w:r>
      <w:r>
        <w:tab/>
        <w:t>Wagers accepted subject to the rules and these regulations</w:t>
      </w:r>
      <w:bookmarkEnd w:id="55"/>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 xml:space="preserve">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w:t>
      </w:r>
      <w:r>
        <w:lastRenderedPageBreak/>
        <w:t>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Gazette 30 Jan 2004 p. 362</w:t>
      </w:r>
      <w:r>
        <w:noBreakHyphen/>
        <w:t>3.]</w:t>
      </w:r>
    </w:p>
    <w:p>
      <w:pPr>
        <w:pStyle w:val="Heading5"/>
      </w:pPr>
      <w:bookmarkStart w:id="56" w:name="_Toc154068289"/>
      <w:r>
        <w:rPr>
          <w:rStyle w:val="CharSectno"/>
        </w:rPr>
        <w:t>30</w:t>
      </w:r>
      <w:r>
        <w:t>.</w:t>
      </w:r>
      <w:r>
        <w:tab/>
        <w:t>All wagers to be 50 cents or multiples of 50 cents</w:t>
      </w:r>
      <w:bookmarkEnd w:id="56"/>
    </w:p>
    <w:p>
      <w:pPr>
        <w:pStyle w:val="Subsection"/>
      </w:pPr>
      <w:r>
        <w:tab/>
        <w:t>(1)</w:t>
      </w:r>
      <w:r>
        <w:tab/>
        <w:t>Subject to subregulation (3), the minimum wager that may be made with or through RWWA is to be a unit of 50 cents and larger wagers are to be made in multiples of 50 cents.</w:t>
      </w:r>
    </w:p>
    <w:p>
      <w:pPr>
        <w:pStyle w:val="Ednotesubsection"/>
      </w:pPr>
      <w:r>
        <w:tab/>
        <w:t>[(2)</w:t>
      </w:r>
      <w:r>
        <w:tab/>
        <w:t>deleted]</w:t>
      </w:r>
    </w:p>
    <w:p>
      <w:pPr>
        <w:pStyle w:val="Subsection"/>
      </w:pPr>
      <w:r>
        <w:tab/>
        <w:t>(3)</w:t>
      </w:r>
      <w:r>
        <w:tab/>
        <w:t>The minimum amount of a Flexi Bet made with or through RWWA is an amount determined by reference to the rules of wagering.</w:t>
      </w:r>
    </w:p>
    <w:p>
      <w:pPr>
        <w:pStyle w:val="Footnotesection"/>
      </w:pPr>
      <w:r>
        <w:tab/>
        <w:t>[Regulation 30 inserted: Gazette 30 Jan 2004 p. 363</w:t>
      </w:r>
      <w:r>
        <w:noBreakHyphen/>
        <w:t>4; amended: Gazette 5 May 2006 p. 1738; 18 Sep 2007 p. 4715</w:t>
      </w:r>
      <w:r>
        <w:noBreakHyphen/>
        <w:t>16; 8 Mar 2016 p. 668.]</w:t>
      </w:r>
    </w:p>
    <w:p>
      <w:pPr>
        <w:pStyle w:val="Heading5"/>
      </w:pPr>
      <w:bookmarkStart w:id="57" w:name="_Toc154068290"/>
      <w:r>
        <w:rPr>
          <w:rStyle w:val="CharSectno"/>
        </w:rPr>
        <w:lastRenderedPageBreak/>
        <w:t>31</w:t>
      </w:r>
      <w:r>
        <w:t>.</w:t>
      </w:r>
      <w:r>
        <w:tab/>
        <w:t>Dividend as declared</w:t>
      </w:r>
      <w:bookmarkEnd w:id="57"/>
    </w:p>
    <w:p>
      <w:pPr>
        <w:pStyle w:val="Subsection"/>
        <w:keepNext/>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 and</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as a dividend somewhere between 50 cents and 55 cents, as determined by RWWA.</w:t>
      </w:r>
    </w:p>
    <w:p>
      <w:pPr>
        <w:pStyle w:val="Footnotesection"/>
      </w:pPr>
      <w:r>
        <w:tab/>
        <w:t>[Regulation 31 inserted: Gazette 30 Jan 2004 p. 364</w:t>
      </w:r>
      <w:r>
        <w:noBreakHyphen/>
        <w:t>5; amended: Gazette 5 May 2006 p. 1738; 8 Mar 2016 p. 668.]</w:t>
      </w:r>
    </w:p>
    <w:p>
      <w:pPr>
        <w:pStyle w:val="Heading5"/>
      </w:pPr>
      <w:bookmarkStart w:id="58" w:name="_Toc154068291"/>
      <w:r>
        <w:rPr>
          <w:rStyle w:val="CharSectno"/>
        </w:rPr>
        <w:lastRenderedPageBreak/>
        <w:t>32</w:t>
      </w:r>
      <w:r>
        <w:t>.</w:t>
      </w:r>
      <w:r>
        <w:tab/>
        <w:t>Wagers may be refused</w:t>
      </w:r>
      <w:bookmarkEnd w:id="58"/>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Gazette 30 Jan 2004 p. 365; amended: Gazette 5 May 2006 p. 1739.]</w:t>
      </w:r>
    </w:p>
    <w:p>
      <w:pPr>
        <w:pStyle w:val="Heading5"/>
      </w:pPr>
      <w:bookmarkStart w:id="59" w:name="_Toc154068292"/>
      <w:r>
        <w:rPr>
          <w:rStyle w:val="CharSectno"/>
        </w:rPr>
        <w:t>33</w:t>
      </w:r>
      <w:r>
        <w:t>.</w:t>
      </w:r>
      <w:r>
        <w:tab/>
        <w:t>Only authorised wagers to be accepted</w:t>
      </w:r>
      <w:bookmarkEnd w:id="59"/>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Gazette 30 Jan 2004 p. 365.]</w:t>
      </w:r>
    </w:p>
    <w:p>
      <w:pPr>
        <w:pStyle w:val="Heading5"/>
      </w:pPr>
      <w:bookmarkStart w:id="60" w:name="_Toc154068293"/>
      <w:r>
        <w:rPr>
          <w:rStyle w:val="CharSectno"/>
        </w:rPr>
        <w:t>34</w:t>
      </w:r>
      <w:r>
        <w:t>.</w:t>
      </w:r>
      <w:r>
        <w:tab/>
        <w:t>Hours for opening</w:t>
      </w:r>
      <w:bookmarkEnd w:id="60"/>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lastRenderedPageBreak/>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Gazette 30 Jan 2004 p. 365</w:t>
      </w:r>
      <w:r>
        <w:noBreakHyphen/>
        <w:t>6.]</w:t>
      </w:r>
    </w:p>
    <w:p>
      <w:pPr>
        <w:pStyle w:val="Heading5"/>
      </w:pPr>
      <w:bookmarkStart w:id="61" w:name="_Toc154068294"/>
      <w:r>
        <w:rPr>
          <w:rStyle w:val="CharSectno"/>
        </w:rPr>
        <w:t>35</w:t>
      </w:r>
      <w:r>
        <w:t>.</w:t>
      </w:r>
      <w:r>
        <w:tab/>
        <w:t>Wagers may be made by various methods</w:t>
      </w:r>
      <w:bookmarkEnd w:id="61"/>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 or</w:t>
      </w:r>
    </w:p>
    <w:p>
      <w:pPr>
        <w:pStyle w:val="Indenta"/>
      </w:pPr>
      <w:r>
        <w:tab/>
        <w:t>(b)</w:t>
      </w:r>
      <w:r>
        <w:tab/>
        <w:t>by means of a winning ticket; or</w:t>
      </w:r>
    </w:p>
    <w:p>
      <w:pPr>
        <w:pStyle w:val="Indenta"/>
      </w:pPr>
      <w:r>
        <w:tab/>
        <w:t>(c)</w:t>
      </w:r>
      <w:r>
        <w:tab/>
        <w:t>subject to subregulation (3), by cheque.</w:t>
      </w:r>
    </w:p>
    <w:p>
      <w:pPr>
        <w:pStyle w:val="Subsection"/>
        <w:keepNext/>
      </w:pPr>
      <w:r>
        <w:lastRenderedPageBreak/>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Gazette 30 Jan 2004 p. 366</w:t>
      </w:r>
      <w:r>
        <w:noBreakHyphen/>
        <w:t>7.]</w:t>
      </w:r>
    </w:p>
    <w:p>
      <w:pPr>
        <w:pStyle w:val="Heading5"/>
      </w:pPr>
      <w:bookmarkStart w:id="62" w:name="_Toc154068295"/>
      <w:r>
        <w:rPr>
          <w:rStyle w:val="CharSectno"/>
        </w:rPr>
        <w:t>36</w:t>
      </w:r>
      <w:r>
        <w:t>.</w:t>
      </w:r>
      <w:r>
        <w:tab/>
        <w:t>Wagers to be properly marked</w:t>
      </w:r>
      <w:bookmarkEnd w:id="62"/>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lastRenderedPageBreak/>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Gazette 30 Jan 2004 p. 367; amended: Gazette 5 May 2006 p. 1739.]</w:t>
      </w:r>
    </w:p>
    <w:p>
      <w:pPr>
        <w:pStyle w:val="Heading5"/>
      </w:pPr>
      <w:bookmarkStart w:id="63" w:name="_Toc154068296"/>
      <w:r>
        <w:rPr>
          <w:rStyle w:val="CharSectno"/>
        </w:rPr>
        <w:t>37</w:t>
      </w:r>
      <w:r>
        <w:t>.</w:t>
      </w:r>
      <w:r>
        <w:tab/>
        <w:t>RWWA may decide particulars of wagers</w:t>
      </w:r>
      <w:bookmarkEnd w:id="63"/>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Gazette 30 Jan 2004 p. 368.]</w:t>
      </w:r>
    </w:p>
    <w:p>
      <w:pPr>
        <w:pStyle w:val="Heading5"/>
      </w:pPr>
      <w:bookmarkStart w:id="64" w:name="_Toc154068297"/>
      <w:r>
        <w:rPr>
          <w:rStyle w:val="CharSectno"/>
        </w:rPr>
        <w:t>38</w:t>
      </w:r>
      <w:r>
        <w:t>.</w:t>
      </w:r>
      <w:r>
        <w:tab/>
        <w:t>Tickets to be properly marked</w:t>
      </w:r>
      <w:bookmarkEnd w:id="64"/>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 and</w:t>
      </w:r>
    </w:p>
    <w:p>
      <w:pPr>
        <w:pStyle w:val="Indenti"/>
      </w:pPr>
      <w:r>
        <w:lastRenderedPageBreak/>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keepNext/>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Gazette 30 Jan 2004 p. 368</w:t>
      </w:r>
      <w:r>
        <w:noBreakHyphen/>
        <w:t>9; amended: Gazette 18 Sep 2007 p. 4716.]</w:t>
      </w:r>
    </w:p>
    <w:p>
      <w:pPr>
        <w:pStyle w:val="Heading5"/>
      </w:pPr>
      <w:bookmarkStart w:id="65" w:name="_Toc154068298"/>
      <w:r>
        <w:rPr>
          <w:rStyle w:val="CharSectno"/>
        </w:rPr>
        <w:t>39</w:t>
      </w:r>
      <w:r>
        <w:t>.</w:t>
      </w:r>
      <w:r>
        <w:tab/>
        <w:t>RWWA to exhibit notices</w:t>
      </w:r>
      <w:bookmarkEnd w:id="65"/>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lastRenderedPageBreak/>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Gazette 30 Jan 2004 p. 369</w:t>
      </w:r>
      <w:r>
        <w:noBreakHyphen/>
        <w:t>70.]</w:t>
      </w:r>
    </w:p>
    <w:p>
      <w:pPr>
        <w:pStyle w:val="Heading5"/>
      </w:pPr>
      <w:bookmarkStart w:id="66" w:name="_Toc154068299"/>
      <w:r>
        <w:rPr>
          <w:rStyle w:val="CharSectno"/>
        </w:rPr>
        <w:t>40</w:t>
      </w:r>
      <w:r>
        <w:t>.</w:t>
      </w:r>
      <w:r>
        <w:tab/>
        <w:t>Correction of errors and omissions, and the giving of certain refunds</w:t>
      </w:r>
      <w:bookmarkEnd w:id="66"/>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lastRenderedPageBreak/>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lastRenderedPageBreak/>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Gazette 30 Jan 2004 p. 370</w:t>
      </w:r>
      <w:r>
        <w:noBreakHyphen/>
        <w:t>1; amended: Gazette 5 May 2006 p. 1739</w:t>
      </w:r>
      <w:r>
        <w:noBreakHyphen/>
        <w:t>40.]</w:t>
      </w:r>
    </w:p>
    <w:p>
      <w:pPr>
        <w:pStyle w:val="Heading5"/>
      </w:pPr>
      <w:bookmarkStart w:id="67" w:name="_Toc154068300"/>
      <w:r>
        <w:rPr>
          <w:rStyle w:val="CharSectno"/>
        </w:rPr>
        <w:t>41</w:t>
      </w:r>
      <w:r>
        <w:t>.</w:t>
      </w:r>
      <w:r>
        <w:tab/>
        <w:t>Time for payment of dividends or refunds for cash wagers</w:t>
      </w:r>
      <w:bookmarkEnd w:id="67"/>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Gazette 30 Jan 2004 p. 371</w:t>
      </w:r>
      <w:r>
        <w:noBreakHyphen/>
        <w:t>2.]</w:t>
      </w:r>
    </w:p>
    <w:p>
      <w:pPr>
        <w:pStyle w:val="Heading5"/>
      </w:pPr>
      <w:bookmarkStart w:id="68" w:name="_Toc154068301"/>
      <w:r>
        <w:rPr>
          <w:rStyle w:val="CharSectno"/>
        </w:rPr>
        <w:t>42</w:t>
      </w:r>
      <w:r>
        <w:t>.</w:t>
      </w:r>
      <w:r>
        <w:tab/>
        <w:t>Presentation of tickets or claims</w:t>
      </w:r>
      <w:bookmarkEnd w:id="68"/>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lastRenderedPageBreak/>
        <w:tab/>
        <w:t>(3)</w:t>
      </w:r>
      <w:r>
        <w:tab/>
        <w:t>The payment of any dividend or refund by RWWA is to be made in cash unless RWWA decides to make the payment by cheque, by voucher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keepNext/>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Gazette 30 Jan 2004 p. 372</w:t>
      </w:r>
      <w:r>
        <w:noBreakHyphen/>
        <w:t>3; amended: Gazette 24 Jun 2016 p. 2342.]</w:t>
      </w:r>
    </w:p>
    <w:p>
      <w:pPr>
        <w:pStyle w:val="Heading5"/>
      </w:pPr>
      <w:bookmarkStart w:id="69" w:name="_Toc154068302"/>
      <w:r>
        <w:rPr>
          <w:rStyle w:val="CharSectno"/>
        </w:rPr>
        <w:lastRenderedPageBreak/>
        <w:t>43</w:t>
      </w:r>
      <w:r>
        <w:t>.</w:t>
      </w:r>
      <w:r>
        <w:tab/>
        <w:t>When refunds of wagers are payable</w:t>
      </w:r>
      <w:bookmarkEnd w:id="69"/>
    </w:p>
    <w:p>
      <w:pPr>
        <w:pStyle w:val="Subsection"/>
        <w:keepNext/>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 and</w:t>
      </w:r>
    </w:p>
    <w:p>
      <w:pPr>
        <w:pStyle w:val="Indenta"/>
      </w:pPr>
      <w:r>
        <w:tab/>
        <w:t>(b)</w:t>
      </w:r>
      <w:r>
        <w:tab/>
        <w:t>sweepstakes wagers; and</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lastRenderedPageBreak/>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Gazette 30 Jan 2004 p. 373</w:t>
      </w:r>
      <w:r>
        <w:noBreakHyphen/>
        <w:t>5; amended: Gazette 5 May 2006 p. 1740.]</w:t>
      </w:r>
    </w:p>
    <w:p>
      <w:pPr>
        <w:pStyle w:val="Heading2"/>
        <w:rPr>
          <w:b w:val="0"/>
        </w:rPr>
      </w:pPr>
      <w:bookmarkStart w:id="70" w:name="_Toc153979997"/>
      <w:bookmarkStart w:id="71" w:name="_Toc154050147"/>
      <w:bookmarkStart w:id="72" w:name="_Toc154050323"/>
      <w:bookmarkStart w:id="73" w:name="_Toc154068303"/>
      <w:r>
        <w:rPr>
          <w:rStyle w:val="CharPartNo"/>
        </w:rPr>
        <w:lastRenderedPageBreak/>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70"/>
      <w:bookmarkEnd w:id="71"/>
      <w:bookmarkEnd w:id="72"/>
      <w:bookmarkEnd w:id="73"/>
    </w:p>
    <w:p>
      <w:pPr>
        <w:pStyle w:val="Footnoteheading"/>
        <w:tabs>
          <w:tab w:val="left" w:pos="851"/>
        </w:tabs>
      </w:pPr>
      <w:r>
        <w:tab/>
        <w:t>[Heading inserted: Gazette 30 Jan 2004 p. 375.]</w:t>
      </w:r>
    </w:p>
    <w:p>
      <w:pPr>
        <w:pStyle w:val="Heading5"/>
      </w:pPr>
      <w:bookmarkStart w:id="74" w:name="_Toc154068304"/>
      <w:r>
        <w:rPr>
          <w:rStyle w:val="CharSectno"/>
        </w:rPr>
        <w:t>44</w:t>
      </w:r>
      <w:r>
        <w:t>.</w:t>
      </w:r>
      <w:r>
        <w:tab/>
        <w:t>Authorised racing club may transmit wagers</w:t>
      </w:r>
      <w:bookmarkEnd w:id="74"/>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Gazette 30 Jan 2004 p. 375.]</w:t>
      </w:r>
    </w:p>
    <w:p>
      <w:pPr>
        <w:pStyle w:val="Heading5"/>
      </w:pPr>
      <w:bookmarkStart w:id="75" w:name="_Toc154068305"/>
      <w:r>
        <w:rPr>
          <w:rStyle w:val="CharSectno"/>
        </w:rPr>
        <w:t>45</w:t>
      </w:r>
      <w:r>
        <w:t>.</w:t>
      </w:r>
      <w:r>
        <w:tab/>
        <w:t>Person making wager bound by these regulations and rules of wagering</w:t>
      </w:r>
      <w:bookmarkEnd w:id="75"/>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Gazette 30 Jan 2004 p. 375.]</w:t>
      </w:r>
    </w:p>
    <w:p>
      <w:pPr>
        <w:pStyle w:val="Heading5"/>
      </w:pPr>
      <w:bookmarkStart w:id="76" w:name="_Toc154068306"/>
      <w:r>
        <w:rPr>
          <w:rStyle w:val="CharSectno"/>
        </w:rPr>
        <w:t>46</w:t>
      </w:r>
      <w:r>
        <w:t>.</w:t>
      </w:r>
      <w:r>
        <w:tab/>
        <w:t>Only authorised wagering to be accepted</w:t>
      </w:r>
      <w:bookmarkEnd w:id="76"/>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lastRenderedPageBreak/>
        <w:tab/>
        <w:t>(b)</w:t>
      </w:r>
      <w:r>
        <w:tab/>
        <w:t>only in respect of such race meetings or races, or such sporting events, as RWWA authorises in relation to that racing club.</w:t>
      </w:r>
    </w:p>
    <w:p>
      <w:pPr>
        <w:pStyle w:val="Footnotesection"/>
      </w:pPr>
      <w:r>
        <w:tab/>
        <w:t>[Regulation 46 inserted: Gazette 30 Jan 2004 p. 375</w:t>
      </w:r>
      <w:r>
        <w:noBreakHyphen/>
        <w:t>6.]</w:t>
      </w:r>
    </w:p>
    <w:p>
      <w:pPr>
        <w:pStyle w:val="Heading5"/>
      </w:pPr>
      <w:bookmarkStart w:id="77" w:name="_Toc154068307"/>
      <w:r>
        <w:rPr>
          <w:rStyle w:val="CharSectno"/>
        </w:rPr>
        <w:t>47</w:t>
      </w:r>
      <w:r>
        <w:t>.</w:t>
      </w:r>
      <w:r>
        <w:tab/>
        <w:t>Wagers transmitted by racing club to be registered on RWWA’s totalisator</w:t>
      </w:r>
      <w:bookmarkEnd w:id="77"/>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Gazette 30 Jan 2004 p. 376.]</w:t>
      </w:r>
    </w:p>
    <w:p>
      <w:pPr>
        <w:pStyle w:val="Heading5"/>
      </w:pPr>
      <w:bookmarkStart w:id="78" w:name="_Toc154068308"/>
      <w:r>
        <w:rPr>
          <w:rStyle w:val="CharSectno"/>
        </w:rPr>
        <w:t>48</w:t>
      </w:r>
      <w:r>
        <w:t>.</w:t>
      </w:r>
      <w:r>
        <w:tab/>
        <w:t>Apportionment of profit or loss</w:t>
      </w:r>
      <w:bookmarkEnd w:id="78"/>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Gazette 30 Jan 2004 p. 376.]</w:t>
      </w:r>
    </w:p>
    <w:p>
      <w:pPr>
        <w:pStyle w:val="Heading5"/>
      </w:pPr>
      <w:bookmarkStart w:id="79" w:name="_Toc154068309"/>
      <w:r>
        <w:rPr>
          <w:rStyle w:val="CharSectno"/>
        </w:rPr>
        <w:t>49</w:t>
      </w:r>
      <w:r>
        <w:t>.</w:t>
      </w:r>
      <w:r>
        <w:tab/>
        <w:t>References to pool conducted by RWWA</w:t>
      </w:r>
      <w:bookmarkEnd w:id="79"/>
    </w:p>
    <w:p>
      <w:pPr>
        <w:pStyle w:val="Subsection"/>
      </w:pPr>
      <w:r>
        <w:tab/>
      </w:r>
      <w:r>
        <w:tab/>
        <w:t xml:space="preserve">For the purposes of this Part, a reference to a totalisator pool conducted by RWWA is to be construed as including a reference to a totalisator pool operated pursuant to a combined </w:t>
      </w:r>
      <w:r>
        <w:lastRenderedPageBreak/>
        <w:t>totalisator pool scheme whether or not the pool was conducted by RWWA.</w:t>
      </w:r>
    </w:p>
    <w:p>
      <w:pPr>
        <w:pStyle w:val="Footnotesection"/>
      </w:pPr>
      <w:r>
        <w:tab/>
        <w:t>[Regulation 49 inserted: Gazette 30 Jan 2004 p. 376</w:t>
      </w:r>
      <w:r>
        <w:noBreakHyphen/>
        <w:t>7.]</w:t>
      </w:r>
    </w:p>
    <w:p>
      <w:pPr>
        <w:pStyle w:val="Heading2"/>
      </w:pPr>
      <w:bookmarkStart w:id="80" w:name="_Toc153980004"/>
      <w:bookmarkStart w:id="81" w:name="_Toc154050154"/>
      <w:bookmarkStart w:id="82" w:name="_Toc154050330"/>
      <w:bookmarkStart w:id="83" w:name="_Toc154068310"/>
      <w:r>
        <w:rPr>
          <w:rStyle w:val="CharPartNo"/>
        </w:rPr>
        <w:lastRenderedPageBreak/>
        <w:t>Part 8</w:t>
      </w:r>
      <w:r>
        <w:rPr>
          <w:rStyle w:val="CharDivNo"/>
        </w:rPr>
        <w:t> </w:t>
      </w:r>
      <w:r>
        <w:t>—</w:t>
      </w:r>
      <w:r>
        <w:rPr>
          <w:rStyle w:val="CharDivText"/>
        </w:rPr>
        <w:t> </w:t>
      </w:r>
      <w:r>
        <w:rPr>
          <w:rStyle w:val="CharPartText"/>
        </w:rPr>
        <w:t>Wagering accounts</w:t>
      </w:r>
      <w:bookmarkEnd w:id="80"/>
      <w:bookmarkEnd w:id="81"/>
      <w:bookmarkEnd w:id="82"/>
      <w:bookmarkEnd w:id="83"/>
    </w:p>
    <w:p>
      <w:pPr>
        <w:pStyle w:val="Footnoteheading"/>
        <w:tabs>
          <w:tab w:val="left" w:pos="851"/>
        </w:tabs>
      </w:pPr>
      <w:r>
        <w:tab/>
        <w:t>[Heading inserted: Gazette 30 Jan 2004 p. 377.]</w:t>
      </w:r>
    </w:p>
    <w:p>
      <w:pPr>
        <w:pStyle w:val="Heading5"/>
      </w:pPr>
      <w:bookmarkStart w:id="84" w:name="_Toc154068311"/>
      <w:r>
        <w:rPr>
          <w:rStyle w:val="CharSectno"/>
        </w:rPr>
        <w:t>50</w:t>
      </w:r>
      <w:r>
        <w:t>.</w:t>
      </w:r>
      <w:r>
        <w:tab/>
        <w:t>Procedure for establishing wagering account</w:t>
      </w:r>
      <w:bookmarkEnd w:id="84"/>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Gazette 30 Jan 2004 p. 377.]</w:t>
      </w:r>
    </w:p>
    <w:p>
      <w:pPr>
        <w:pStyle w:val="Heading5"/>
        <w:keepLines w:val="0"/>
      </w:pPr>
      <w:bookmarkStart w:id="85" w:name="_Toc154068312"/>
      <w:r>
        <w:rPr>
          <w:rStyle w:val="CharSectno"/>
        </w:rPr>
        <w:lastRenderedPageBreak/>
        <w:t>51</w:t>
      </w:r>
      <w:r>
        <w:t>.</w:t>
      </w:r>
      <w:r>
        <w:tab/>
        <w:t>Procedure for keeping, maintaining, increasing or renewing a wagering account</w:t>
      </w:r>
      <w:bookmarkEnd w:id="85"/>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Gazette 30 Jan 2004 p. 378.]</w:t>
      </w:r>
    </w:p>
    <w:p>
      <w:pPr>
        <w:pStyle w:val="Heading5"/>
      </w:pPr>
      <w:bookmarkStart w:id="86" w:name="_Toc154068313"/>
      <w:r>
        <w:rPr>
          <w:rStyle w:val="CharSectno"/>
        </w:rPr>
        <w:t>52</w:t>
      </w:r>
      <w:r>
        <w:t>.</w:t>
      </w:r>
      <w:r>
        <w:tab/>
        <w:t>Recording of wagers against a wagering account</w:t>
      </w:r>
      <w:bookmarkEnd w:id="86"/>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Gazette 30 Jan 2004 p. 378</w:t>
      </w:r>
      <w:r>
        <w:noBreakHyphen/>
        <w:t>9.]</w:t>
      </w:r>
    </w:p>
    <w:p>
      <w:pPr>
        <w:pStyle w:val="Heading5"/>
      </w:pPr>
      <w:bookmarkStart w:id="87" w:name="_Toc154068314"/>
      <w:r>
        <w:rPr>
          <w:rStyle w:val="CharSectno"/>
        </w:rPr>
        <w:lastRenderedPageBreak/>
        <w:t>53</w:t>
      </w:r>
      <w:r>
        <w:t>.</w:t>
      </w:r>
      <w:r>
        <w:tab/>
        <w:t>Crediting of dividends against a wagering account</w:t>
      </w:r>
      <w:bookmarkEnd w:id="87"/>
    </w:p>
    <w:p>
      <w:pPr>
        <w:pStyle w:val="Subsection"/>
        <w:spacing w:before="150"/>
      </w:pPr>
      <w:r>
        <w:tab/>
      </w:r>
      <w:r>
        <w:tab/>
        <w:t>All dividends due and payable to the depositor are taken to be credited to the depositor’s wagering account with RWWA immediately such dividends are known to RWWA.</w:t>
      </w:r>
    </w:p>
    <w:p>
      <w:pPr>
        <w:pStyle w:val="Footnotesection"/>
        <w:spacing w:before="100"/>
      </w:pPr>
      <w:r>
        <w:tab/>
        <w:t>[Regulation 53 inserted: Gazette 30 Jan 2004 p. 379.]</w:t>
      </w:r>
    </w:p>
    <w:p>
      <w:pPr>
        <w:pStyle w:val="Heading5"/>
      </w:pPr>
      <w:bookmarkStart w:id="88" w:name="_Toc154068315"/>
      <w:r>
        <w:rPr>
          <w:rStyle w:val="CharSectno"/>
        </w:rPr>
        <w:t>54</w:t>
      </w:r>
      <w:r>
        <w:t>.</w:t>
      </w:r>
      <w:r>
        <w:tab/>
        <w:t>Wagering accounts to be disposed of in accordance with instructions</w:t>
      </w:r>
      <w:bookmarkEnd w:id="88"/>
    </w:p>
    <w:p>
      <w:pPr>
        <w:pStyle w:val="Subsection"/>
        <w:spacing w:before="150"/>
      </w:pPr>
      <w:r>
        <w:tab/>
        <w:t>(1)</w:t>
      </w:r>
      <w:r>
        <w:tab/>
        <w:t>The amount standing to the credit of the wagering account of the depositor at any time is to be disposed of by RWWA in accordance with the instructions of the depositor.</w:t>
      </w:r>
    </w:p>
    <w:p>
      <w:pPr>
        <w:pStyle w:val="Subsection"/>
        <w:spacing w:before="150"/>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spacing w:before="100"/>
      </w:pPr>
      <w:r>
        <w:tab/>
        <w:t>[Regulation 54 inserted: Gazette 30 Jan 2004 p. 379.]</w:t>
      </w:r>
    </w:p>
    <w:p>
      <w:pPr>
        <w:pStyle w:val="Heading5"/>
      </w:pPr>
      <w:bookmarkStart w:id="89" w:name="_Toc154068316"/>
      <w:r>
        <w:rPr>
          <w:rStyle w:val="CharSectno"/>
        </w:rPr>
        <w:t>55</w:t>
      </w:r>
      <w:r>
        <w:t>.</w:t>
      </w:r>
      <w:r>
        <w:tab/>
        <w:t>General conditions applicable to wagering accounts</w:t>
      </w:r>
      <w:bookmarkEnd w:id="89"/>
    </w:p>
    <w:p>
      <w:pPr>
        <w:pStyle w:val="Subsection"/>
        <w:spacing w:before="150"/>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spacing w:before="150"/>
      </w:pPr>
      <w:r>
        <w:tab/>
        <w:t>(2)</w:t>
      </w:r>
      <w:r>
        <w:tab/>
        <w:t>Any exchange, poundage or postage payable on any moneys relating to a wagering account may be charged to the person entitled to the moneys, and may be deducted by RWWA from the account.</w:t>
      </w:r>
    </w:p>
    <w:p>
      <w:pPr>
        <w:pStyle w:val="Subsection"/>
        <w:spacing w:before="150"/>
      </w:pPr>
      <w:r>
        <w:tab/>
        <w:t>(3)</w:t>
      </w:r>
      <w:r>
        <w:tab/>
        <w:t xml:space="preserve">In respect of remittances or correspondence passing to and from RWWA and depositor, the depositor is to accept all risks, losses, delays, errors or omissions that may occur in the </w:t>
      </w:r>
      <w:r>
        <w:lastRenderedPageBreak/>
        <w:t>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Gazette 30 Jan 2004 p. 379</w:t>
      </w:r>
      <w:r>
        <w:noBreakHyphen/>
        <w:t>80.]</w:t>
      </w:r>
    </w:p>
    <w:p>
      <w:pPr>
        <w:pStyle w:val="Heading5"/>
      </w:pPr>
      <w:bookmarkStart w:id="90" w:name="_Toc154068317"/>
      <w:r>
        <w:rPr>
          <w:rStyle w:val="CharSectno"/>
        </w:rPr>
        <w:t>56</w:t>
      </w:r>
      <w:r>
        <w:t>.</w:t>
      </w:r>
      <w:r>
        <w:tab/>
        <w:t>General conditions on statements of account</w:t>
      </w:r>
      <w:bookmarkEnd w:id="90"/>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lastRenderedPageBreak/>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Gazette 30 Jan 2004 p. 380</w:t>
      </w:r>
      <w:r>
        <w:noBreakHyphen/>
        <w:t>1.]</w:t>
      </w:r>
    </w:p>
    <w:p>
      <w:pPr>
        <w:pStyle w:val="Heading5"/>
      </w:pPr>
      <w:bookmarkStart w:id="91" w:name="_Toc154068318"/>
      <w:r>
        <w:rPr>
          <w:rStyle w:val="CharSectno"/>
        </w:rPr>
        <w:t>57</w:t>
      </w:r>
      <w:r>
        <w:t>.</w:t>
      </w:r>
      <w:r>
        <w:tab/>
        <w:t>General provisions relating to wagers made by post</w:t>
      </w:r>
      <w:bookmarkEnd w:id="91"/>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lastRenderedPageBreak/>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Gazette 30 Jan 2004 p. 381</w:t>
      </w:r>
      <w:r>
        <w:noBreakHyphen/>
        <w:t>2.]</w:t>
      </w:r>
    </w:p>
    <w:p>
      <w:pPr>
        <w:pStyle w:val="Heading5"/>
      </w:pPr>
      <w:bookmarkStart w:id="92" w:name="_Toc154068319"/>
      <w:r>
        <w:rPr>
          <w:rStyle w:val="CharSectno"/>
        </w:rPr>
        <w:t>58</w:t>
      </w:r>
      <w:r>
        <w:t>.</w:t>
      </w:r>
      <w:r>
        <w:tab/>
        <w:t>Crediting and payment of dividends and refunds on wagering accounts and wagers made by post</w:t>
      </w:r>
      <w:bookmarkEnd w:id="92"/>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lastRenderedPageBreak/>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spacing w:before="60"/>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spacing w:before="60"/>
      </w:pPr>
      <w:r>
        <w:tab/>
        <w:t>(b)</w:t>
      </w:r>
      <w:r>
        <w:tab/>
        <w:t>include in the application all relevant information supporting the claim.</w:t>
      </w:r>
    </w:p>
    <w:p>
      <w:pPr>
        <w:pStyle w:val="Subsection"/>
        <w:spacing w:before="140"/>
      </w:pPr>
      <w:r>
        <w:tab/>
        <w:t>(5)</w:t>
      </w:r>
      <w:r>
        <w:tab/>
        <w:t>RWWA is to notify the claimant of its decision on the claim and the decision of RWWA is final.</w:t>
      </w:r>
    </w:p>
    <w:p>
      <w:pPr>
        <w:pStyle w:val="Footnotesection"/>
        <w:spacing w:before="100"/>
      </w:pPr>
      <w:r>
        <w:tab/>
        <w:t>[Regulation 58 inserted: Gazette 30 Jan 2004 p. 383</w:t>
      </w:r>
      <w:r>
        <w:noBreakHyphen/>
        <w:t>4.]</w:t>
      </w:r>
    </w:p>
    <w:p>
      <w:pPr>
        <w:pStyle w:val="Heading5"/>
      </w:pPr>
      <w:bookmarkStart w:id="93" w:name="_Toc154068320"/>
      <w:r>
        <w:rPr>
          <w:rStyle w:val="CharSectno"/>
        </w:rPr>
        <w:t>58A</w:t>
      </w:r>
      <w:r>
        <w:t>.</w:t>
      </w:r>
      <w:r>
        <w:tab/>
        <w:t>Refunds to wagering accounts following scratchings</w:t>
      </w:r>
      <w:bookmarkEnd w:id="93"/>
    </w:p>
    <w:p>
      <w:pPr>
        <w:pStyle w:val="Subsection"/>
        <w:spacing w:before="140"/>
      </w:pPr>
      <w:r>
        <w:tab/>
        <w:t>(1)</w:t>
      </w:r>
      <w:r>
        <w:tab/>
        <w:t xml:space="preserve">Subject to subregulation (2) and the rules of wagering, where a runner (or one of the runners) on which a wager other than — </w:t>
      </w:r>
    </w:p>
    <w:p>
      <w:pPr>
        <w:pStyle w:val="Indenta"/>
        <w:spacing w:before="60"/>
      </w:pPr>
      <w:r>
        <w:tab/>
        <w:t>(a)</w:t>
      </w:r>
      <w:r>
        <w:tab/>
        <w:t>a favourite numbers wager; or</w:t>
      </w:r>
    </w:p>
    <w:p>
      <w:pPr>
        <w:pStyle w:val="Indenta"/>
        <w:spacing w:before="60"/>
      </w:pPr>
      <w:r>
        <w:tab/>
        <w:t>(b)</w:t>
      </w:r>
      <w:r>
        <w:tab/>
        <w:t>a sweepstakes wager,</w:t>
      </w:r>
    </w:p>
    <w:p>
      <w:pPr>
        <w:pStyle w:val="Subsection"/>
        <w:spacing w:before="120"/>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spacing w:before="140"/>
      </w:pPr>
      <w:r>
        <w:lastRenderedPageBreak/>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spacing w:before="60"/>
      </w:pPr>
      <w:r>
        <w:tab/>
        <w:t>(a)</w:t>
      </w:r>
      <w:r>
        <w:tab/>
        <w:t>the wager; or</w:t>
      </w:r>
    </w:p>
    <w:p>
      <w:pPr>
        <w:pStyle w:val="Indenta"/>
        <w:spacing w:before="60"/>
      </w:pPr>
      <w:r>
        <w:tab/>
        <w:t>(b)</w:t>
      </w:r>
      <w:r>
        <w:tab/>
        <w:t>if the wager is on one of 2 or more wagers for which a single ticket number is generated, and none of the wagers have been decided — the total value of the wagers relating to that ticket number,</w:t>
      </w:r>
    </w:p>
    <w:p>
      <w:pPr>
        <w:pStyle w:val="Subsection"/>
        <w:spacing w:before="120"/>
      </w:pPr>
      <w:r>
        <w:tab/>
      </w:r>
      <w:r>
        <w:tab/>
        <w:t>prior to the running of the race, if the request is made before the close of wagering for each and every race to which the particular ticket number relates.</w:t>
      </w:r>
    </w:p>
    <w:p>
      <w:pPr>
        <w:pStyle w:val="Footnotesection"/>
      </w:pPr>
      <w:r>
        <w:tab/>
        <w:t>[Regulation 58A inserted: Gazette 7 Dec 2007 p. 5986.]</w:t>
      </w:r>
    </w:p>
    <w:p>
      <w:pPr>
        <w:pStyle w:val="Heading5"/>
      </w:pPr>
      <w:bookmarkStart w:id="94" w:name="_Toc154068321"/>
      <w:r>
        <w:rPr>
          <w:rStyle w:val="CharSectno"/>
        </w:rPr>
        <w:t>59</w:t>
      </w:r>
      <w:r>
        <w:t>.</w:t>
      </w:r>
      <w:r>
        <w:tab/>
        <w:t>Wagers by telephone or other electronic means</w:t>
      </w:r>
      <w:bookmarkEnd w:id="94"/>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spacing w:before="60"/>
      </w:pPr>
      <w:r>
        <w:tab/>
        <w:t>(a)</w:t>
      </w:r>
      <w:r>
        <w:tab/>
        <w:t>his or her account number and account name and one or more of his or her codes, if required by RWWA; and</w:t>
      </w:r>
    </w:p>
    <w:p>
      <w:pPr>
        <w:pStyle w:val="Indenta"/>
        <w:spacing w:before="60"/>
      </w:pPr>
      <w:r>
        <w:tab/>
        <w:t>(b)</w:t>
      </w:r>
      <w:r>
        <w:tab/>
        <w:t>such information to identify the wager to be made (of the type set out in regulation 36) as is required by RWWA.</w:t>
      </w:r>
    </w:p>
    <w:p>
      <w:pPr>
        <w:pStyle w:val="Subsection"/>
        <w:keepLines/>
      </w:pPr>
      <w:r>
        <w:lastRenderedPageBreak/>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Gazette 30 Jan 2004 p. 384</w:t>
      </w:r>
      <w:r>
        <w:noBreakHyphen/>
        <w:t>5; amended: Gazette 5 May 2006 p. 1740.]</w:t>
      </w:r>
    </w:p>
    <w:p>
      <w:pPr>
        <w:pStyle w:val="Heading5"/>
      </w:pPr>
      <w:bookmarkStart w:id="95" w:name="_Toc154068322"/>
      <w:r>
        <w:rPr>
          <w:rStyle w:val="CharSectno"/>
        </w:rPr>
        <w:t>60</w:t>
      </w:r>
      <w:r>
        <w:t>.</w:t>
      </w:r>
      <w:r>
        <w:tab/>
        <w:t>Errors in wagers by telephone or other electronic means</w:t>
      </w:r>
      <w:bookmarkEnd w:id="95"/>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lastRenderedPageBreak/>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Gazette 30 Jan 2004 p. 385</w:t>
      </w:r>
      <w:r>
        <w:noBreakHyphen/>
        <w:t>6.]</w:t>
      </w:r>
    </w:p>
    <w:p>
      <w:pPr>
        <w:pStyle w:val="Heading2"/>
      </w:pPr>
      <w:bookmarkStart w:id="96" w:name="_Toc153980017"/>
      <w:bookmarkStart w:id="97" w:name="_Toc154050167"/>
      <w:bookmarkStart w:id="98" w:name="_Toc154050343"/>
      <w:bookmarkStart w:id="99" w:name="_Toc154068323"/>
      <w:r>
        <w:rPr>
          <w:rStyle w:val="CharPartNo"/>
        </w:rPr>
        <w:lastRenderedPageBreak/>
        <w:t>Part 9</w:t>
      </w:r>
      <w:r>
        <w:rPr>
          <w:rStyle w:val="CharDivNo"/>
        </w:rPr>
        <w:t> </w:t>
      </w:r>
      <w:r>
        <w:t>—</w:t>
      </w:r>
      <w:r>
        <w:rPr>
          <w:rStyle w:val="CharDivText"/>
        </w:rPr>
        <w:t> </w:t>
      </w:r>
      <w:r>
        <w:rPr>
          <w:rStyle w:val="CharPartText"/>
        </w:rPr>
        <w:t>General provisions on wagering</w:t>
      </w:r>
      <w:bookmarkEnd w:id="96"/>
      <w:bookmarkEnd w:id="97"/>
      <w:bookmarkEnd w:id="98"/>
      <w:bookmarkEnd w:id="99"/>
    </w:p>
    <w:p>
      <w:pPr>
        <w:pStyle w:val="Footnoteheading"/>
        <w:tabs>
          <w:tab w:val="left" w:pos="851"/>
        </w:tabs>
      </w:pPr>
      <w:r>
        <w:tab/>
        <w:t>[Heading inserted: Gazette 30 Jan 2004 p. 386.]</w:t>
      </w:r>
    </w:p>
    <w:p>
      <w:pPr>
        <w:pStyle w:val="Heading5"/>
        <w:spacing w:before="180"/>
      </w:pPr>
      <w:bookmarkStart w:id="100" w:name="_Toc154068324"/>
      <w:r>
        <w:rPr>
          <w:rStyle w:val="CharSectno"/>
        </w:rPr>
        <w:t>61</w:t>
      </w:r>
      <w:r>
        <w:t>.</w:t>
      </w:r>
      <w:r>
        <w:tab/>
        <w:t>Closing time for acceptance of wagers</w:t>
      </w:r>
      <w:bookmarkEnd w:id="100"/>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Gazette 30 Jan 2004 p. 386.]</w:t>
      </w:r>
    </w:p>
    <w:p>
      <w:pPr>
        <w:pStyle w:val="Heading5"/>
        <w:spacing w:before="180"/>
      </w:pPr>
      <w:bookmarkStart w:id="101" w:name="_Toc154068325"/>
      <w:r>
        <w:rPr>
          <w:rStyle w:val="CharSectno"/>
        </w:rPr>
        <w:t>62</w:t>
      </w:r>
      <w:r>
        <w:t>.</w:t>
      </w:r>
      <w:r>
        <w:tab/>
        <w:t>Totalisator pools — generally</w:t>
      </w:r>
      <w:bookmarkEnd w:id="101"/>
    </w:p>
    <w:p>
      <w:pPr>
        <w:pStyle w:val="Subsection"/>
      </w:pPr>
      <w:r>
        <w:tab/>
        <w:t>(1)</w:t>
      </w:r>
      <w:r>
        <w:tab/>
        <w:t xml:space="preserve">RWWA may conduct separate totalisator pools — </w:t>
      </w:r>
    </w:p>
    <w:p>
      <w:pPr>
        <w:pStyle w:val="Indenta"/>
      </w:pPr>
      <w:r>
        <w:tab/>
        <w:t>(a)</w:t>
      </w:r>
      <w:r>
        <w:tab/>
        <w:t>for different kinds of wagers; or</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Gazette 30 Jan 2004 p. 386.]</w:t>
      </w:r>
    </w:p>
    <w:p>
      <w:pPr>
        <w:pStyle w:val="Heading5"/>
        <w:spacing w:before="180"/>
      </w:pPr>
      <w:bookmarkStart w:id="102" w:name="_Toc154068326"/>
      <w:r>
        <w:rPr>
          <w:rStyle w:val="CharSectno"/>
        </w:rPr>
        <w:t>63</w:t>
      </w:r>
      <w:r>
        <w:t>.</w:t>
      </w:r>
      <w:r>
        <w:tab/>
        <w:t>Communication failure where a combined totalisator pool scheme is conducted</w:t>
      </w:r>
      <w:bookmarkEnd w:id="102"/>
    </w:p>
    <w:p>
      <w:pPr>
        <w:pStyle w:val="Subsection"/>
        <w:keepNext/>
      </w:pPr>
      <w:r>
        <w:tab/>
      </w:r>
      <w:r>
        <w:tab/>
        <w:t xml:space="preserve">Where a combined totalisator pool scheme is conducted and due to a communication failure normal procedures cannot be </w:t>
      </w:r>
      <w:r>
        <w:lastRenderedPageBreak/>
        <w:t>followed, RWWA has and may exercise discretion to determine dividend calculations.</w:t>
      </w:r>
    </w:p>
    <w:p>
      <w:pPr>
        <w:pStyle w:val="Footnotesection"/>
        <w:spacing w:before="80"/>
        <w:ind w:left="890" w:hanging="890"/>
      </w:pPr>
      <w:r>
        <w:tab/>
        <w:t>[Regulation 63 inserted: Gazette 30 Jan 2004 p. 387.]</w:t>
      </w:r>
    </w:p>
    <w:p>
      <w:pPr>
        <w:pStyle w:val="Heading2"/>
      </w:pPr>
      <w:bookmarkStart w:id="103" w:name="_Toc153980021"/>
      <w:bookmarkStart w:id="104" w:name="_Toc154050171"/>
      <w:bookmarkStart w:id="105" w:name="_Toc154050347"/>
      <w:bookmarkStart w:id="106" w:name="_Toc154068327"/>
      <w:r>
        <w:rPr>
          <w:rStyle w:val="CharPartNo"/>
        </w:rPr>
        <w:lastRenderedPageBreak/>
        <w:t>Part 10</w:t>
      </w:r>
      <w:r>
        <w:rPr>
          <w:rStyle w:val="CharDivNo"/>
        </w:rPr>
        <w:t> </w:t>
      </w:r>
      <w:r>
        <w:t>—</w:t>
      </w:r>
      <w:r>
        <w:rPr>
          <w:rStyle w:val="CharDivText"/>
        </w:rPr>
        <w:t> </w:t>
      </w:r>
      <w:r>
        <w:rPr>
          <w:rStyle w:val="CharPartText"/>
        </w:rPr>
        <w:t>Sporting events</w:t>
      </w:r>
      <w:bookmarkEnd w:id="103"/>
      <w:bookmarkEnd w:id="104"/>
      <w:bookmarkEnd w:id="105"/>
      <w:bookmarkEnd w:id="106"/>
    </w:p>
    <w:p>
      <w:pPr>
        <w:pStyle w:val="Footnoteheading"/>
        <w:tabs>
          <w:tab w:val="left" w:pos="851"/>
        </w:tabs>
      </w:pPr>
      <w:r>
        <w:tab/>
        <w:t>[Heading inserted: Gazette 30 Jan 2004 p. 387.]</w:t>
      </w:r>
    </w:p>
    <w:p>
      <w:pPr>
        <w:pStyle w:val="Heading5"/>
      </w:pPr>
      <w:bookmarkStart w:id="107" w:name="_Toc154068328"/>
      <w:r>
        <w:rPr>
          <w:rStyle w:val="CharSectno"/>
        </w:rPr>
        <w:t>64</w:t>
      </w:r>
      <w:r>
        <w:t>.</w:t>
      </w:r>
      <w:r>
        <w:tab/>
        <w:t>RWWA may specify aspects of sporting events</w:t>
      </w:r>
      <w:bookmarkEnd w:id="107"/>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lastRenderedPageBreak/>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Gazette 30 Jan 2004 p. 387</w:t>
      </w:r>
      <w:r>
        <w:noBreakHyphen/>
        <w:t>8.]</w:t>
      </w:r>
    </w:p>
    <w:p>
      <w:pPr>
        <w:pStyle w:val="Heading5"/>
      </w:pPr>
      <w:bookmarkStart w:id="108" w:name="_Toc154068329"/>
      <w:r>
        <w:rPr>
          <w:rStyle w:val="CharSectno"/>
        </w:rPr>
        <w:t>65</w:t>
      </w:r>
      <w:r>
        <w:t>.</w:t>
      </w:r>
      <w:r>
        <w:tab/>
        <w:t>General conditions relating to conduct of totalisator pools</w:t>
      </w:r>
      <w:bookmarkEnd w:id="108"/>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 and</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Gazette 30 Jan 2004 p. 389.]</w:t>
      </w:r>
    </w:p>
    <w:p>
      <w:pPr>
        <w:pStyle w:val="Heading5"/>
      </w:pPr>
      <w:bookmarkStart w:id="109" w:name="_Toc154068330"/>
      <w:r>
        <w:rPr>
          <w:rStyle w:val="CharSectno"/>
        </w:rPr>
        <w:lastRenderedPageBreak/>
        <w:t>66</w:t>
      </w:r>
      <w:r>
        <w:t>.</w:t>
      </w:r>
      <w:r>
        <w:tab/>
        <w:t>General conditions relating to wagering on games and pools of games</w:t>
      </w:r>
      <w:bookmarkEnd w:id="109"/>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Gazette 30 Jan 2004 p. 389</w:t>
      </w:r>
      <w:r>
        <w:noBreakHyphen/>
        <w:t>90.]</w:t>
      </w:r>
    </w:p>
    <w:p>
      <w:pPr>
        <w:pStyle w:val="Heading2"/>
      </w:pPr>
      <w:bookmarkStart w:id="110" w:name="_Toc153980025"/>
      <w:bookmarkStart w:id="111" w:name="_Toc154050175"/>
      <w:bookmarkStart w:id="112" w:name="_Toc154050351"/>
      <w:bookmarkStart w:id="113" w:name="_Toc154068331"/>
      <w:r>
        <w:rPr>
          <w:rStyle w:val="CharPartNo"/>
        </w:rPr>
        <w:lastRenderedPageBreak/>
        <w:t>Part 11</w:t>
      </w:r>
      <w:r>
        <w:rPr>
          <w:rStyle w:val="CharDivNo"/>
        </w:rPr>
        <w:t> </w:t>
      </w:r>
      <w:r>
        <w:t>—</w:t>
      </w:r>
      <w:r>
        <w:rPr>
          <w:rStyle w:val="CharDivText"/>
        </w:rPr>
        <w:t> </w:t>
      </w:r>
      <w:r>
        <w:rPr>
          <w:rStyle w:val="CharPartText"/>
        </w:rPr>
        <w:t>Totalisator agencies</w:t>
      </w:r>
      <w:bookmarkEnd w:id="110"/>
      <w:bookmarkEnd w:id="111"/>
      <w:bookmarkEnd w:id="112"/>
      <w:bookmarkEnd w:id="113"/>
    </w:p>
    <w:p>
      <w:pPr>
        <w:pStyle w:val="Footnoteheading"/>
        <w:tabs>
          <w:tab w:val="left" w:pos="851"/>
        </w:tabs>
      </w:pPr>
      <w:r>
        <w:tab/>
        <w:t>[Heading inserted: Gazette 30 Jan 2004 p. 390.]</w:t>
      </w:r>
    </w:p>
    <w:p>
      <w:pPr>
        <w:pStyle w:val="Heading5"/>
      </w:pPr>
      <w:bookmarkStart w:id="114" w:name="_Toc154068332"/>
      <w:r>
        <w:rPr>
          <w:rStyle w:val="CharSectno"/>
        </w:rPr>
        <w:t>67</w:t>
      </w:r>
      <w:r>
        <w:t>.</w:t>
      </w:r>
      <w:r>
        <w:tab/>
        <w:t>Notice of intention to establish long term totalisator agency (s. 52(2))</w:t>
      </w:r>
      <w:bookmarkEnd w:id="114"/>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 and</w:t>
      </w:r>
    </w:p>
    <w:p>
      <w:pPr>
        <w:pStyle w:val="Indenta"/>
      </w:pPr>
      <w:r>
        <w:tab/>
        <w:t>(b)</w:t>
      </w:r>
      <w:r>
        <w:tab/>
        <w:t>the date on which it is proposed to commence operation; and</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Gazette 30 Jan 2004 p. 390.]</w:t>
      </w:r>
    </w:p>
    <w:p>
      <w:pPr>
        <w:pStyle w:val="Heading5"/>
      </w:pPr>
      <w:bookmarkStart w:id="115" w:name="_Toc154068333"/>
      <w:r>
        <w:rPr>
          <w:rStyle w:val="CharSectno"/>
        </w:rPr>
        <w:t>68</w:t>
      </w:r>
      <w:r>
        <w:t>.</w:t>
      </w:r>
      <w:r>
        <w:tab/>
        <w:t>Notice of intention to establish temporary totalisator agency (s. 52(2))</w:t>
      </w:r>
      <w:bookmarkEnd w:id="115"/>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lastRenderedPageBreak/>
        <w:tab/>
        <w:t>(c)</w:t>
      </w:r>
      <w:r>
        <w:tab/>
        <w:t>the dates on which it is proposed to commence and finish operation.</w:t>
      </w:r>
    </w:p>
    <w:p>
      <w:pPr>
        <w:pStyle w:val="Footnotesection"/>
      </w:pPr>
      <w:r>
        <w:tab/>
        <w:t>[Regulation 68 inserted: Gazette 30 Jan 2004 p. 391.]</w:t>
      </w:r>
    </w:p>
    <w:p>
      <w:pPr>
        <w:pStyle w:val="Heading5"/>
      </w:pPr>
      <w:bookmarkStart w:id="116" w:name="_Toc154068334"/>
      <w:r>
        <w:rPr>
          <w:rStyle w:val="CharSectno"/>
        </w:rPr>
        <w:t>69</w:t>
      </w:r>
      <w:r>
        <w:t>.</w:t>
      </w:r>
      <w:r>
        <w:tab/>
        <w:t>Information on totalisator agencies</w:t>
      </w:r>
      <w:bookmarkEnd w:id="116"/>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Gazette 30 Jan 2004 p. 391.]</w:t>
      </w:r>
    </w:p>
    <w:p>
      <w:pPr>
        <w:pStyle w:val="Heading5"/>
      </w:pPr>
      <w:bookmarkStart w:id="117" w:name="_Toc154068335"/>
      <w:r>
        <w:rPr>
          <w:rStyle w:val="CharSectno"/>
        </w:rPr>
        <w:t>70</w:t>
      </w:r>
      <w:r>
        <w:t>.</w:t>
      </w:r>
      <w:r>
        <w:tab/>
        <w:t>Direction to close or not to establish totalisator agency (s. 52(3))</w:t>
      </w:r>
      <w:bookmarkEnd w:id="117"/>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Gazette 30 Jan 2004 p. 391</w:t>
      </w:r>
      <w:r>
        <w:noBreakHyphen/>
        <w:t>2.]</w:t>
      </w:r>
    </w:p>
    <w:p>
      <w:pPr>
        <w:pStyle w:val="Heading2"/>
      </w:pPr>
      <w:bookmarkStart w:id="118" w:name="_Toc153980030"/>
      <w:bookmarkStart w:id="119" w:name="_Toc154050180"/>
      <w:bookmarkStart w:id="120" w:name="_Toc154050356"/>
      <w:bookmarkStart w:id="121" w:name="_Toc154068336"/>
      <w:r>
        <w:rPr>
          <w:rStyle w:val="CharPartNo"/>
        </w:rPr>
        <w:lastRenderedPageBreak/>
        <w:t>Part 12</w:t>
      </w:r>
      <w:r>
        <w:rPr>
          <w:b w:val="0"/>
        </w:rPr>
        <w:t> </w:t>
      </w:r>
      <w:r>
        <w:t>—</w:t>
      </w:r>
      <w:r>
        <w:rPr>
          <w:b w:val="0"/>
        </w:rPr>
        <w:t> </w:t>
      </w:r>
      <w:r>
        <w:rPr>
          <w:rStyle w:val="CharPartText"/>
        </w:rPr>
        <w:t>Consultation</w:t>
      </w:r>
      <w:bookmarkEnd w:id="118"/>
      <w:bookmarkEnd w:id="119"/>
      <w:bookmarkEnd w:id="120"/>
      <w:bookmarkEnd w:id="121"/>
    </w:p>
    <w:p>
      <w:pPr>
        <w:pStyle w:val="Footnoteheading"/>
        <w:tabs>
          <w:tab w:val="left" w:pos="851"/>
        </w:tabs>
      </w:pPr>
      <w:r>
        <w:tab/>
        <w:t>[Heading inserted: Gazette 30 Jan 2004 p. 392.]</w:t>
      </w:r>
    </w:p>
    <w:p>
      <w:pPr>
        <w:pStyle w:val="Heading5"/>
      </w:pPr>
      <w:bookmarkStart w:id="122" w:name="_Toc154068337"/>
      <w:r>
        <w:rPr>
          <w:rStyle w:val="CharSectno"/>
        </w:rPr>
        <w:t>71</w:t>
      </w:r>
      <w:r>
        <w:t>.</w:t>
      </w:r>
      <w:r>
        <w:tab/>
        <w:t>Consultation (s. 82)</w:t>
      </w:r>
      <w:bookmarkEnd w:id="122"/>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977"/>
        <w:gridCol w:w="2835"/>
      </w:tblGrid>
      <w:tr>
        <w:trPr>
          <w:cantSplit/>
          <w:tblHeader/>
        </w:trPr>
        <w:tc>
          <w:tcPr>
            <w:tcW w:w="709" w:type="dxa"/>
          </w:tcPr>
          <w:p>
            <w:pPr>
              <w:pStyle w:val="Table"/>
              <w:rPr>
                <w:b/>
              </w:rPr>
            </w:pPr>
            <w:r>
              <w:rPr>
                <w:b/>
              </w:rPr>
              <w:t>Item</w:t>
            </w:r>
          </w:p>
        </w:tc>
        <w:tc>
          <w:tcPr>
            <w:tcW w:w="2977"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977"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977"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977"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977"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977"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977"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977"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977"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rPr>
                <w:i/>
              </w:rPr>
            </w:pPr>
            <w:r>
              <w:rPr>
                <w:i/>
              </w:rPr>
              <w:t>[9.</w:t>
            </w:r>
          </w:p>
        </w:tc>
        <w:tc>
          <w:tcPr>
            <w:tcW w:w="2977" w:type="dxa"/>
          </w:tcPr>
          <w:p>
            <w:pPr>
              <w:pStyle w:val="Table"/>
              <w:rPr>
                <w:i/>
              </w:rPr>
            </w:pPr>
            <w:r>
              <w:rPr>
                <w:i/>
              </w:rPr>
              <w:t>deleted]</w:t>
            </w:r>
          </w:p>
        </w:tc>
        <w:tc>
          <w:tcPr>
            <w:tcW w:w="2835" w:type="dxa"/>
          </w:tcPr>
          <w:p>
            <w:pPr>
              <w:pStyle w:val="Table"/>
            </w:pPr>
          </w:p>
        </w:tc>
      </w:tr>
      <w:tr>
        <w:trPr>
          <w:cantSplit/>
        </w:trPr>
        <w:tc>
          <w:tcPr>
            <w:tcW w:w="709" w:type="dxa"/>
          </w:tcPr>
          <w:p>
            <w:pPr>
              <w:pStyle w:val="Table"/>
            </w:pPr>
            <w:r>
              <w:t>10.</w:t>
            </w:r>
          </w:p>
        </w:tc>
        <w:tc>
          <w:tcPr>
            <w:tcW w:w="2977"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lastRenderedPageBreak/>
              <w:t>11.</w:t>
            </w:r>
          </w:p>
        </w:tc>
        <w:tc>
          <w:tcPr>
            <w:tcW w:w="2977"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977"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977"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977"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977"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977"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977"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977" w:type="dxa"/>
          </w:tcPr>
          <w:p>
            <w:pPr>
              <w:pStyle w:val="Table"/>
            </w:pPr>
            <w:r>
              <w:t>WA Professional Trainers’ Association Greyhounds</w:t>
            </w:r>
          </w:p>
        </w:tc>
        <w:tc>
          <w:tcPr>
            <w:tcW w:w="2835" w:type="dxa"/>
          </w:tcPr>
          <w:p>
            <w:pPr>
              <w:pStyle w:val="Table"/>
            </w:pPr>
            <w:r>
              <w:t>Greyhound racing operations</w:t>
            </w:r>
          </w:p>
        </w:tc>
      </w:tr>
      <w:tr>
        <w:trPr>
          <w:cantSplit/>
        </w:trPr>
        <w:tc>
          <w:tcPr>
            <w:tcW w:w="709" w:type="dxa"/>
          </w:tcPr>
          <w:p>
            <w:pPr>
              <w:pStyle w:val="Table"/>
            </w:pPr>
            <w:r>
              <w:t>19.</w:t>
            </w:r>
          </w:p>
        </w:tc>
        <w:tc>
          <w:tcPr>
            <w:tcW w:w="2977"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977"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977"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977"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977"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977"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977"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Gazette 30 Jan 2004 p. 392</w:t>
      </w:r>
      <w:r>
        <w:noBreakHyphen/>
        <w:t>4; amended: Gazette 3 Apr 2012 p. 1569; SL 2020/152 r. 4.]</w:t>
      </w:r>
    </w:p>
    <w:p>
      <w:pPr>
        <w:pStyle w:val="Heading2"/>
      </w:pPr>
      <w:bookmarkStart w:id="123" w:name="_Toc153980032"/>
      <w:bookmarkStart w:id="124" w:name="_Toc154050182"/>
      <w:bookmarkStart w:id="125" w:name="_Toc154050358"/>
      <w:bookmarkStart w:id="126" w:name="_Toc154068338"/>
      <w:r>
        <w:rPr>
          <w:rStyle w:val="CharPartNo"/>
        </w:rPr>
        <w:lastRenderedPageBreak/>
        <w:t>Part 13</w:t>
      </w:r>
      <w:r>
        <w:rPr>
          <w:b w:val="0"/>
        </w:rPr>
        <w:t> </w:t>
      </w:r>
      <w:r>
        <w:t>—</w:t>
      </w:r>
      <w:r>
        <w:rPr>
          <w:b w:val="0"/>
        </w:rPr>
        <w:t> </w:t>
      </w:r>
      <w:r>
        <w:rPr>
          <w:rStyle w:val="CharPartText"/>
        </w:rPr>
        <w:t>Disciplinary action — Racing</w:t>
      </w:r>
      <w:bookmarkEnd w:id="123"/>
      <w:bookmarkEnd w:id="124"/>
      <w:bookmarkEnd w:id="125"/>
      <w:bookmarkEnd w:id="126"/>
    </w:p>
    <w:p>
      <w:pPr>
        <w:pStyle w:val="Footnoteheading"/>
        <w:tabs>
          <w:tab w:val="left" w:pos="851"/>
        </w:tabs>
        <w:spacing w:before="100"/>
      </w:pPr>
      <w:r>
        <w:tab/>
        <w:t>[Heading inserted: Gazette 5 Nov 2004 p. 4984.]</w:t>
      </w:r>
    </w:p>
    <w:p>
      <w:pPr>
        <w:pStyle w:val="Heading5"/>
      </w:pPr>
      <w:bookmarkStart w:id="127" w:name="_Toc154068339"/>
      <w:r>
        <w:rPr>
          <w:rStyle w:val="CharSectno"/>
        </w:rPr>
        <w:t>72</w:t>
      </w:r>
      <w:r>
        <w:t>.</w:t>
      </w:r>
      <w:r>
        <w:tab/>
        <w:t>Warning off</w:t>
      </w:r>
      <w:bookmarkEnd w:id="127"/>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spacing w:before="60"/>
      </w:pPr>
      <w:r>
        <w:tab/>
        <w:t>(a)</w:t>
      </w:r>
      <w:r>
        <w:tab/>
        <w:t>that RWWA proposes to exercise its powers under section 44(1)(e) of the Act against the person; and</w:t>
      </w:r>
    </w:p>
    <w:p>
      <w:pPr>
        <w:pStyle w:val="Indenta"/>
        <w:spacing w:before="60"/>
      </w:pPr>
      <w:r>
        <w:tab/>
        <w:t>(b)</w:t>
      </w:r>
      <w:r>
        <w:tab/>
        <w:t>the grounds upon which RWWA proposes to exercise those powers against the person; and</w:t>
      </w:r>
    </w:p>
    <w:p>
      <w:pPr>
        <w:pStyle w:val="Indenta"/>
        <w:spacing w:before="60"/>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lastRenderedPageBreak/>
        <w:tab/>
        <w:t>(7)</w:t>
      </w:r>
      <w:r>
        <w:tab/>
        <w:t>Nothing in this regulation is to be taken to prevent RWWA delegating any function under this regulation.</w:t>
      </w:r>
    </w:p>
    <w:p>
      <w:pPr>
        <w:pStyle w:val="Footnotesection"/>
        <w:spacing w:before="100"/>
      </w:pPr>
      <w:r>
        <w:tab/>
        <w:t>[Regulation 72 inserted: Gazette 5 Nov 2004 p. 4984</w:t>
      </w:r>
      <w:r>
        <w:noBreakHyphen/>
        <w:t>5.]</w:t>
      </w:r>
    </w:p>
    <w:p>
      <w:pPr>
        <w:pStyle w:val="Heading5"/>
      </w:pPr>
      <w:bookmarkStart w:id="128" w:name="_Toc154068340"/>
      <w:r>
        <w:rPr>
          <w:rStyle w:val="CharSectno"/>
        </w:rPr>
        <w:t>73</w:t>
      </w:r>
      <w:r>
        <w:t>.</w:t>
      </w:r>
      <w:r>
        <w:tab/>
        <w:t>Failure to comply with a warning off</w:t>
      </w:r>
      <w:bookmarkEnd w:id="128"/>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Gazette 5 Nov 2004 p. 4985.]</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29" w:name="_Toc148012912"/>
      <w:bookmarkStart w:id="130" w:name="_Toc148012998"/>
      <w:bookmarkStart w:id="131" w:name="_Toc148013147"/>
      <w:bookmarkStart w:id="132" w:name="_Toc148435732"/>
      <w:bookmarkStart w:id="133" w:name="_Toc154050361"/>
      <w:bookmarkStart w:id="134" w:name="_Toc154068341"/>
      <w:bookmarkStart w:id="135" w:name="_Toc153980035"/>
      <w:bookmarkStart w:id="136" w:name="_Toc154050185"/>
      <w:r>
        <w:rPr>
          <w:rStyle w:val="CharSchNo"/>
        </w:rPr>
        <w:lastRenderedPageBreak/>
        <w:t>Schedule 1</w:t>
      </w:r>
      <w:r>
        <w:t> — </w:t>
      </w:r>
      <w:r>
        <w:rPr>
          <w:rStyle w:val="CharSchText"/>
        </w:rPr>
        <w:t>Fees</w:t>
      </w:r>
      <w:bookmarkEnd w:id="129"/>
      <w:bookmarkEnd w:id="130"/>
      <w:bookmarkEnd w:id="131"/>
      <w:bookmarkEnd w:id="132"/>
      <w:bookmarkEnd w:id="133"/>
      <w:bookmarkEnd w:id="134"/>
    </w:p>
    <w:p>
      <w:pPr>
        <w:pStyle w:val="yShoulderClause"/>
      </w:pPr>
      <w:r>
        <w:t>[r. 6(1), 13(4)]</w:t>
      </w:r>
    </w:p>
    <w:p>
      <w:pPr>
        <w:pStyle w:val="yFootnoteheading"/>
        <w:spacing w:after="60"/>
      </w:pPr>
      <w:r>
        <w:tab/>
        <w:t>[Heading inserted: SL 2023/156 r. 15.]</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cantSplit/>
          <w:tblHeader/>
        </w:trPr>
        <w:tc>
          <w:tcPr>
            <w:tcW w:w="684" w:type="dxa"/>
            <w:tcBorders>
              <w:top w:val="single" w:sz="4" w:space="0" w:color="auto"/>
              <w:left w:val="single" w:sz="4" w:space="0" w:color="auto"/>
              <w:bottom w:val="single" w:sz="4" w:space="0" w:color="auto"/>
              <w:right w:val="single" w:sz="4" w:space="0" w:color="auto"/>
            </w:tcBorders>
            <w:noWrap/>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noWrap/>
          </w:tcPr>
          <w:p>
            <w:pPr>
              <w:pStyle w:val="yTableNAm"/>
              <w:jc w:val="center"/>
              <w:rPr>
                <w:b/>
              </w:rPr>
            </w:pPr>
            <w:r>
              <w:rPr>
                <w:b/>
              </w:rPr>
              <w:t>Subject</w:t>
            </w:r>
          </w:p>
        </w:tc>
        <w:tc>
          <w:tcPr>
            <w:tcW w:w="855" w:type="dxa"/>
            <w:tcBorders>
              <w:top w:val="single" w:sz="4" w:space="0" w:color="auto"/>
              <w:left w:val="single" w:sz="4" w:space="0" w:color="auto"/>
              <w:bottom w:val="single" w:sz="4" w:space="0" w:color="auto"/>
              <w:right w:val="single" w:sz="4" w:space="0" w:color="auto"/>
            </w:tcBorders>
            <w:noWrap/>
          </w:tcPr>
          <w:p>
            <w:pPr>
              <w:pStyle w:val="yTableNAm"/>
              <w:tabs>
                <w:tab w:val="clear" w:pos="567"/>
              </w:tabs>
              <w:jc w:val="center"/>
              <w:rPr>
                <w:b/>
              </w:rPr>
            </w:pPr>
            <w:r>
              <w:rPr>
                <w:b/>
              </w:rPr>
              <w:t>Fee</w:t>
            </w:r>
            <w:r>
              <w:rPr>
                <w:b/>
              </w:rPr>
              <w:br/>
              <w:t>$</w:t>
            </w:r>
          </w:p>
        </w:tc>
      </w:tr>
      <w:tr>
        <w:trPr>
          <w:cantSplit/>
        </w:trPr>
        <w:tc>
          <w:tcPr>
            <w:tcW w:w="684" w:type="dxa"/>
            <w:tcBorders>
              <w:top w:val="single" w:sz="4" w:space="0" w:color="auto"/>
              <w:left w:val="single" w:sz="4" w:space="0" w:color="auto"/>
              <w:bottom w:val="single" w:sz="4" w:space="0" w:color="auto"/>
              <w:right w:val="single" w:sz="4" w:space="0" w:color="auto"/>
            </w:tcBorders>
            <w:noWrap/>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fee for licence </w:t>
            </w:r>
          </w:p>
        </w:tc>
        <w:tc>
          <w:tcPr>
            <w:tcW w:w="855"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497.50</w:t>
            </w:r>
          </w:p>
        </w:tc>
      </w:tr>
      <w:tr>
        <w:trPr>
          <w:cantSplit/>
        </w:trPr>
        <w:tc>
          <w:tcPr>
            <w:tcW w:w="684" w:type="dxa"/>
            <w:tcBorders>
              <w:top w:val="single" w:sz="4" w:space="0" w:color="auto"/>
              <w:left w:val="single" w:sz="4" w:space="0" w:color="auto"/>
              <w:bottom w:val="single" w:sz="4" w:space="0" w:color="auto"/>
              <w:right w:val="single" w:sz="4" w:space="0" w:color="auto"/>
            </w:tcBorders>
            <w:noWrap/>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fee for renewal of licence </w:t>
            </w:r>
          </w:p>
        </w:tc>
        <w:tc>
          <w:tcPr>
            <w:tcW w:w="855"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143</w:t>
            </w:r>
            <w:r>
              <w:t>.00</w:t>
            </w:r>
          </w:p>
        </w:tc>
      </w:tr>
    </w:tbl>
    <w:p>
      <w:pPr>
        <w:pStyle w:val="yFootnotesection"/>
      </w:pPr>
      <w:r>
        <w:tab/>
        <w:t>[Schedule 1 inserted: SL 2023/156 r. 15.]</w:t>
      </w:r>
    </w:p>
    <w:bookmarkEnd w:id="135"/>
    <w:bookmarkEnd w:id="136"/>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60" w:after="60"/>
        <w:sectPr>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138" w:name="_Toc153980036"/>
      <w:bookmarkStart w:id="139" w:name="_Toc154050186"/>
      <w:bookmarkStart w:id="140" w:name="_Toc154050362"/>
      <w:bookmarkStart w:id="141" w:name="_Toc154068342"/>
      <w:r>
        <w:lastRenderedPageBreak/>
        <w:t>Notes</w:t>
      </w:r>
      <w:bookmarkEnd w:id="138"/>
      <w:bookmarkEnd w:id="139"/>
      <w:bookmarkEnd w:id="140"/>
      <w:bookmarkEnd w:id="141"/>
    </w:p>
    <w:p>
      <w:pPr>
        <w:pStyle w:val="nStatement"/>
      </w:pPr>
      <w:r>
        <w:t xml:space="preserve">This is a compilation of the </w:t>
      </w:r>
      <w:r>
        <w:rPr>
          <w:i/>
          <w:noProof/>
        </w:rPr>
        <w:t>Racing and Wagering Western Australia Regulations 2003</w:t>
      </w:r>
      <w:r>
        <w:t xml:space="preserve"> and includes amendments made by other written laws. For provisions that have come into operation, and for information about any reprints, see the compilation table. </w:t>
      </w:r>
    </w:p>
    <w:p>
      <w:pPr>
        <w:pStyle w:val="nHeading3"/>
      </w:pPr>
      <w:bookmarkStart w:id="142" w:name="_Toc154068343"/>
      <w:r>
        <w:t>Compilation table</w:t>
      </w:r>
      <w:bookmarkEnd w:id="142"/>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Racing and Wagering Western Australia Regulations 2003</w:t>
            </w:r>
          </w:p>
        </w:tc>
        <w:tc>
          <w:tcPr>
            <w:tcW w:w="1276" w:type="dxa"/>
            <w:tcBorders>
              <w:top w:val="single" w:sz="8" w:space="0" w:color="auto"/>
            </w:tcBorders>
          </w:tcPr>
          <w:p>
            <w:pPr>
              <w:pStyle w:val="nTable"/>
              <w:spacing w:after="40"/>
            </w:pPr>
            <w:r>
              <w:t>29 Jul 2003 p. 3273</w:t>
            </w:r>
            <w:r>
              <w:noBreakHyphen/>
              <w:t>91</w:t>
            </w:r>
          </w:p>
        </w:tc>
        <w:tc>
          <w:tcPr>
            <w:tcW w:w="2693" w:type="dxa"/>
            <w:tcBorders>
              <w:top w:val="single" w:sz="8" w:space="0" w:color="auto"/>
            </w:tcBorders>
          </w:tcPr>
          <w:p>
            <w:pPr>
              <w:pStyle w:val="nTable"/>
              <w:spacing w:after="40"/>
            </w:pPr>
            <w:r>
              <w:t xml:space="preserve">1 Aug 2003 (see r. 2 and </w:t>
            </w:r>
            <w:r>
              <w:rPr>
                <w:i/>
              </w:rPr>
              <w:t>Gazette</w:t>
            </w:r>
            <w:r>
              <w:t xml:space="preserve"> 29 Jul 2003 p. 3259)</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2004</w:t>
            </w:r>
          </w:p>
        </w:tc>
        <w:tc>
          <w:tcPr>
            <w:tcW w:w="1276" w:type="dxa"/>
          </w:tcPr>
          <w:p>
            <w:pPr>
              <w:pStyle w:val="nTable"/>
              <w:spacing w:after="40"/>
            </w:pPr>
            <w:r>
              <w:t>30 Jan 2004 p. 355</w:t>
            </w:r>
            <w:r>
              <w:noBreakHyphen/>
              <w:t>94</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Cs/>
              </w:rPr>
            </w:pPr>
            <w:r>
              <w:rPr>
                <w:i/>
              </w:rPr>
              <w:t>Racing and Wagering Western Australia Amendment Regulations (No. 2) 2004</w:t>
            </w:r>
            <w:r>
              <w:rPr>
                <w:iCs/>
              </w:rPr>
              <w:t xml:space="preserve"> </w:t>
            </w:r>
            <w:r>
              <w:rPr>
                <w:iCs/>
                <w:vertAlign w:val="superscript"/>
              </w:rPr>
              <w:t>1</w:t>
            </w:r>
          </w:p>
        </w:tc>
        <w:tc>
          <w:tcPr>
            <w:tcW w:w="1276" w:type="dxa"/>
          </w:tcPr>
          <w:p>
            <w:pPr>
              <w:pStyle w:val="nTable"/>
              <w:spacing w:after="40"/>
            </w:pPr>
            <w:r>
              <w:t>5 Nov 2004 p. 4984</w:t>
            </w:r>
            <w:r>
              <w:noBreakHyphen/>
              <w:t>6</w:t>
            </w:r>
          </w:p>
        </w:tc>
        <w:tc>
          <w:tcPr>
            <w:tcW w:w="2693" w:type="dxa"/>
          </w:tcPr>
          <w:p>
            <w:pPr>
              <w:pStyle w:val="nTable"/>
              <w:spacing w:after="40"/>
            </w:pPr>
            <w:r>
              <w:t>5 Nov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2005</w:t>
            </w:r>
          </w:p>
        </w:tc>
        <w:tc>
          <w:tcPr>
            <w:tcW w:w="1276" w:type="dxa"/>
          </w:tcPr>
          <w:p>
            <w:pPr>
              <w:pStyle w:val="nTable"/>
              <w:spacing w:after="40"/>
            </w:pPr>
            <w:r>
              <w:t>14 Oct 2005 p. 4567</w:t>
            </w:r>
            <w:r>
              <w:noBreakHyphen/>
              <w:t>8</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2006</w:t>
            </w:r>
          </w:p>
        </w:tc>
        <w:tc>
          <w:tcPr>
            <w:tcW w:w="1276" w:type="dxa"/>
          </w:tcPr>
          <w:p>
            <w:pPr>
              <w:pStyle w:val="nTable"/>
              <w:spacing w:after="40"/>
            </w:pPr>
            <w:r>
              <w:t>5 May 2006 p. 1737</w:t>
            </w:r>
            <w:r>
              <w:noBreakHyphen/>
              <w:t>40</w:t>
            </w:r>
          </w:p>
        </w:tc>
        <w:tc>
          <w:tcPr>
            <w:tcW w:w="2693" w:type="dxa"/>
          </w:tcPr>
          <w:p>
            <w:pPr>
              <w:pStyle w:val="nTable"/>
              <w:spacing w:after="40"/>
            </w:pPr>
            <w:r>
              <w:t>5 May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(No. 2) 2006</w:t>
            </w:r>
          </w:p>
        </w:tc>
        <w:tc>
          <w:tcPr>
            <w:tcW w:w="1276" w:type="dxa"/>
          </w:tcPr>
          <w:p>
            <w:pPr>
              <w:pStyle w:val="nTable"/>
              <w:spacing w:after="40"/>
            </w:pPr>
            <w:r>
              <w:t>14 Jul 2006 p. 2569</w:t>
            </w:r>
            <w:r>
              <w:noBreakHyphen/>
              <w:t>70</w:t>
            </w:r>
          </w:p>
        </w:tc>
        <w:tc>
          <w:tcPr>
            <w:tcW w:w="2693" w:type="dxa"/>
          </w:tcPr>
          <w:p>
            <w:pPr>
              <w:pStyle w:val="nTable"/>
              <w:spacing w:after="40"/>
            </w:pPr>
            <w:r>
              <w:t>14 Jul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Racing and Wagering Western Australia Regulations 2003</w:t>
            </w:r>
            <w:r>
              <w:rPr>
                <w:b/>
                <w:bCs/>
              </w:rPr>
              <w:t xml:space="preserve"> as at 6 Oct 2006</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Racing and Wagering Western Australia Amendment Regulations (No. 3) 2006</w:t>
            </w:r>
          </w:p>
        </w:tc>
        <w:tc>
          <w:tcPr>
            <w:tcW w:w="1276" w:type="dxa"/>
          </w:tcPr>
          <w:p>
            <w:pPr>
              <w:pStyle w:val="nTable"/>
              <w:spacing w:after="40"/>
            </w:pPr>
            <w:r>
              <w:t>14 Nov 2006 p. 4736</w:t>
            </w:r>
            <w:r>
              <w:noBreakHyphen/>
              <w:t>7</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2007</w:t>
            </w:r>
          </w:p>
        </w:tc>
        <w:tc>
          <w:tcPr>
            <w:tcW w:w="1276" w:type="dxa"/>
          </w:tcPr>
          <w:p>
            <w:pPr>
              <w:pStyle w:val="nTable"/>
              <w:spacing w:after="40"/>
            </w:pPr>
            <w:r>
              <w:t>18 Sep 2007 p. 4715</w:t>
            </w:r>
            <w:r>
              <w:noBreakHyphen/>
              <w:t>16</w:t>
            </w:r>
          </w:p>
        </w:tc>
        <w:tc>
          <w:tcPr>
            <w:tcW w:w="2693" w:type="dxa"/>
          </w:tcPr>
          <w:p>
            <w:pPr>
              <w:pStyle w:val="nTable"/>
              <w:spacing w:after="40"/>
              <w:rPr>
                <w:snapToGrid w:val="0"/>
              </w:rPr>
            </w:pPr>
            <w:r>
              <w:rPr>
                <w:snapToGrid w:val="0"/>
              </w:rPr>
              <w:t>r. 1 and 2: 18 Sep 2007</w:t>
            </w:r>
            <w:r>
              <w:rPr>
                <w:snapToGrid w:val="0"/>
              </w:rPr>
              <w:br/>
              <w:t>(see r. 2(a));</w:t>
            </w:r>
            <w:r>
              <w:rPr>
                <w:snapToGrid w:val="0"/>
              </w:rPr>
              <w:br/>
              <w:t>Regulations other than r. 1 and 2: 19 Sep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(No. 3) 2007</w:t>
            </w:r>
          </w:p>
        </w:tc>
        <w:tc>
          <w:tcPr>
            <w:tcW w:w="1276" w:type="dxa"/>
          </w:tcPr>
          <w:p>
            <w:pPr>
              <w:pStyle w:val="nTable"/>
              <w:spacing w:after="40"/>
            </w:pPr>
            <w:r>
              <w:t>9 Oct 2007 p. 5357</w:t>
            </w:r>
          </w:p>
        </w:tc>
        <w:tc>
          <w:tcPr>
            <w:tcW w:w="2693" w:type="dxa"/>
          </w:tcPr>
          <w:p>
            <w:pPr>
              <w:pStyle w:val="nTable"/>
              <w:spacing w:after="40"/>
              <w:rPr>
                <w:snapToGrid w:val="0"/>
              </w:rPr>
            </w:pPr>
            <w:r>
              <w:rPr>
                <w:snapToGrid w:val="0"/>
              </w:rPr>
              <w:t>r. 1 and 2: 9 Oct 2007 (see r. 2(a));</w:t>
            </w:r>
            <w:r>
              <w:rPr>
                <w:snapToGrid w:val="0"/>
              </w:rPr>
              <w:br/>
              <w:t xml:space="preserve">Regulations other than r. 1 and 2: </w:t>
            </w:r>
            <w:r>
              <w:t>1 Jan 2008 (see r. 2(b))</w:t>
            </w:r>
            <w:r>
              <w:rPr>
                <w:snapToGrid w:val="0"/>
              </w:rPr>
              <w:t xml:space="preserve">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Racing and Wagering Western Australia Amendment Regulations (No. 2) 2007</w:t>
            </w:r>
          </w:p>
        </w:tc>
        <w:tc>
          <w:tcPr>
            <w:tcW w:w="1276" w:type="dxa"/>
          </w:tcPr>
          <w:p>
            <w:pPr>
              <w:pStyle w:val="nTable"/>
              <w:spacing w:after="40"/>
            </w:pPr>
            <w:r>
              <w:rPr>
                <w:bCs/>
              </w:rPr>
              <w:t>7 Dec 2007 p. 5985</w:t>
            </w:r>
            <w:r>
              <w:rPr>
                <w:bCs/>
              </w:rPr>
              <w:noBreakHyphen/>
              <w:t>6</w:t>
            </w:r>
          </w:p>
        </w:tc>
        <w:tc>
          <w:tcPr>
            <w:tcW w:w="2693" w:type="dxa"/>
          </w:tcPr>
          <w:p>
            <w:pPr>
              <w:pStyle w:val="nTable"/>
              <w:spacing w:after="40"/>
              <w:rPr>
                <w:snapToGrid w:val="0"/>
              </w:rPr>
            </w:pPr>
            <w:r>
              <w:rPr>
                <w:bCs/>
              </w:rPr>
              <w:t>r. 1 and 2: 7 Dec 2007 (see r. 2(a));</w:t>
            </w:r>
            <w:r>
              <w:rPr>
                <w:bCs/>
              </w:rPr>
              <w:br/>
              <w:t>Regulations other than r. 1 and 2: 8 Dec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Racing and Wagering Western Australia Amendment Regulations 2008 </w:t>
            </w:r>
          </w:p>
        </w:tc>
        <w:tc>
          <w:tcPr>
            <w:tcW w:w="1276" w:type="dxa"/>
          </w:tcPr>
          <w:p>
            <w:pPr>
              <w:pStyle w:val="nTable"/>
              <w:spacing w:after="40"/>
              <w:rPr>
                <w:bCs/>
              </w:rPr>
            </w:pPr>
            <w:r>
              <w:t>28 Oct 2008 p. 4738</w:t>
            </w:r>
          </w:p>
        </w:tc>
        <w:tc>
          <w:tcPr>
            <w:tcW w:w="2693" w:type="dxa"/>
          </w:tcPr>
          <w:p>
            <w:pPr>
              <w:pStyle w:val="nTable"/>
              <w:spacing w:after="40"/>
              <w:rPr>
                <w:bCs/>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2: The </w:t>
            </w:r>
            <w:r>
              <w:rPr>
                <w:b/>
                <w:bCs/>
                <w:i/>
              </w:rPr>
              <w:t>Racing and Wagering Western Australia Regulations 2003</w:t>
            </w:r>
            <w:r>
              <w:rPr>
                <w:b/>
                <w:bCs/>
              </w:rPr>
              <w:t xml:space="preserve"> as at 19 Jun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vertAlign w:val="superscript"/>
              </w:rPr>
            </w:pPr>
            <w:r>
              <w:rPr>
                <w:i/>
              </w:rPr>
              <w:t>Racing and Wagering Western Australia Amendment Regulations 2009</w:t>
            </w:r>
          </w:p>
        </w:tc>
        <w:tc>
          <w:tcPr>
            <w:tcW w:w="1276" w:type="dxa"/>
          </w:tcPr>
          <w:p>
            <w:pPr>
              <w:pStyle w:val="nTable"/>
              <w:spacing w:after="40"/>
            </w:pPr>
            <w:r>
              <w:t>30 Oct 2009 p. 4320</w:t>
            </w:r>
            <w:r>
              <w:noBreakHyphen/>
              <w:t>1</w:t>
            </w:r>
          </w:p>
        </w:tc>
        <w:tc>
          <w:tcPr>
            <w:tcW w:w="2693" w:type="dxa"/>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and Wagering Western Australia Amendment Regulations 2010</w:t>
            </w:r>
            <w:r>
              <w:rPr>
                <w:iCs/>
              </w:rPr>
              <w:t xml:space="preserve"> </w:t>
            </w:r>
          </w:p>
        </w:tc>
        <w:tc>
          <w:tcPr>
            <w:tcW w:w="1276" w:type="dxa"/>
          </w:tcPr>
          <w:p>
            <w:pPr>
              <w:pStyle w:val="nTable"/>
              <w:spacing w:after="40"/>
            </w:pPr>
            <w:r>
              <w:t>19 Nov 2010 p. 5740</w:t>
            </w:r>
            <w:r>
              <w:noBreakHyphen/>
              <w:t>1</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and Wagering Western Australia Amendment Regulations 2011</w:t>
            </w:r>
          </w:p>
        </w:tc>
        <w:tc>
          <w:tcPr>
            <w:tcW w:w="1276" w:type="dxa"/>
          </w:tcPr>
          <w:p>
            <w:pPr>
              <w:pStyle w:val="nTable"/>
              <w:spacing w:after="40"/>
            </w:pPr>
            <w:r>
              <w:t>4 Nov 2011 p. 4636-7</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and Wagering Western Australia Amendment Regulations (No. 2) 2011</w:t>
            </w:r>
          </w:p>
        </w:tc>
        <w:tc>
          <w:tcPr>
            <w:tcW w:w="1276" w:type="dxa"/>
          </w:tcPr>
          <w:p>
            <w:pPr>
              <w:pStyle w:val="nTable"/>
              <w:spacing w:after="40"/>
            </w:pPr>
            <w:r>
              <w:t>3 Apr 2012 p. 1569</w:t>
            </w:r>
          </w:p>
        </w:tc>
        <w:tc>
          <w:tcPr>
            <w:tcW w:w="2693" w:type="dxa"/>
          </w:tcPr>
          <w:p>
            <w:pPr>
              <w:pStyle w:val="nTable"/>
              <w:spacing w:after="40"/>
              <w:rPr>
                <w:snapToGrid w:val="0"/>
              </w:rPr>
            </w:pPr>
            <w:r>
              <w:rPr>
                <w:snapToGrid w:val="0"/>
              </w:rPr>
              <w:t>r. 1 and 2: 3 Apr 2012 (see r. 2(a));</w:t>
            </w:r>
            <w:r>
              <w:rPr>
                <w:snapToGrid w:val="0"/>
              </w:rPr>
              <w:br/>
              <w:t>Regulations other than r. 1 and 2: 4 Apr </w:t>
            </w:r>
            <w:r>
              <w:t>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and Wagering Western Australia Amendment Regulations 2012</w:t>
            </w:r>
          </w:p>
        </w:tc>
        <w:tc>
          <w:tcPr>
            <w:tcW w:w="1276" w:type="dxa"/>
            <w:shd w:val="clear" w:color="auto" w:fill="auto"/>
          </w:tcPr>
          <w:p>
            <w:pPr>
              <w:pStyle w:val="nTable"/>
              <w:spacing w:after="40"/>
            </w:pPr>
            <w:r>
              <w:t>16 Nov 2012 p. 5651-2</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and Wagering Western Australia Amendment Regulations 2013</w:t>
            </w:r>
          </w:p>
        </w:tc>
        <w:tc>
          <w:tcPr>
            <w:tcW w:w="1276" w:type="dxa"/>
            <w:shd w:val="clear" w:color="auto" w:fill="auto"/>
          </w:tcPr>
          <w:p>
            <w:pPr>
              <w:pStyle w:val="nTable"/>
              <w:spacing w:after="40"/>
            </w:pPr>
            <w:r>
              <w:t>12 Jul 2013 p. 3226</w:t>
            </w:r>
          </w:p>
        </w:tc>
        <w:tc>
          <w:tcPr>
            <w:tcW w:w="2693" w:type="dxa"/>
            <w:shd w:val="clear" w:color="auto" w:fill="auto"/>
          </w:tcPr>
          <w:p>
            <w:pPr>
              <w:pStyle w:val="nTable"/>
              <w:spacing w:after="40"/>
              <w:rPr>
                <w:snapToGrid w:val="0"/>
              </w:rPr>
            </w:pPr>
            <w:r>
              <w:rPr>
                <w:snapToGrid w:val="0"/>
              </w:rPr>
              <w:t>r. 1 and 2: 12 Jul 2013 (see r. 2(a));</w:t>
            </w:r>
            <w:r>
              <w:rPr>
                <w:snapToGrid w:val="0"/>
              </w:rPr>
              <w:br/>
              <w:t xml:space="preserve">Regulations other than r. 1 and 2: </w:t>
            </w:r>
            <w:r>
              <w:t>1 Aug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bCs/>
              </w:rPr>
              <w:t xml:space="preserve">Reprint 3: The </w:t>
            </w:r>
            <w:r>
              <w:rPr>
                <w:b/>
                <w:bCs/>
                <w:i/>
              </w:rPr>
              <w:t>Racing and Wagering Western Australia Regulations 2003</w:t>
            </w:r>
            <w:r>
              <w:rPr>
                <w:b/>
                <w:bCs/>
              </w:rPr>
              <w:t xml:space="preserve"> as at 9 Aug 2013</w:t>
            </w:r>
            <w: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2013</w:t>
            </w:r>
          </w:p>
        </w:tc>
        <w:tc>
          <w:tcPr>
            <w:tcW w:w="1276" w:type="dxa"/>
            <w:tcBorders>
              <w:top w:val="nil"/>
              <w:bottom w:val="nil"/>
            </w:tcBorders>
          </w:tcPr>
          <w:p>
            <w:pPr>
              <w:pStyle w:val="nTable"/>
              <w:spacing w:after="40"/>
            </w:pPr>
            <w:r>
              <w:t>8 Nov 2013 p. 4980</w:t>
            </w:r>
            <w:r>
              <w:noBreakHyphen/>
              <w:t>1</w:t>
            </w:r>
          </w:p>
        </w:tc>
        <w:tc>
          <w:tcPr>
            <w:tcW w:w="2693" w:type="dxa"/>
            <w:tcBorders>
              <w:top w:val="nil"/>
              <w:bottom w:val="nil"/>
            </w:tcBorders>
          </w:tcPr>
          <w:p>
            <w:pPr>
              <w:pStyle w:val="nTable"/>
              <w:spacing w:after="40"/>
            </w:pPr>
            <w:r>
              <w:rPr>
                <w:snapToGrid w:val="0"/>
                <w:spacing w:val="-2"/>
              </w:rPr>
              <w:t>r. 1 and 2: 8 Nov 2013 (see r. 2(a));</w:t>
            </w:r>
            <w:r>
              <w:rPr>
                <w:snapToGrid w:val="0"/>
                <w:spacing w:val="-2"/>
              </w:rPr>
              <w:br/>
              <w:t>Regulations other than r. 1 and 2: 1 Jan 2014 (see. r. 2(b))</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ind w:right="113"/>
              <w:rPr>
                <w:i/>
              </w:rPr>
            </w:pPr>
            <w:r>
              <w:rPr>
                <w:i/>
              </w:rPr>
              <w:lastRenderedPageBreak/>
              <w:t>Racing and Wagering Western Australia Amendment Regulations (No. 2) 2014</w:t>
            </w:r>
          </w:p>
        </w:tc>
        <w:tc>
          <w:tcPr>
            <w:tcW w:w="1276" w:type="dxa"/>
            <w:tcBorders>
              <w:top w:val="nil"/>
              <w:bottom w:val="nil"/>
            </w:tcBorders>
          </w:tcPr>
          <w:p>
            <w:pPr>
              <w:pStyle w:val="nTable"/>
              <w:spacing w:after="40"/>
            </w:pPr>
            <w:r>
              <w:t>14 Nov 2014 p. 4287</w:t>
            </w:r>
          </w:p>
        </w:tc>
        <w:tc>
          <w:tcPr>
            <w:tcW w:w="2693" w:type="dxa"/>
            <w:tcBorders>
              <w:top w:val="nil"/>
              <w:bottom w:val="nil"/>
            </w:tcBorders>
          </w:tcPr>
          <w:p>
            <w:pPr>
              <w:pStyle w:val="nTable"/>
              <w:spacing w:after="40"/>
              <w:rPr>
                <w:snapToGrid w:val="0"/>
                <w:spacing w:val="-2"/>
              </w:rPr>
            </w:pPr>
            <w:r>
              <w:rPr>
                <w:bCs/>
                <w:snapToGrid w:val="0"/>
                <w:spacing w:val="-2"/>
              </w:rPr>
              <w:t xml:space="preserve">r. 1 and 2: </w:t>
            </w:r>
            <w:r>
              <w:t xml:space="preserve">14 Nov </w:t>
            </w:r>
            <w:r>
              <w:rPr>
                <w:bCs/>
                <w:snapToGrid w:val="0"/>
                <w:spacing w:val="-2"/>
              </w:rPr>
              <w:t> 2014 (see r. 2(a));</w:t>
            </w:r>
            <w:r>
              <w:rPr>
                <w:bCs/>
                <w:snapToGrid w:val="0"/>
                <w:spacing w:val="-2"/>
              </w:rPr>
              <w:br/>
              <w:t>Regulations other than r. 1 and 2: 1 Jan 2015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 xml:space="preserve">Racing, Gaming and Liquor Regulations Amendment (Fees and Charges) Regulations 2015 </w:t>
            </w:r>
            <w:r>
              <w:t>Pt. 7</w:t>
            </w:r>
          </w:p>
        </w:tc>
        <w:tc>
          <w:tcPr>
            <w:tcW w:w="1276" w:type="dxa"/>
            <w:tcBorders>
              <w:top w:val="nil"/>
              <w:bottom w:val="nil"/>
            </w:tcBorders>
          </w:tcPr>
          <w:p>
            <w:pPr>
              <w:pStyle w:val="nTable"/>
              <w:spacing w:after="40"/>
            </w:pPr>
            <w:r>
              <w:t>6 Nov 2015 p. 4581-8</w:t>
            </w:r>
          </w:p>
        </w:tc>
        <w:tc>
          <w:tcPr>
            <w:tcW w:w="2693" w:type="dxa"/>
            <w:tcBorders>
              <w:top w:val="nil"/>
              <w:bottom w:val="nil"/>
            </w:tcBorders>
          </w:tcPr>
          <w:p>
            <w:pPr>
              <w:pStyle w:val="nTable"/>
              <w:spacing w:after="40"/>
              <w:rPr>
                <w:bCs/>
                <w:snapToGrid w:val="0"/>
                <w:spacing w:val="-2"/>
              </w:rPr>
            </w:pPr>
            <w:r>
              <w:rPr>
                <w:snapToGrid w:val="0"/>
                <w:spacing w:val="-2"/>
              </w:rPr>
              <w:t>1 Jan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2016</w:t>
            </w:r>
          </w:p>
        </w:tc>
        <w:tc>
          <w:tcPr>
            <w:tcW w:w="1276" w:type="dxa"/>
            <w:tcBorders>
              <w:top w:val="nil"/>
              <w:bottom w:val="nil"/>
            </w:tcBorders>
          </w:tcPr>
          <w:p>
            <w:pPr>
              <w:pStyle w:val="nTable"/>
              <w:spacing w:after="40"/>
            </w:pPr>
            <w:r>
              <w:t>4 Mar 2016 p. 628</w:t>
            </w:r>
            <w:r>
              <w:noBreakHyphen/>
              <w:t>9</w:t>
            </w:r>
          </w:p>
        </w:tc>
        <w:tc>
          <w:tcPr>
            <w:tcW w:w="2693" w:type="dxa"/>
            <w:tcBorders>
              <w:top w:val="nil"/>
              <w:bottom w:val="nil"/>
            </w:tcBorders>
          </w:tcPr>
          <w:p>
            <w:pPr>
              <w:pStyle w:val="nTable"/>
              <w:spacing w:after="40"/>
              <w:rPr>
                <w:snapToGrid w:val="0"/>
                <w:spacing w:val="-2"/>
              </w:rPr>
            </w:pPr>
            <w:r>
              <w:t>r. 1 and 2: 4 Mar 2016 (see r. 2(a));</w:t>
            </w:r>
            <w:r>
              <w:br/>
              <w:t>Regulations other than r. 1 and 2: 1 Apr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2016</w:t>
            </w:r>
          </w:p>
        </w:tc>
        <w:tc>
          <w:tcPr>
            <w:tcW w:w="1276" w:type="dxa"/>
            <w:tcBorders>
              <w:top w:val="nil"/>
              <w:bottom w:val="nil"/>
            </w:tcBorders>
          </w:tcPr>
          <w:p>
            <w:pPr>
              <w:pStyle w:val="nTable"/>
              <w:spacing w:after="40"/>
            </w:pPr>
            <w:r>
              <w:t>8 Mar 2016 p. 668</w:t>
            </w:r>
          </w:p>
        </w:tc>
        <w:tc>
          <w:tcPr>
            <w:tcW w:w="2693" w:type="dxa"/>
            <w:tcBorders>
              <w:top w:val="nil"/>
              <w:bottom w:val="nil"/>
            </w:tcBorders>
          </w:tcPr>
          <w:p>
            <w:pPr>
              <w:pStyle w:val="nTable"/>
              <w:spacing w:after="40"/>
              <w:rPr>
                <w:snapToGrid w:val="0"/>
                <w:spacing w:val="-2"/>
              </w:rPr>
            </w:pPr>
            <w:r>
              <w:rPr>
                <w:bCs/>
                <w:snapToGrid w:val="0"/>
                <w:spacing w:val="-2"/>
              </w:rPr>
              <w:t>r. 1 and 2: 8 Mar 2016 (see r. 2(a));</w:t>
            </w:r>
            <w:r>
              <w:rPr>
                <w:bCs/>
                <w:snapToGrid w:val="0"/>
                <w:spacing w:val="-2"/>
              </w:rPr>
              <w:br/>
              <w:t>Regulations other than r. 1 and 2: 9 Mar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3) 2016</w:t>
            </w:r>
          </w:p>
        </w:tc>
        <w:tc>
          <w:tcPr>
            <w:tcW w:w="1276" w:type="dxa"/>
            <w:tcBorders>
              <w:top w:val="nil"/>
              <w:bottom w:val="nil"/>
            </w:tcBorders>
          </w:tcPr>
          <w:p>
            <w:pPr>
              <w:pStyle w:val="nTable"/>
              <w:spacing w:after="40"/>
            </w:pPr>
            <w:r>
              <w:t>24 Jun 2016 p. 2341</w:t>
            </w:r>
            <w:r>
              <w:noBreakHyphen/>
              <w:t>2</w:t>
            </w:r>
          </w:p>
        </w:tc>
        <w:tc>
          <w:tcPr>
            <w:tcW w:w="2693" w:type="dxa"/>
            <w:tcBorders>
              <w:top w:val="nil"/>
              <w:bottom w:val="nil"/>
            </w:tcBorders>
          </w:tcPr>
          <w:p>
            <w:pPr>
              <w:pStyle w:val="nTable"/>
              <w:spacing w:after="40"/>
              <w:rPr>
                <w:bCs/>
                <w:snapToGrid w:val="0"/>
                <w:spacing w:val="-2"/>
              </w:rPr>
            </w:pPr>
            <w:r>
              <w:rPr>
                <w:bCs/>
                <w:snapToGrid w:val="0"/>
                <w:spacing w:val="-2"/>
              </w:rPr>
              <w:t>r. 1 and 2: 24 Jun 2016 (see r. 2(a));</w:t>
            </w:r>
            <w:r>
              <w:rPr>
                <w:bCs/>
                <w:snapToGrid w:val="0"/>
                <w:spacing w:val="-2"/>
              </w:rPr>
              <w:br/>
              <w:t>Regulations other than r. 1 and 2: 25 Jun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2016</w:t>
            </w:r>
            <w:r>
              <w:t xml:space="preserve"> Pt. 7</w:t>
            </w:r>
          </w:p>
        </w:tc>
        <w:tc>
          <w:tcPr>
            <w:tcW w:w="1276" w:type="dxa"/>
            <w:tcBorders>
              <w:top w:val="nil"/>
              <w:bottom w:val="nil"/>
            </w:tcBorders>
          </w:tcPr>
          <w:p>
            <w:pPr>
              <w:pStyle w:val="nTable"/>
              <w:spacing w:after="40"/>
            </w:pPr>
            <w:r>
              <w:t>28 Oct 2016 p. 4910</w:t>
            </w:r>
            <w:r>
              <w:noBreakHyphen/>
              <w:t>16</w:t>
            </w:r>
          </w:p>
        </w:tc>
        <w:tc>
          <w:tcPr>
            <w:tcW w:w="2693" w:type="dxa"/>
            <w:tcBorders>
              <w:top w:val="nil"/>
              <w:bottom w:val="nil"/>
            </w:tcBorders>
          </w:tcPr>
          <w:p>
            <w:pPr>
              <w:pStyle w:val="nTable"/>
              <w:spacing w:after="40"/>
              <w:rPr>
                <w:bCs/>
                <w:snapToGrid w:val="0"/>
                <w:spacing w:val="-2"/>
              </w:rPr>
            </w:pPr>
            <w:r>
              <w:t>1 Jan 2017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pPr>
            <w:r>
              <w:rPr>
                <w:b/>
              </w:rPr>
              <w:t xml:space="preserve">Reprint 4: The </w:t>
            </w:r>
            <w:r>
              <w:rPr>
                <w:b/>
                <w:i/>
                <w:noProof/>
              </w:rPr>
              <w:t>Racing and Wagering Western Australia Regulations 2003</w:t>
            </w:r>
            <w:r>
              <w:rPr>
                <w:b/>
              </w:rPr>
              <w:t xml:space="preserve"> as at 4 Aug 2017</w:t>
            </w:r>
            <w: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2017</w:t>
            </w:r>
            <w:r>
              <w:t xml:space="preserve"> Pt. 7</w:t>
            </w:r>
          </w:p>
        </w:tc>
        <w:tc>
          <w:tcPr>
            <w:tcW w:w="1276" w:type="dxa"/>
            <w:tcBorders>
              <w:top w:val="nil"/>
              <w:bottom w:val="nil"/>
            </w:tcBorders>
          </w:tcPr>
          <w:p>
            <w:pPr>
              <w:pStyle w:val="nTable"/>
              <w:spacing w:after="40"/>
            </w:pPr>
            <w:r>
              <w:t>10 Nov 2017 p. 5579</w:t>
            </w:r>
            <w:r>
              <w:noBreakHyphen/>
              <w:t>94</w:t>
            </w:r>
          </w:p>
        </w:tc>
        <w:tc>
          <w:tcPr>
            <w:tcW w:w="2693" w:type="dxa"/>
            <w:tcBorders>
              <w:top w:val="nil"/>
              <w:bottom w:val="nil"/>
            </w:tcBorders>
          </w:tcPr>
          <w:p>
            <w:pPr>
              <w:pStyle w:val="nTable"/>
              <w:spacing w:after="40"/>
              <w:rPr>
                <w:bCs/>
                <w:snapToGrid w:val="0"/>
                <w:spacing w:val="-2"/>
              </w:rPr>
            </w:pPr>
            <w:r>
              <w:t>1 Jan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2018</w:t>
            </w:r>
            <w:r>
              <w:t xml:space="preserve"> Pt. 7</w:t>
            </w:r>
          </w:p>
        </w:tc>
        <w:tc>
          <w:tcPr>
            <w:tcW w:w="1276" w:type="dxa"/>
            <w:tcBorders>
              <w:top w:val="nil"/>
              <w:bottom w:val="nil"/>
            </w:tcBorders>
          </w:tcPr>
          <w:p>
            <w:pPr>
              <w:pStyle w:val="nTable"/>
              <w:spacing w:after="40"/>
            </w:pPr>
            <w:r>
              <w:t>7 Sep 2018 p. 3192</w:t>
            </w:r>
            <w:r>
              <w:noBreakHyphen/>
              <w:t>200</w:t>
            </w:r>
          </w:p>
        </w:tc>
        <w:tc>
          <w:tcPr>
            <w:tcW w:w="2693" w:type="dxa"/>
            <w:tcBorders>
              <w:top w:val="nil"/>
              <w:bottom w:val="nil"/>
            </w:tcBorders>
          </w:tcPr>
          <w:p>
            <w:pPr>
              <w:pStyle w:val="nTable"/>
              <w:spacing w:after="40"/>
            </w:pPr>
            <w:r>
              <w:t>1 Jan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 xml:space="preserve">Racing and Gaming Regulations Amendment Regulations 2019 </w:t>
            </w:r>
            <w:r>
              <w:t>Pt. 3</w:t>
            </w:r>
          </w:p>
        </w:tc>
        <w:tc>
          <w:tcPr>
            <w:tcW w:w="1276" w:type="dxa"/>
            <w:tcBorders>
              <w:top w:val="nil"/>
              <w:bottom w:val="nil"/>
            </w:tcBorders>
          </w:tcPr>
          <w:p>
            <w:pPr>
              <w:pStyle w:val="nTable"/>
              <w:spacing w:after="40"/>
            </w:pPr>
            <w:r>
              <w:t>25 Jan 2019 p. 202-3</w:t>
            </w:r>
          </w:p>
        </w:tc>
        <w:tc>
          <w:tcPr>
            <w:tcW w:w="2693" w:type="dxa"/>
            <w:tcBorders>
              <w:top w:val="nil"/>
              <w:bottom w:val="nil"/>
            </w:tcBorders>
          </w:tcPr>
          <w:p>
            <w:pPr>
              <w:pStyle w:val="nTable"/>
              <w:spacing w:after="40"/>
            </w:pPr>
            <w:r>
              <w:t xml:space="preserve">1 Feb 2019 (see r. 2(b) and </w:t>
            </w:r>
            <w:r>
              <w:rPr>
                <w:i/>
              </w:rPr>
              <w:t>Gazette</w:t>
            </w:r>
            <w:r>
              <w:t xml:space="preserve"> 25 Jan 2019 p. 193)</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2019</w:t>
            </w:r>
            <w:r>
              <w:t xml:space="preserve"> Pt. 7</w:t>
            </w:r>
          </w:p>
        </w:tc>
        <w:tc>
          <w:tcPr>
            <w:tcW w:w="1276" w:type="dxa"/>
            <w:tcBorders>
              <w:top w:val="nil"/>
              <w:bottom w:val="nil"/>
            </w:tcBorders>
          </w:tcPr>
          <w:p>
            <w:pPr>
              <w:pStyle w:val="nTable"/>
              <w:spacing w:after="40"/>
            </w:pPr>
            <w:r>
              <w:t>22 Oct 2019 p. 3720-9</w:t>
            </w:r>
          </w:p>
        </w:tc>
        <w:tc>
          <w:tcPr>
            <w:tcW w:w="2693" w:type="dxa"/>
            <w:tcBorders>
              <w:top w:val="nil"/>
              <w:bottom w:val="nil"/>
            </w:tcBorders>
          </w:tcPr>
          <w:p>
            <w:pPr>
              <w:pStyle w:val="nTable"/>
              <w:spacing w:after="40"/>
            </w:pPr>
            <w:r>
              <w:t>1 Jan 2020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2020</w:t>
            </w:r>
          </w:p>
        </w:tc>
        <w:tc>
          <w:tcPr>
            <w:tcW w:w="1276" w:type="dxa"/>
            <w:tcBorders>
              <w:top w:val="nil"/>
              <w:bottom w:val="nil"/>
            </w:tcBorders>
          </w:tcPr>
          <w:p>
            <w:pPr>
              <w:pStyle w:val="nTable"/>
              <w:spacing w:after="40"/>
            </w:pPr>
            <w:r>
              <w:t>SL 2020/152 4 Sep 2020</w:t>
            </w:r>
          </w:p>
        </w:tc>
        <w:tc>
          <w:tcPr>
            <w:tcW w:w="2693" w:type="dxa"/>
            <w:tcBorders>
              <w:top w:val="nil"/>
              <w:bottom w:val="nil"/>
            </w:tcBorders>
          </w:tcPr>
          <w:p>
            <w:pPr>
              <w:pStyle w:val="nTable"/>
              <w:spacing w:after="40"/>
            </w:pPr>
            <w:r>
              <w:t>r. 1 and 2: 4 Sep 2020 (see r. 2(a));</w:t>
            </w:r>
            <w:r>
              <w:br/>
              <w:t>Regulations other than r. 1 and 2: 5 Sep 2020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lastRenderedPageBreak/>
              <w:t>Racing and Gaming Regulations Amendment (Fees and Charges) Regulations 2022</w:t>
            </w:r>
            <w:r>
              <w:t xml:space="preserve"> Pt. 7</w:t>
            </w:r>
          </w:p>
        </w:tc>
        <w:tc>
          <w:tcPr>
            <w:tcW w:w="1276" w:type="dxa"/>
            <w:tcBorders>
              <w:top w:val="nil"/>
              <w:bottom w:val="nil"/>
            </w:tcBorders>
          </w:tcPr>
          <w:p>
            <w:pPr>
              <w:pStyle w:val="nTable"/>
              <w:spacing w:after="40"/>
            </w:pPr>
            <w:r>
              <w:t>SL 2022/144 12 Aug 2022</w:t>
            </w:r>
          </w:p>
        </w:tc>
        <w:tc>
          <w:tcPr>
            <w:tcW w:w="2693" w:type="dxa"/>
            <w:tcBorders>
              <w:top w:val="nil"/>
              <w:bottom w:val="nil"/>
            </w:tcBorders>
          </w:tcPr>
          <w:p>
            <w:pPr>
              <w:pStyle w:val="nTable"/>
              <w:spacing w:after="40"/>
            </w:pPr>
            <w:r>
              <w:t>1 Jan 2023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ind w:right="113"/>
              <w:rPr>
                <w:i/>
              </w:rPr>
            </w:pPr>
            <w:r>
              <w:rPr>
                <w:i/>
              </w:rPr>
              <w:t xml:space="preserve">Racing and Gaming Regulations Amendment (Fees and Charges) Regulations 2023 </w:t>
            </w:r>
            <w:r>
              <w:t>Pt. 7</w:t>
            </w:r>
          </w:p>
        </w:tc>
        <w:tc>
          <w:tcPr>
            <w:tcW w:w="1276" w:type="dxa"/>
            <w:tcBorders>
              <w:top w:val="nil"/>
              <w:bottom w:val="single" w:sz="4" w:space="0" w:color="auto"/>
            </w:tcBorders>
          </w:tcPr>
          <w:p>
            <w:pPr>
              <w:pStyle w:val="nTable"/>
              <w:spacing w:after="40"/>
            </w:pPr>
            <w:r>
              <w:t>SL 2023/156 18 Oct 2023</w:t>
            </w:r>
          </w:p>
        </w:tc>
        <w:tc>
          <w:tcPr>
            <w:tcW w:w="2693" w:type="dxa"/>
            <w:tcBorders>
              <w:top w:val="nil"/>
              <w:bottom w:val="single" w:sz="4" w:space="0" w:color="auto"/>
            </w:tcBorders>
          </w:tcPr>
          <w:p>
            <w:pPr>
              <w:pStyle w:val="nTable"/>
              <w:spacing w:after="40"/>
            </w:pPr>
            <w:r>
              <w:t>1 Jan 2024 (see r. 2(b))</w:t>
            </w:r>
          </w:p>
        </w:tc>
      </w:tr>
    </w:tbl>
    <w:p>
      <w:pPr>
        <w:pStyle w:val="nHeading3"/>
      </w:pPr>
      <w:bookmarkStart w:id="143" w:name="_Toc154068344"/>
      <w:r>
        <w:t>Other notes</w:t>
      </w:r>
      <w:bookmarkEnd w:id="143"/>
    </w:p>
    <w:p>
      <w:pPr>
        <w:pStyle w:val="nNote"/>
        <w:keepNext/>
        <w:keepLines/>
        <w:rPr>
          <w:iCs/>
        </w:rPr>
      </w:pPr>
      <w:r>
        <w:rPr>
          <w:vertAlign w:val="superscript"/>
        </w:rPr>
        <w:t>1</w:t>
      </w:r>
      <w:r>
        <w:tab/>
        <w:t xml:space="preserve">The </w:t>
      </w:r>
      <w:r>
        <w:rPr>
          <w:i/>
          <w:iCs/>
        </w:rPr>
        <w:t>Racing and Wagering Western Australia Amendment Regulations (No. 2) 2004</w:t>
      </w:r>
      <w:r>
        <w:rPr>
          <w:iCs/>
        </w:rPr>
        <w:t xml:space="preserve"> r. 5 reads as follows:</w:t>
      </w:r>
    </w:p>
    <w:p>
      <w:pPr>
        <w:pStyle w:val="BlankOpen"/>
      </w:pPr>
    </w:p>
    <w:p>
      <w:pPr>
        <w:pStyle w:val="nzHeading5"/>
        <w:spacing w:before="0"/>
      </w:pPr>
      <w:r>
        <w:rPr>
          <w:rStyle w:val="CharSectno"/>
        </w:rPr>
        <w:t>5</w:t>
      </w:r>
      <w:r>
        <w:t>.</w:t>
      </w:r>
      <w:r>
        <w:tab/>
        <w:t>Transitional provision</w:t>
      </w:r>
    </w:p>
    <w:p>
      <w:pPr>
        <w:pStyle w:val="nzSubsection"/>
        <w:keepNext/>
        <w:keepLines/>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keepNext/>
        <w:keepLines/>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Racing and Wagering Western Australia Act 2003</w:t>
      </w:r>
      <w:r>
        <w:t>.</w:t>
      </w:r>
    </w:p>
    <w:p>
      <w:pPr>
        <w:pStyle w:val="BlankClose"/>
      </w:pPr>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145" w:name="_Toc153980040"/>
      <w:bookmarkStart w:id="146" w:name="_Toc154050190"/>
      <w:bookmarkStart w:id="147" w:name="_Toc154050365"/>
      <w:bookmarkStart w:id="148" w:name="_Toc154068345"/>
      <w:r>
        <w:rPr>
          <w:sz w:val="28"/>
        </w:rPr>
        <w:lastRenderedPageBreak/>
        <w:t>Defined terms</w:t>
      </w:r>
      <w:bookmarkEnd w:id="145"/>
      <w:bookmarkEnd w:id="146"/>
      <w:bookmarkEnd w:id="147"/>
      <w:bookmarkEnd w:id="14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cash</w:t>
      </w:r>
      <w:r>
        <w:tab/>
        <w:t>3(1)</w:t>
      </w:r>
    </w:p>
    <w:p>
      <w:pPr>
        <w:pStyle w:val="DefinedTerms"/>
      </w:pPr>
      <w:r>
        <w:t>Commission Act</w:t>
      </w:r>
      <w:r>
        <w:tab/>
        <w:t>3(1)</w:t>
      </w:r>
    </w:p>
    <w:p>
      <w:pPr>
        <w:pStyle w:val="DefinedTerms"/>
      </w:pPr>
      <w:r>
        <w:t>depositor</w:t>
      </w:r>
      <w:r>
        <w:tab/>
        <w:t>3(1)</w:t>
      </w:r>
    </w:p>
    <w:p>
      <w:pPr>
        <w:pStyle w:val="DefinedTerms"/>
      </w:pPr>
      <w:r>
        <w:t>director</w:t>
      </w:r>
      <w:r>
        <w:tab/>
        <w:t>3(1)</w:t>
      </w:r>
    </w:p>
    <w:p>
      <w:pPr>
        <w:pStyle w:val="DefinedTerms"/>
      </w:pPr>
      <w:r>
        <w:t>director’s licence</w:t>
      </w:r>
      <w:r>
        <w:tab/>
        <w:t>3(1)</w:t>
      </w:r>
    </w:p>
    <w:p>
      <w:pPr>
        <w:pStyle w:val="DefinedTerms"/>
      </w:pPr>
      <w:r>
        <w:t>employ</w:t>
      </w:r>
      <w:r>
        <w:tab/>
        <w:t>3(1)</w:t>
      </w:r>
    </w:p>
    <w:p>
      <w:pPr>
        <w:pStyle w:val="DefinedTerms"/>
      </w:pPr>
      <w:r>
        <w:t>employee’s licence</w:t>
      </w:r>
      <w:r>
        <w:tab/>
        <w:t>3(1)</w:t>
      </w:r>
    </w:p>
    <w:p>
      <w:pPr>
        <w:pStyle w:val="DefinedTerms"/>
      </w:pPr>
      <w:r>
        <w:t>Flexi Bet</w:t>
      </w:r>
      <w:r>
        <w:tab/>
        <w:t>3(1)</w:t>
      </w:r>
    </w:p>
    <w:p>
      <w:pPr>
        <w:pStyle w:val="DefinedTerms"/>
      </w:pPr>
      <w:r>
        <w:t>game</w:t>
      </w:r>
      <w:r>
        <w:tab/>
        <w:t>64(2)</w:t>
      </w:r>
    </w:p>
    <w:p>
      <w:pPr>
        <w:pStyle w:val="DefinedTerms"/>
      </w:pPr>
      <w:r>
        <w:t>investor</w:t>
      </w:r>
      <w:r>
        <w:tab/>
        <w:t>3(1)</w:t>
      </w:r>
    </w:p>
    <w:p>
      <w:pPr>
        <w:pStyle w:val="DefinedTerms"/>
      </w:pPr>
      <w:r>
        <w:t>licence</w:t>
      </w:r>
      <w:r>
        <w:tab/>
        <w:t>3(1)</w:t>
      </w:r>
    </w:p>
    <w:p>
      <w:pPr>
        <w:pStyle w:val="DefinedTerms"/>
      </w:pPr>
      <w:r>
        <w:t>multi</w:t>
      </w:r>
      <w:r>
        <w:noBreakHyphen/>
        <w:t>bet</w:t>
      </w:r>
      <w:r>
        <w:tab/>
        <w:t>3(1)</w:t>
      </w:r>
    </w:p>
    <w:p>
      <w:pPr>
        <w:pStyle w:val="DefinedTerms"/>
      </w:pPr>
      <w:r>
        <w:t>participant</w:t>
      </w:r>
      <w:r>
        <w:tab/>
        <w:t>3(1)</w:t>
      </w:r>
    </w:p>
    <w:p>
      <w:pPr>
        <w:pStyle w:val="DefinedTerms"/>
      </w:pPr>
      <w:r>
        <w:t>prescribed commission</w:t>
      </w:r>
      <w:r>
        <w:tab/>
        <w:t>3(1)</w:t>
      </w:r>
    </w:p>
    <w:p>
      <w:pPr>
        <w:pStyle w:val="DefinedTerms"/>
      </w:pPr>
      <w:r>
        <w:t>runner</w:t>
      </w:r>
      <w:r>
        <w:tab/>
        <w:t>3(1)</w:t>
      </w:r>
    </w:p>
    <w:p>
      <w:pPr>
        <w:pStyle w:val="DefinedTerms"/>
      </w:pPr>
      <w:r>
        <w:t>RWWA key employee</w:t>
      </w:r>
      <w:r>
        <w:tab/>
        <w:t>3(1)</w:t>
      </w:r>
    </w:p>
    <w:p>
      <w:pPr>
        <w:pStyle w:val="DefinedTerms"/>
      </w:pPr>
      <w:r>
        <w:t>scheduled starting time</w:t>
      </w:r>
      <w:r>
        <w:tab/>
        <w:t>3(1)</w:t>
      </w:r>
    </w:p>
    <w:p>
      <w:pPr>
        <w:pStyle w:val="DefinedTerms"/>
      </w:pPr>
      <w:r>
        <w:t>show cause notice</w:t>
      </w:r>
      <w:r>
        <w:tab/>
        <w:t>72(3)</w:t>
      </w:r>
    </w:p>
    <w:p>
      <w:pPr>
        <w:pStyle w:val="DefinedTerms"/>
      </w:pPr>
      <w:r>
        <w:t>sporting event</w:t>
      </w:r>
      <w:r>
        <w:tab/>
        <w:t>3(1)</w:t>
      </w:r>
    </w:p>
    <w:p>
      <w:pPr>
        <w:pStyle w:val="DefinedTerms"/>
      </w:pPr>
      <w:r>
        <w:t>ticket</w:t>
      </w:r>
      <w:r>
        <w:tab/>
        <w:t>3(1)</w:t>
      </w:r>
    </w:p>
    <w:p>
      <w:pPr>
        <w:pStyle w:val="DefinedTerms"/>
      </w:pPr>
      <w:r>
        <w:t>unit</w:t>
      </w:r>
      <w:r>
        <w:tab/>
        <w:t>3(1)</w:t>
      </w:r>
    </w:p>
    <w:p>
      <w:pPr>
        <w:pStyle w:val="DefinedTerms"/>
      </w:pPr>
      <w:r>
        <w:t>wagering account</w:t>
      </w:r>
      <w:r>
        <w:tab/>
        <w:t>3(1)</w:t>
      </w:r>
    </w:p>
    <w:p>
      <w:pPr>
        <w:pStyle w:val="DefinedTerms"/>
      </w:pPr>
      <w:r>
        <w:t>warning off notice</w:t>
      </w:r>
      <w:r>
        <w:tab/>
        <w:t>72(1)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9504"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E8E786C" id="_x0000_t202" coordsize="21600,21600" o:spt="202" path="m,l,21600r21600,l21600,xe">
                <v:stroke joinstyle="miter"/>
                <v:path gradientshapeok="t" o:connecttype="rect"/>
              </v:shapetype>
              <v:shape id="Authority" o:spid="_x0000_s1026" type="#_x0000_t202" style="position:absolute;margin-left:0;margin-top:591pt;width:10pt;height:51pt;z-index:25166950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51BFDD4" w14:textId="464493B9" w:rsidR="00D334DC" w:rsidRDefault="00D334D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3DE585FB" w14:textId="77777777" w:rsidR="00D334DC" w:rsidRDefault="00D334D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951D177" w14:textId="33341219" w:rsidR="00D334DC" w:rsidRDefault="00D334D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42DD8F8E" w14:textId="77777777" w:rsidR="00D334DC" w:rsidRDefault="00D334D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04-n0-00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04-n0-00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04-n0-00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04-n0-00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04-n0-00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04-n0-00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37" w:name="Schedule"/>
    <w:bookmarkEnd w:id="13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4" w:name="Compilation"/>
    <w:bookmarkEnd w:id="14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9" w:name="DefinedTerms"/>
    <w:bookmarkEnd w:id="14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0" w:name="Coversheet"/>
    <w:bookmarkEnd w:id="1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7703BD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2A678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A8C178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51640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4803B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72C6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EA609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9CA32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1470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4DA57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07A806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1878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0154351"/>
    <w:docVar w:name="WAFER_20140109134503" w:val="RemoveTocBookmarks,RemoveUnusedBookmarks,RemoveLanguageTags,UsedStyles,ResetPageSize,UpdateArrangement"/>
    <w:docVar w:name="WAFER_20140109134503_GUID" w:val="abaa3f62-3ba8-464a-8d5e-5aa9f08f0aa6"/>
    <w:docVar w:name="WAFER_20140109134735" w:val="RemoveTocBookmarks,RunningHeaders"/>
    <w:docVar w:name="WAFER_20140109134735_GUID" w:val="4d90f4ce-2895-4ffa-82f7-815c7bc6cfb2"/>
    <w:docVar w:name="WAFER_20141113145701" w:val="RemoveTocBookmarks,RemoveUnusedBookmarks,RemoveLanguageTags,UsedStyles,ResetPageSize,UpdateArrangement"/>
    <w:docVar w:name="WAFER_20141113145701_GUID" w:val="c41df3af-5a6e-4bf8-b6b0-796b0b695db8"/>
    <w:docVar w:name="WAFER_20150715154406" w:val="ResetPageSize,UpdateArrangement,UpdateNTable"/>
    <w:docVar w:name="WAFER_20150715154406_GUID" w:val="f19124da-002e-4ae7-9242-82de97385fc5"/>
    <w:docVar w:name="WAFER_20151105142023" w:val="UpdateStyles,UsedStyles"/>
    <w:docVar w:name="WAFER_20151105142023_GUID" w:val="1cade92d-8aea-4a05-aa4e-70c42d29c457"/>
    <w:docVar w:name="WAFER_20151111131021" w:val="UpdateStyles"/>
    <w:docVar w:name="WAFER_20151111131021_GUID" w:val="53357172-35b0-4ad0-82da-2fa971757ad6"/>
    <w:docVar w:name="WAFER_20151111131030" w:val="UsedStyles"/>
    <w:docVar w:name="WAFER_20151111131030_GUID" w:val="d098f46c-1902-4c69-a636-84a989f2aa39"/>
    <w:docVar w:name="WAFER_20171110134803" w:val="RemoveTocBookmarks,RemoveUnusedBookmarks,RemoveLanguageTags,UsedStyles,ResetPageSize"/>
    <w:docVar w:name="WAFER_20171110134803_GUID" w:val="966a2a02-031e-4b66-97d1-4c7323ac0183"/>
    <w:docVar w:name="WAFER_20181204142257" w:val="RemoveTocBookmarks,RemoveUnusedBookmarks,RemoveLanguageTags,UsedStyles,ResetPageSize"/>
    <w:docVar w:name="WAFER_20181204142257_GUID" w:val="be312fb2-e50e-4fd4-aaea-747a1c763825"/>
    <w:docVar w:name="WAFER_20190124152839" w:val="RemoveTocBookmarks,RemoveUnusedBookmarks,RemoveLanguageTags,UsedStyles,ResetPageSize"/>
    <w:docVar w:name="WAFER_20190124152839_GUID" w:val="5a0067ff-4f86-48f6-b43d-de4b6c9c1add"/>
    <w:docVar w:name="WAFER_20191022163338" w:val="RemoveTocBookmarks,RemoveUnusedBookmarks,RemoveLanguageTags,ResetPageSize,RunningHeaders,UpdateStyles,UsedStyles"/>
    <w:docVar w:name="WAFER_20191022163338_GUID" w:val="43246b22-9c25-4b4a-aacb-43e1e4ff92cf"/>
    <w:docVar w:name="WAFER_20191204084529" w:val="RemoveTocBookmarks,RemoveUnusedBookmarks,RemoveLanguageTags,ResetPageSize,RunningHeaders,UpdateStyles,UsedStyles"/>
    <w:docVar w:name="WAFER_20191204084529_GUID" w:val="909f889c-6297-4ddd-9dd2-3abb6b568a17"/>
    <w:docVar w:name="WAFER_202002111001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0108_GUID" w:val="39e8c35a-c3a5-4dcb-b709-5ada71c73794"/>
    <w:docVar w:name="WAFER_202009031024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3102435_GUID" w:val="a4c4ca6d-5cbe-4f76-8f95-0983a48fc514"/>
    <w:docVar w:name="WAFER_202208091528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09152801_GUID" w:val="04021f8e-5d35-4807-8e13-a61ca845f56f"/>
    <w:docVar w:name="WAFER_202212161059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5946_GUID" w:val="779390ec-1a3c-4674-9bc2-d99f6e5f0a9b"/>
    <w:docVar w:name="WAFER_202310131026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3102614_GUID" w:val="d3e231b1-ad7c-4f58-8615-74500ced03b6"/>
    <w:docVar w:name="WAFER_20231220154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20154351_GUID" w:val="805ffef6-fc08-4fe0-998c-56b11b2a30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8785"/>
    <o:shapelayout v:ext="edit">
      <o:idmap v:ext="edit" data="1"/>
    </o:shapelayout>
  </w:shapeDefaults>
  <w:decimalSymbol w:val="."/>
  <w:listSeparator w:val=","/>
  <w15:docId w15:val="{4912E868-0EF0-40FC-AE66-A966E75EE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868725-A662-4482-8BA9-409A991DB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15614</Words>
  <Characters>73544</Characters>
  <Application>Microsoft Office Word</Application>
  <DocSecurity>0</DocSecurity>
  <Lines>2163</Lines>
  <Paragraphs>1143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88015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2003 - 04-n0-00</dc:title>
  <dc:subject/>
  <dc:creator/>
  <cp:keywords/>
  <dc:description/>
  <cp:lastModifiedBy>Master Repository Process</cp:lastModifiedBy>
  <cp:revision>4</cp:revision>
  <cp:lastPrinted>2019-12-05T03:25:00Z</cp:lastPrinted>
  <dcterms:created xsi:type="dcterms:W3CDTF">2025-05-30T06:46:00Z</dcterms:created>
  <dcterms:modified xsi:type="dcterms:W3CDTF">2025-05-30T06:47:00Z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OwlsUID">
    <vt:i4>33853</vt:i4>
  </property>
  <property fmtid="{D5CDD505-2E9C-101B-9397-08002B2CF9AE}" pid="4" name="DocumentType">
    <vt:lpwstr>Reg</vt:lpwstr>
  </property>
  <property fmtid="{D5CDD505-2E9C-101B-9397-08002B2CF9AE}" pid="5" name="ReprintedAsAt">
    <vt:filetime>2017-08-03T16:00:00Z</vt:filetime>
  </property>
  <property fmtid="{D5CDD505-2E9C-101B-9397-08002B2CF9AE}" pid="6" name="ReprintNo">
    <vt:lpwstr>4</vt:lpwstr>
  </property>
  <property fmtid="{D5CDD505-2E9C-101B-9397-08002B2CF9AE}" pid="7" name="CommencementDate">
    <vt:lpwstr>20240101</vt:lpwstr>
  </property>
  <property fmtid="{D5CDD505-2E9C-101B-9397-08002B2CF9AE}" pid="8" name="CommencementYear">
    <vt:lpwstr>2024</vt:lpwstr>
  </property>
  <property fmtid="{D5CDD505-2E9C-101B-9397-08002B2CF9AE}" pid="9" name="AsAtDate">
    <vt:lpwstr>01 Jan 2024</vt:lpwstr>
  </property>
  <property fmtid="{D5CDD505-2E9C-101B-9397-08002B2CF9AE}" pid="10" name="Suffix">
    <vt:lpwstr>04-n0-00</vt:lpwstr>
  </property>
  <property fmtid="{D5CDD505-2E9C-101B-9397-08002B2CF9AE}" pid="11" name="Official">
    <vt:lpwstr/>
  </property>
</Properties>
</file>