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Regulations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Regulations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_Toc156559665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_Toc156559666 \h </w:instrText>
      </w:r>
      <w:r>
        <w:fldChar w:fldCharType="separate"/>
      </w:r>
      <w:r>
        <w:t>1</w:t>
      </w:r>
      <w:r>
        <w:fldChar w:fldCharType="end"/>
      </w:r>
    </w:p>
    <w:p>
      <w:pPr>
        <w:pStyle w:val="TOC8"/>
        <w:rPr>
          <w:rFonts w:asciiTheme="minorHAnsi" w:eastAsiaTheme="minorEastAsia" w:hAnsiTheme="minorHAnsi" w:cstheme="minorBidi"/>
          <w:szCs w:val="22"/>
        </w:rPr>
      </w:pPr>
      <w:r>
        <w:t>2AA.</w:t>
      </w:r>
      <w:r>
        <w:tab/>
        <w:t>Terms used</w:t>
      </w:r>
      <w:r>
        <w:tab/>
      </w:r>
      <w:r>
        <w:fldChar w:fldCharType="begin"/>
      </w:r>
      <w:r>
        <w:instrText xml:space="preserve"> PAGEREF _Toc156559667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2A</w:t>
      </w:r>
      <w:r>
        <w:rPr>
          <w:snapToGrid w:val="0"/>
        </w:rPr>
        <w:t>.</w:t>
      </w:r>
      <w:r>
        <w:rPr>
          <w:snapToGrid w:val="0"/>
        </w:rPr>
        <w:tab/>
        <w:t>Draft policies, where and when public may inspect (Act s. 26(1)(d))</w:t>
      </w:r>
      <w:r>
        <w:tab/>
      </w:r>
      <w:r>
        <w:fldChar w:fldCharType="begin"/>
      </w:r>
      <w:r>
        <w:instrText xml:space="preserve"> PAGEREF _Toc156559669 \h </w:instrText>
      </w:r>
      <w:r>
        <w:fldChar w:fldCharType="separate"/>
      </w:r>
      <w:r>
        <w:t>2</w:t>
      </w:r>
      <w:r>
        <w:fldChar w:fldCharType="end"/>
      </w:r>
    </w:p>
    <w:p>
      <w:pPr>
        <w:pStyle w:val="TOC8"/>
        <w:rPr>
          <w:rFonts w:asciiTheme="minorHAnsi" w:eastAsiaTheme="minorEastAsia" w:hAnsiTheme="minorHAnsi" w:cstheme="minorBidi"/>
          <w:szCs w:val="22"/>
        </w:rPr>
      </w:pPr>
      <w:r>
        <w:t>2B.</w:t>
      </w:r>
      <w:r>
        <w:tab/>
        <w:t>Publication of Authority minutes and records</w:t>
      </w:r>
      <w:r>
        <w:tab/>
      </w:r>
      <w:r>
        <w:fldChar w:fldCharType="begin"/>
      </w:r>
      <w:r>
        <w:instrText xml:space="preserve"> PAGEREF _Toc156559670 \h </w:instrText>
      </w:r>
      <w:r>
        <w:fldChar w:fldCharType="separate"/>
      </w:r>
      <w:r>
        <w:t>2</w:t>
      </w:r>
      <w:r>
        <w:fldChar w:fldCharType="end"/>
      </w:r>
    </w:p>
    <w:p>
      <w:pPr>
        <w:pStyle w:val="TOC8"/>
        <w:rPr>
          <w:rFonts w:asciiTheme="minorHAnsi" w:eastAsiaTheme="minorEastAsia" w:hAnsiTheme="minorHAnsi" w:cstheme="minorBidi"/>
          <w:szCs w:val="22"/>
        </w:rPr>
      </w:pPr>
      <w:r>
        <w:t>2C.</w:t>
      </w:r>
      <w:r>
        <w:tab/>
        <w:t>Proposals of prescribed class (Act s. 38)</w:t>
      </w:r>
      <w:r>
        <w:tab/>
      </w:r>
      <w:r>
        <w:fldChar w:fldCharType="begin"/>
      </w:r>
      <w:r>
        <w:instrText xml:space="preserve"> PAGEREF _Toc156559671 \h </w:instrText>
      </w:r>
      <w:r>
        <w:fldChar w:fldCharType="separate"/>
      </w:r>
      <w:r>
        <w:t>3</w:t>
      </w:r>
      <w:r>
        <w:fldChar w:fldCharType="end"/>
      </w:r>
    </w:p>
    <w:p>
      <w:pPr>
        <w:pStyle w:val="TOC8"/>
        <w:rPr>
          <w:rFonts w:asciiTheme="minorHAnsi" w:eastAsiaTheme="minorEastAsia" w:hAnsiTheme="minorHAnsi" w:cstheme="minorBidi"/>
          <w:szCs w:val="22"/>
        </w:rPr>
      </w:pPr>
      <w:r>
        <w:t>3.</w:t>
      </w:r>
      <w:r>
        <w:tab/>
        <w:t>Details prescribed for records of referred proposals</w:t>
      </w:r>
      <w:r>
        <w:tab/>
      </w:r>
      <w:r>
        <w:fldChar w:fldCharType="begin"/>
      </w:r>
      <w:r>
        <w:instrText xml:space="preserve"> PAGEREF _Toc156559672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2A — Publication and confidentiality</w:t>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_Toc156559674 \h </w:instrText>
      </w:r>
      <w:r>
        <w:fldChar w:fldCharType="separate"/>
      </w:r>
      <w:r>
        <w:t>5</w:t>
      </w:r>
      <w:r>
        <w:fldChar w:fldCharType="end"/>
      </w:r>
    </w:p>
    <w:p>
      <w:pPr>
        <w:pStyle w:val="TOC8"/>
        <w:rPr>
          <w:rFonts w:asciiTheme="minorHAnsi" w:eastAsiaTheme="minorEastAsia" w:hAnsiTheme="minorHAnsi" w:cstheme="minorBidi"/>
          <w:szCs w:val="22"/>
        </w:rPr>
      </w:pPr>
      <w:r>
        <w:t>3B.</w:t>
      </w:r>
      <w:r>
        <w:tab/>
        <w:t>Authority may keep documentation relating to proposals confidential on request</w:t>
      </w:r>
      <w:r>
        <w:tab/>
      </w:r>
      <w:r>
        <w:fldChar w:fldCharType="begin"/>
      </w:r>
      <w:r>
        <w:instrText xml:space="preserve"> PAGEREF _Toc156559675 \h </w:instrText>
      </w:r>
      <w:r>
        <w:fldChar w:fldCharType="separate"/>
      </w:r>
      <w:r>
        <w:t>5</w:t>
      </w:r>
      <w:r>
        <w:fldChar w:fldCharType="end"/>
      </w:r>
    </w:p>
    <w:p>
      <w:pPr>
        <w:pStyle w:val="TOC8"/>
        <w:rPr>
          <w:rFonts w:asciiTheme="minorHAnsi" w:eastAsiaTheme="minorEastAsia" w:hAnsiTheme="minorHAnsi" w:cstheme="minorBidi"/>
          <w:szCs w:val="22"/>
        </w:rPr>
      </w:pPr>
      <w:r>
        <w:t>3C.</w:t>
      </w:r>
      <w:r>
        <w:tab/>
        <w:t>Authority must keep certain matters confidential</w:t>
      </w:r>
      <w:r>
        <w:tab/>
      </w:r>
      <w:r>
        <w:fldChar w:fldCharType="begin"/>
      </w:r>
      <w:r>
        <w:instrText xml:space="preserve"> PAGEREF _Toc156559676 \h </w:instrText>
      </w:r>
      <w:r>
        <w:fldChar w:fldCharType="separate"/>
      </w:r>
      <w:r>
        <w:t>6</w:t>
      </w:r>
      <w:r>
        <w:fldChar w:fldCharType="end"/>
      </w:r>
    </w:p>
    <w:p>
      <w:pPr>
        <w:pStyle w:val="TOC8"/>
        <w:rPr>
          <w:rFonts w:asciiTheme="minorHAnsi" w:eastAsiaTheme="minorEastAsia" w:hAnsiTheme="minorHAnsi" w:cstheme="minorBidi"/>
          <w:szCs w:val="22"/>
        </w:rPr>
      </w:pPr>
      <w:r>
        <w:t>3D.</w:t>
      </w:r>
      <w:r>
        <w:tab/>
        <w:t>Authority may keep certain matters relating to proposals confidential</w:t>
      </w:r>
      <w:r>
        <w:tab/>
      </w:r>
      <w:r>
        <w:fldChar w:fldCharType="begin"/>
      </w:r>
      <w:r>
        <w:instrText xml:space="preserve"> PAGEREF _Toc156559677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of pollution generally</w:t>
      </w:r>
    </w:p>
    <w:p>
      <w:pPr>
        <w:pStyle w:val="TOC8"/>
        <w:rPr>
          <w:rFonts w:asciiTheme="minorHAnsi" w:eastAsiaTheme="minorEastAsia" w:hAnsiTheme="minorHAnsi" w:cstheme="minorBidi"/>
          <w:szCs w:val="22"/>
        </w:rPr>
      </w:pPr>
      <w:r>
        <w:t>4</w:t>
      </w:r>
      <w:r>
        <w:rPr>
          <w:snapToGrid w:val="0"/>
        </w:rPr>
        <w:t>.</w:t>
      </w:r>
      <w:r>
        <w:rPr>
          <w:snapToGrid w:val="0"/>
        </w:rPr>
        <w:tab/>
        <w:t>Terms used; amounts of units for fees</w:t>
      </w:r>
      <w:r>
        <w:tab/>
      </w:r>
      <w:r>
        <w:fldChar w:fldCharType="begin"/>
      </w:r>
      <w:r>
        <w:instrText xml:space="preserve"> PAGEREF _Toc156559679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Premises prescribed (Act Part V)</w:t>
      </w:r>
      <w:r>
        <w:tab/>
      </w:r>
      <w:r>
        <w:fldChar w:fldCharType="begin"/>
      </w:r>
      <w:r>
        <w:instrText xml:space="preserve"> PAGEREF _Toc156559680 \h </w:instrText>
      </w:r>
      <w:r>
        <w:fldChar w:fldCharType="separate"/>
      </w:r>
      <w:r>
        <w:t>12</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Registration of Sch. 1 Part 2 premises, effect and cancellation of etc.</w:t>
      </w:r>
      <w:r>
        <w:tab/>
      </w:r>
      <w:r>
        <w:fldChar w:fldCharType="begin"/>
      </w:r>
      <w:r>
        <w:instrText xml:space="preserve"> PAGEREF _Toc156559681 \h </w:instrText>
      </w:r>
      <w:r>
        <w:fldChar w:fldCharType="separate"/>
      </w:r>
      <w:r>
        <w:t>12</w:t>
      </w:r>
      <w:r>
        <w:fldChar w:fldCharType="end"/>
      </w:r>
    </w:p>
    <w:p>
      <w:pPr>
        <w:pStyle w:val="TOC8"/>
        <w:rPr>
          <w:rFonts w:asciiTheme="minorHAnsi" w:eastAsiaTheme="minorEastAsia" w:hAnsiTheme="minorHAnsi" w:cstheme="minorBidi"/>
          <w:szCs w:val="22"/>
        </w:rPr>
      </w:pPr>
      <w:r>
        <w:lastRenderedPageBreak/>
        <w:t>5B</w:t>
      </w:r>
      <w:r>
        <w:rPr>
          <w:snapToGrid w:val="0"/>
        </w:rPr>
        <w:t>.</w:t>
      </w:r>
      <w:r>
        <w:rPr>
          <w:snapToGrid w:val="0"/>
        </w:rPr>
        <w:tab/>
        <w:t>Registration of premises, application for etc.</w:t>
      </w:r>
      <w:r>
        <w:tab/>
      </w:r>
      <w:r>
        <w:fldChar w:fldCharType="begin"/>
      </w:r>
      <w:r>
        <w:instrText xml:space="preserve"> PAGEREF _Toc156559682 \h </w:instrText>
      </w:r>
      <w:r>
        <w:fldChar w:fldCharType="separate"/>
      </w:r>
      <w:r>
        <w:t>14</w:t>
      </w:r>
      <w:r>
        <w:fldChar w:fldCharType="end"/>
      </w:r>
    </w:p>
    <w:p>
      <w:pPr>
        <w:pStyle w:val="TOC8"/>
        <w:rPr>
          <w:rFonts w:asciiTheme="minorHAnsi" w:eastAsiaTheme="minorEastAsia" w:hAnsiTheme="minorHAnsi" w:cstheme="minorBidi"/>
          <w:szCs w:val="22"/>
        </w:rPr>
      </w:pPr>
      <w:r>
        <w:t>5BA.</w:t>
      </w:r>
      <w:r>
        <w:tab/>
        <w:t>Fees prescribed for works approval (Act s. 54(1))</w:t>
      </w:r>
      <w:r>
        <w:tab/>
      </w:r>
      <w:r>
        <w:fldChar w:fldCharType="begin"/>
      </w:r>
      <w:r>
        <w:instrText xml:space="preserve"> PAGEREF _Toc156559683 \h </w:instrText>
      </w:r>
      <w:r>
        <w:fldChar w:fldCharType="separate"/>
      </w:r>
      <w:r>
        <w:t>15</w:t>
      </w:r>
      <w:r>
        <w:fldChar w:fldCharType="end"/>
      </w:r>
    </w:p>
    <w:p>
      <w:pPr>
        <w:pStyle w:val="TOC8"/>
        <w:rPr>
          <w:rFonts w:asciiTheme="minorHAnsi" w:eastAsiaTheme="minorEastAsia" w:hAnsiTheme="minorHAnsi" w:cstheme="minorBidi"/>
          <w:szCs w:val="22"/>
        </w:rPr>
      </w:pPr>
      <w:r>
        <w:t>5BB.</w:t>
      </w:r>
      <w:r>
        <w:tab/>
        <w:t>Fees prescribed for amending works approval or licence (Act s. 59B(1))</w:t>
      </w:r>
      <w:r>
        <w:tab/>
      </w:r>
      <w:r>
        <w:fldChar w:fldCharType="begin"/>
      </w:r>
      <w:r>
        <w:instrText xml:space="preserve"> PAGEREF _Toc156559684 \h </w:instrText>
      </w:r>
      <w:r>
        <w:fldChar w:fldCharType="separate"/>
      </w:r>
      <w:r>
        <w:t>15</w:t>
      </w:r>
      <w:r>
        <w:fldChar w:fldCharType="end"/>
      </w:r>
    </w:p>
    <w:p>
      <w:pPr>
        <w:pStyle w:val="TOC8"/>
        <w:rPr>
          <w:rFonts w:asciiTheme="minorHAnsi" w:eastAsiaTheme="minorEastAsia" w:hAnsiTheme="minorHAnsi" w:cstheme="minorBidi"/>
          <w:szCs w:val="22"/>
        </w:rPr>
      </w:pPr>
      <w:r>
        <w:t>5C.</w:t>
      </w:r>
      <w:r>
        <w:tab/>
        <w:t>Fees prescribed for transfer of works approval or licence (Act s. 64(1))</w:t>
      </w:r>
      <w:r>
        <w:tab/>
      </w:r>
      <w:r>
        <w:fldChar w:fldCharType="begin"/>
      </w:r>
      <w:r>
        <w:instrText xml:space="preserve"> PAGEREF _Toc156559685 \h </w:instrText>
      </w:r>
      <w:r>
        <w:fldChar w:fldCharType="separate"/>
      </w:r>
      <w:r>
        <w:t>16</w:t>
      </w:r>
      <w:r>
        <w:fldChar w:fldCharType="end"/>
      </w:r>
    </w:p>
    <w:p>
      <w:pPr>
        <w:pStyle w:val="TOC8"/>
        <w:rPr>
          <w:rFonts w:asciiTheme="minorHAnsi" w:eastAsiaTheme="minorEastAsia" w:hAnsiTheme="minorHAnsi" w:cstheme="minorBidi"/>
          <w:szCs w:val="22"/>
        </w:rPr>
      </w:pPr>
      <w:r>
        <w:t>5CA.</w:t>
      </w:r>
      <w:r>
        <w:tab/>
        <w:t>Fee for works approval, CEO may waive</w:t>
      </w:r>
      <w:r>
        <w:tab/>
      </w:r>
      <w:r>
        <w:fldChar w:fldCharType="begin"/>
      </w:r>
      <w:r>
        <w:instrText xml:space="preserve"> PAGEREF _Toc156559686 \h </w:instrText>
      </w:r>
      <w:r>
        <w:fldChar w:fldCharType="separate"/>
      </w:r>
      <w:r>
        <w:t>16</w:t>
      </w:r>
      <w:r>
        <w:fldChar w:fldCharType="end"/>
      </w:r>
    </w:p>
    <w:p>
      <w:pPr>
        <w:pStyle w:val="TOC8"/>
        <w:rPr>
          <w:rFonts w:asciiTheme="minorHAnsi" w:eastAsiaTheme="minorEastAsia" w:hAnsiTheme="minorHAnsi" w:cstheme="minorBidi"/>
          <w:szCs w:val="22"/>
        </w:rPr>
      </w:pPr>
      <w:r>
        <w:t>5CAA.</w:t>
      </w:r>
      <w:r>
        <w:tab/>
        <w:t>Manner of advertising prescribed</w:t>
      </w:r>
      <w:r>
        <w:rPr>
          <w:snapToGrid w:val="0"/>
        </w:rPr>
        <w:t xml:space="preserve"> (Act s. 54(2a))</w:t>
      </w:r>
      <w:r>
        <w:tab/>
      </w:r>
      <w:r>
        <w:fldChar w:fldCharType="begin"/>
      </w:r>
      <w:r>
        <w:instrText xml:space="preserve"> PAGEREF _Toc156559687 \h </w:instrText>
      </w:r>
      <w:r>
        <w:fldChar w:fldCharType="separate"/>
      </w:r>
      <w:r>
        <w:t>16</w:t>
      </w:r>
      <w:r>
        <w:fldChar w:fldCharType="end"/>
      </w:r>
    </w:p>
    <w:p>
      <w:pPr>
        <w:pStyle w:val="TOC8"/>
        <w:rPr>
          <w:rFonts w:asciiTheme="minorHAnsi" w:eastAsiaTheme="minorEastAsia" w:hAnsiTheme="minorHAnsi" w:cstheme="minorBidi"/>
          <w:szCs w:val="22"/>
        </w:rPr>
      </w:pPr>
      <w:r>
        <w:t>5CB.</w:t>
      </w:r>
      <w:r>
        <w:tab/>
        <w:t>Replacement of expiring licence, application for</w:t>
      </w:r>
      <w:r>
        <w:tab/>
      </w:r>
      <w:r>
        <w:fldChar w:fldCharType="begin"/>
      </w:r>
      <w:r>
        <w:instrText xml:space="preserve"> PAGEREF _Toc156559688 \h </w:instrText>
      </w:r>
      <w:r>
        <w:fldChar w:fldCharType="separate"/>
      </w:r>
      <w:r>
        <w:t>17</w:t>
      </w:r>
      <w:r>
        <w:fldChar w:fldCharType="end"/>
      </w:r>
    </w:p>
    <w:p>
      <w:pPr>
        <w:pStyle w:val="TOC8"/>
        <w:rPr>
          <w:rFonts w:asciiTheme="minorHAnsi" w:eastAsiaTheme="minorEastAsia" w:hAnsiTheme="minorHAnsi" w:cstheme="minorBidi"/>
          <w:szCs w:val="22"/>
        </w:rPr>
      </w:pPr>
      <w:r>
        <w:t>5D</w:t>
      </w:r>
      <w:r>
        <w:rPr>
          <w:snapToGrid w:val="0"/>
        </w:rPr>
        <w:t>.</w:t>
      </w:r>
      <w:r>
        <w:rPr>
          <w:snapToGrid w:val="0"/>
        </w:rPr>
        <w:tab/>
        <w:t>Prescribed premises, fee for licence for</w:t>
      </w:r>
      <w:r>
        <w:tab/>
      </w:r>
      <w:r>
        <w:fldChar w:fldCharType="begin"/>
      </w:r>
      <w:r>
        <w:instrText xml:space="preserve"> PAGEREF _Toc156559689 \h </w:instrText>
      </w:r>
      <w:r>
        <w:fldChar w:fldCharType="separate"/>
      </w:r>
      <w:r>
        <w:t>17</w:t>
      </w:r>
      <w:r>
        <w:fldChar w:fldCharType="end"/>
      </w:r>
    </w:p>
    <w:p>
      <w:pPr>
        <w:pStyle w:val="TOC8"/>
        <w:rPr>
          <w:rFonts w:asciiTheme="minorHAnsi" w:eastAsiaTheme="minorEastAsia" w:hAnsiTheme="minorHAnsi" w:cstheme="minorBidi"/>
          <w:szCs w:val="22"/>
        </w:rPr>
      </w:pPr>
      <w:r>
        <w:t>5DA.</w:t>
      </w:r>
      <w:r>
        <w:tab/>
        <w:t>Payment of licence fees</w:t>
      </w:r>
      <w:r>
        <w:tab/>
      </w:r>
      <w:r>
        <w:fldChar w:fldCharType="begin"/>
      </w:r>
      <w:r>
        <w:instrText xml:space="preserve"> PAGEREF _Toc156559690 \h </w:instrText>
      </w:r>
      <w:r>
        <w:fldChar w:fldCharType="separate"/>
      </w:r>
      <w:r>
        <w:t>19</w:t>
      </w:r>
      <w:r>
        <w:fldChar w:fldCharType="end"/>
      </w:r>
    </w:p>
    <w:p>
      <w:pPr>
        <w:pStyle w:val="TOC8"/>
        <w:rPr>
          <w:rFonts w:asciiTheme="minorHAnsi" w:eastAsiaTheme="minorEastAsia" w:hAnsiTheme="minorHAnsi" w:cstheme="minorBidi"/>
          <w:szCs w:val="22"/>
        </w:rPr>
      </w:pPr>
      <w:r>
        <w:t>5E</w:t>
      </w:r>
      <w:r>
        <w:rPr>
          <w:snapToGrid w:val="0"/>
        </w:rPr>
        <w:t>.</w:t>
      </w:r>
      <w:r>
        <w:rPr>
          <w:snapToGrid w:val="0"/>
        </w:rPr>
        <w:tab/>
        <w:t>Amount in r. 5D(1a)(c), calculation of</w:t>
      </w:r>
      <w:r>
        <w:tab/>
      </w:r>
      <w:r>
        <w:fldChar w:fldCharType="begin"/>
      </w:r>
      <w:r>
        <w:instrText xml:space="preserve"> PAGEREF _Toc156559691 \h </w:instrText>
      </w:r>
      <w:r>
        <w:fldChar w:fldCharType="separate"/>
      </w:r>
      <w:r>
        <w:t>20</w:t>
      </w:r>
      <w:r>
        <w:fldChar w:fldCharType="end"/>
      </w:r>
    </w:p>
    <w:p>
      <w:pPr>
        <w:pStyle w:val="TOC8"/>
        <w:rPr>
          <w:rFonts w:asciiTheme="minorHAnsi" w:eastAsiaTheme="minorEastAsia" w:hAnsiTheme="minorHAnsi" w:cstheme="minorBidi"/>
          <w:szCs w:val="22"/>
        </w:rPr>
      </w:pPr>
      <w:r>
        <w:t>5EA</w:t>
      </w:r>
      <w:r>
        <w:rPr>
          <w:snapToGrid w:val="0"/>
        </w:rPr>
        <w:t>.</w:t>
      </w:r>
      <w:r>
        <w:rPr>
          <w:snapToGrid w:val="0"/>
        </w:rPr>
        <w:tab/>
        <w:t>Fees under r. 5D(1a)(b) and (c), CEO may waive</w:t>
      </w:r>
      <w:r>
        <w:tab/>
      </w:r>
      <w:r>
        <w:fldChar w:fldCharType="begin"/>
      </w:r>
      <w:r>
        <w:instrText xml:space="preserve"> PAGEREF _Toc156559692 \h </w:instrText>
      </w:r>
      <w:r>
        <w:fldChar w:fldCharType="separate"/>
      </w:r>
      <w:r>
        <w:t>21</w:t>
      </w:r>
      <w:r>
        <w:fldChar w:fldCharType="end"/>
      </w:r>
    </w:p>
    <w:p>
      <w:pPr>
        <w:pStyle w:val="TOC8"/>
        <w:rPr>
          <w:rFonts w:asciiTheme="minorHAnsi" w:eastAsiaTheme="minorEastAsia" w:hAnsiTheme="minorHAnsi" w:cstheme="minorBidi"/>
          <w:szCs w:val="22"/>
        </w:rPr>
      </w:pPr>
      <w:r>
        <w:t>5EB.</w:t>
      </w:r>
      <w:r>
        <w:tab/>
        <w:t>Fees under r. 5D, CEO may waive</w:t>
      </w:r>
      <w:r>
        <w:tab/>
      </w:r>
      <w:r>
        <w:fldChar w:fldCharType="begin"/>
      </w:r>
      <w:r>
        <w:instrText xml:space="preserve"> PAGEREF _Toc156559693 \h </w:instrText>
      </w:r>
      <w:r>
        <w:fldChar w:fldCharType="separate"/>
      </w:r>
      <w:r>
        <w:t>21</w:t>
      </w:r>
      <w:r>
        <w:fldChar w:fldCharType="end"/>
      </w:r>
    </w:p>
    <w:p>
      <w:pPr>
        <w:pStyle w:val="TOC8"/>
        <w:rPr>
          <w:rFonts w:asciiTheme="minorHAnsi" w:eastAsiaTheme="minorEastAsia" w:hAnsiTheme="minorHAnsi" w:cstheme="minorBidi"/>
          <w:szCs w:val="22"/>
        </w:rPr>
      </w:pPr>
      <w:r>
        <w:t>5F</w:t>
      </w:r>
      <w:r>
        <w:rPr>
          <w:snapToGrid w:val="0"/>
        </w:rPr>
        <w:t>.</w:t>
      </w:r>
      <w:r>
        <w:rPr>
          <w:snapToGrid w:val="0"/>
        </w:rPr>
        <w:tab/>
        <w:t>Fee under r. 5D(1a)(c) if discharged waste harmless</w:t>
      </w:r>
      <w:r>
        <w:tab/>
      </w:r>
      <w:r>
        <w:fldChar w:fldCharType="begin"/>
      </w:r>
      <w:r>
        <w:instrText xml:space="preserve"> PAGEREF _Toc156559694 \h </w:instrText>
      </w:r>
      <w:r>
        <w:fldChar w:fldCharType="separate"/>
      </w:r>
      <w:r>
        <w:t>21</w:t>
      </w:r>
      <w:r>
        <w:fldChar w:fldCharType="end"/>
      </w:r>
    </w:p>
    <w:p>
      <w:pPr>
        <w:pStyle w:val="TOC8"/>
        <w:rPr>
          <w:rFonts w:asciiTheme="minorHAnsi" w:eastAsiaTheme="minorEastAsia" w:hAnsiTheme="minorHAnsi" w:cstheme="minorBidi"/>
          <w:szCs w:val="22"/>
        </w:rPr>
      </w:pPr>
      <w:r>
        <w:t>5G.</w:t>
      </w:r>
      <w:r>
        <w:tab/>
        <w:t>Maximum fees under r. 5D(1a)</w:t>
      </w:r>
      <w:r>
        <w:tab/>
      </w:r>
      <w:r>
        <w:fldChar w:fldCharType="begin"/>
      </w:r>
      <w:r>
        <w:instrText xml:space="preserve"> PAGEREF _Toc156559695 \h </w:instrText>
      </w:r>
      <w:r>
        <w:fldChar w:fldCharType="separate"/>
      </w:r>
      <w:r>
        <w:t>22</w:t>
      </w:r>
      <w:r>
        <w:fldChar w:fldCharType="end"/>
      </w:r>
    </w:p>
    <w:p>
      <w:pPr>
        <w:pStyle w:val="TOC8"/>
        <w:rPr>
          <w:rFonts w:asciiTheme="minorHAnsi" w:eastAsiaTheme="minorEastAsia" w:hAnsiTheme="minorHAnsi" w:cstheme="minorBidi"/>
          <w:szCs w:val="22"/>
        </w:rPr>
      </w:pPr>
      <w:r>
        <w:t>5H</w:t>
      </w:r>
      <w:r>
        <w:rPr>
          <w:snapToGrid w:val="0"/>
        </w:rPr>
        <w:t>.</w:t>
      </w:r>
      <w:r>
        <w:rPr>
          <w:snapToGrid w:val="0"/>
        </w:rPr>
        <w:tab/>
        <w:t>Partial refunds of fees for licences</w:t>
      </w:r>
      <w:r>
        <w:tab/>
      </w:r>
      <w:r>
        <w:fldChar w:fldCharType="begin"/>
      </w:r>
      <w:r>
        <w:instrText xml:space="preserve"> PAGEREF _Toc156559696 \h </w:instrText>
      </w:r>
      <w:r>
        <w:fldChar w:fldCharType="separate"/>
      </w:r>
      <w:r>
        <w:t>25</w:t>
      </w:r>
      <w:r>
        <w:fldChar w:fldCharType="end"/>
      </w:r>
    </w:p>
    <w:p>
      <w:pPr>
        <w:pStyle w:val="TOC8"/>
        <w:rPr>
          <w:rFonts w:asciiTheme="minorHAnsi" w:eastAsiaTheme="minorEastAsia" w:hAnsiTheme="minorHAnsi" w:cstheme="minorBidi"/>
          <w:szCs w:val="22"/>
        </w:rPr>
      </w:pPr>
      <w:r>
        <w:t>5I</w:t>
      </w:r>
      <w:r>
        <w:rPr>
          <w:snapToGrid w:val="0"/>
        </w:rPr>
        <w:t>.</w:t>
      </w:r>
      <w:r>
        <w:rPr>
          <w:snapToGrid w:val="0"/>
        </w:rPr>
        <w:tab/>
        <w:t>Certain matters relevant to fees to be determined by CEO</w:t>
      </w:r>
      <w:r>
        <w:tab/>
      </w:r>
      <w:r>
        <w:fldChar w:fldCharType="begin"/>
      </w:r>
      <w:r>
        <w:instrText xml:space="preserve"> PAGEREF _Toc156559697 \h </w:instrText>
      </w:r>
      <w:r>
        <w:fldChar w:fldCharType="separate"/>
      </w:r>
      <w:r>
        <w:t>26</w:t>
      </w:r>
      <w:r>
        <w:fldChar w:fldCharType="end"/>
      </w:r>
    </w:p>
    <w:p>
      <w:pPr>
        <w:pStyle w:val="TOC8"/>
        <w:rPr>
          <w:rFonts w:asciiTheme="minorHAnsi" w:eastAsiaTheme="minorEastAsia" w:hAnsiTheme="minorHAnsi" w:cstheme="minorBidi"/>
          <w:szCs w:val="22"/>
        </w:rPr>
      </w:pPr>
      <w:r>
        <w:t>5IA</w:t>
      </w:r>
      <w:r>
        <w:rPr>
          <w:snapToGrid w:val="0"/>
        </w:rPr>
        <w:t>.</w:t>
      </w:r>
      <w:r>
        <w:rPr>
          <w:snapToGrid w:val="0"/>
        </w:rPr>
        <w:tab/>
        <w:t>Compliance with best practice criteria may be condition of licence (Act s. 62(2))</w:t>
      </w:r>
      <w:r>
        <w:tab/>
      </w:r>
      <w:r>
        <w:fldChar w:fldCharType="begin"/>
      </w:r>
      <w:r>
        <w:instrText xml:space="preserve"> PAGEREF _Toc156559698 \h </w:instrText>
      </w:r>
      <w:r>
        <w:fldChar w:fldCharType="separate"/>
      </w:r>
      <w:r>
        <w:t>27</w:t>
      </w:r>
      <w:r>
        <w:fldChar w:fldCharType="end"/>
      </w:r>
    </w:p>
    <w:p>
      <w:pPr>
        <w:pStyle w:val="TOC8"/>
        <w:rPr>
          <w:rFonts w:asciiTheme="minorHAnsi" w:eastAsiaTheme="minorEastAsia" w:hAnsiTheme="minorHAnsi" w:cstheme="minorBidi"/>
          <w:szCs w:val="22"/>
        </w:rPr>
      </w:pPr>
      <w:r>
        <w:t>5J.</w:t>
      </w:r>
      <w:r>
        <w:tab/>
        <w:t>Manner of advertising prescribed</w:t>
      </w:r>
      <w:r>
        <w:rPr>
          <w:snapToGrid w:val="0"/>
        </w:rPr>
        <w:t xml:space="preserve"> (Act s. 57(2a))</w:t>
      </w:r>
      <w:r>
        <w:tab/>
      </w:r>
      <w:r>
        <w:fldChar w:fldCharType="begin"/>
      </w:r>
      <w:r>
        <w:instrText xml:space="preserve"> PAGEREF _Toc156559699 \h </w:instrText>
      </w:r>
      <w:r>
        <w:fldChar w:fldCharType="separate"/>
      </w:r>
      <w:r>
        <w:t>27</w:t>
      </w:r>
      <w:r>
        <w:fldChar w:fldCharType="end"/>
      </w:r>
    </w:p>
    <w:p>
      <w:pPr>
        <w:pStyle w:val="TOC8"/>
        <w:rPr>
          <w:rFonts w:asciiTheme="minorHAnsi" w:eastAsiaTheme="minorEastAsia" w:hAnsiTheme="minorHAnsi" w:cstheme="minorBidi"/>
          <w:szCs w:val="22"/>
        </w:rPr>
      </w:pPr>
      <w:r>
        <w:t>5K.</w:t>
      </w:r>
      <w:r>
        <w:tab/>
        <w:t xml:space="preserve">Details of discharge prescribed </w:t>
      </w:r>
      <w:r>
        <w:rPr>
          <w:snapToGrid w:val="0"/>
        </w:rPr>
        <w:t>(Act s. 72(1))</w:t>
      </w:r>
      <w:r>
        <w:tab/>
      </w:r>
      <w:r>
        <w:fldChar w:fldCharType="begin"/>
      </w:r>
      <w:r>
        <w:instrText xml:space="preserve"> PAGEREF _Toc156559700 \h </w:instrText>
      </w:r>
      <w:r>
        <w:fldChar w:fldCharType="separate"/>
      </w:r>
      <w:r>
        <w:t>28</w:t>
      </w:r>
      <w:r>
        <w:fldChar w:fldCharType="end"/>
      </w:r>
    </w:p>
    <w:p>
      <w:pPr>
        <w:pStyle w:val="TOC8"/>
        <w:rPr>
          <w:rFonts w:asciiTheme="minorHAnsi" w:eastAsiaTheme="minorEastAsia" w:hAnsiTheme="minorHAnsi" w:cstheme="minorBidi"/>
          <w:szCs w:val="22"/>
        </w:rPr>
      </w:pPr>
      <w:r>
        <w:t>5L.</w:t>
      </w:r>
      <w:r>
        <w:tab/>
        <w:t>Manner of notifying prescribed</w:t>
      </w:r>
      <w:r>
        <w:rPr>
          <w:snapToGrid w:val="0"/>
        </w:rPr>
        <w:t xml:space="preserve"> (Act s. 72)</w:t>
      </w:r>
      <w:r>
        <w:tab/>
      </w:r>
      <w:r>
        <w:fldChar w:fldCharType="begin"/>
      </w:r>
      <w:r>
        <w:instrText xml:space="preserve"> PAGEREF _Toc156559701 \h </w:instrText>
      </w:r>
      <w:r>
        <w:fldChar w:fldCharType="separate"/>
      </w:r>
      <w:r>
        <w:t>28</w:t>
      </w:r>
      <w:r>
        <w:fldChar w:fldCharType="end"/>
      </w:r>
    </w:p>
    <w:p>
      <w:pPr>
        <w:pStyle w:val="TOC8"/>
        <w:rPr>
          <w:rFonts w:asciiTheme="minorHAnsi" w:eastAsiaTheme="minorEastAsia" w:hAnsiTheme="minorHAnsi" w:cstheme="minorBidi"/>
          <w:szCs w:val="22"/>
        </w:rPr>
      </w:pPr>
      <w:r>
        <w:t>5M.</w:t>
      </w:r>
      <w:r>
        <w:tab/>
        <w:t>Changes in information given to Department, occupier etc. to notify Department of</w:t>
      </w:r>
      <w:r>
        <w:tab/>
      </w:r>
      <w:r>
        <w:fldChar w:fldCharType="begin"/>
      </w:r>
      <w:r>
        <w:instrText xml:space="preserve"> PAGEREF _Toc156559702 \h </w:instrText>
      </w:r>
      <w:r>
        <w:fldChar w:fldCharType="separate"/>
      </w:r>
      <w:r>
        <w:t>29</w:t>
      </w:r>
      <w:r>
        <w:fldChar w:fldCharType="end"/>
      </w:r>
    </w:p>
    <w:p>
      <w:pPr>
        <w:pStyle w:val="TOC8"/>
        <w:rPr>
          <w:rFonts w:asciiTheme="minorHAnsi" w:eastAsiaTheme="minorEastAsia" w:hAnsiTheme="minorHAnsi" w:cstheme="minorBidi"/>
          <w:szCs w:val="22"/>
        </w:rPr>
      </w:pPr>
      <w:r>
        <w:t>5N.</w:t>
      </w:r>
      <w:r>
        <w:tab/>
        <w:t>Transitional provision (reduced fees)</w:t>
      </w:r>
      <w:r>
        <w:tab/>
      </w:r>
      <w:r>
        <w:fldChar w:fldCharType="begin"/>
      </w:r>
      <w:r>
        <w:instrText xml:space="preserve"> PAGEREF _Toc156559703 \h </w:instrText>
      </w:r>
      <w:r>
        <w:fldChar w:fldCharType="separate"/>
      </w:r>
      <w:r>
        <w:t>29</w:t>
      </w:r>
      <w:r>
        <w:fldChar w:fldCharType="end"/>
      </w:r>
    </w:p>
    <w:p>
      <w:pPr>
        <w:pStyle w:val="TOC8"/>
        <w:rPr>
          <w:rFonts w:asciiTheme="minorHAnsi" w:eastAsiaTheme="minorEastAsia" w:hAnsiTheme="minorHAnsi" w:cstheme="minorBidi"/>
          <w:szCs w:val="22"/>
        </w:rPr>
      </w:pPr>
      <w:r>
        <w:t>5O.</w:t>
      </w:r>
      <w:r>
        <w:tab/>
        <w:t>Reduction, waiver, or refund of fees, CEO’s powers as to</w:t>
      </w:r>
      <w:r>
        <w:tab/>
      </w:r>
      <w:r>
        <w:fldChar w:fldCharType="begin"/>
      </w:r>
      <w:r>
        <w:instrText xml:space="preserve"> PAGEREF _Toc156559704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3A — Use of mercury in manufacturing</w:t>
      </w:r>
    </w:p>
    <w:p>
      <w:pPr>
        <w:pStyle w:val="TOC8"/>
        <w:rPr>
          <w:rFonts w:asciiTheme="minorHAnsi" w:eastAsiaTheme="minorEastAsia" w:hAnsiTheme="minorHAnsi" w:cstheme="minorBidi"/>
          <w:szCs w:val="22"/>
        </w:rPr>
      </w:pPr>
      <w:r>
        <w:t>5P.</w:t>
      </w:r>
      <w:r>
        <w:tab/>
        <w:t>Terms used</w:t>
      </w:r>
      <w:r>
        <w:tab/>
      </w:r>
      <w:r>
        <w:fldChar w:fldCharType="begin"/>
      </w:r>
      <w:r>
        <w:instrText xml:space="preserve"> PAGEREF _Toc156559706 \h </w:instrText>
      </w:r>
      <w:r>
        <w:fldChar w:fldCharType="separate"/>
      </w:r>
      <w:r>
        <w:t>31</w:t>
      </w:r>
      <w:r>
        <w:fldChar w:fldCharType="end"/>
      </w:r>
    </w:p>
    <w:p>
      <w:pPr>
        <w:pStyle w:val="TOC8"/>
        <w:rPr>
          <w:rFonts w:asciiTheme="minorHAnsi" w:eastAsiaTheme="minorEastAsia" w:hAnsiTheme="minorHAnsi" w:cstheme="minorBidi"/>
          <w:szCs w:val="22"/>
        </w:rPr>
      </w:pPr>
      <w:r>
        <w:t>5Q.</w:t>
      </w:r>
      <w:r>
        <w:tab/>
        <w:t>Offence to conduct a prohibited manufacturing process</w:t>
      </w:r>
      <w:r>
        <w:tab/>
      </w:r>
      <w:r>
        <w:fldChar w:fldCharType="begin"/>
      </w:r>
      <w:r>
        <w:instrText xml:space="preserve"> PAGEREF _Toc156559707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Audible alarms</w:t>
      </w:r>
    </w:p>
    <w:p>
      <w:pPr>
        <w:pStyle w:val="TOC8"/>
        <w:rPr>
          <w:rFonts w:asciiTheme="minorHAnsi" w:eastAsiaTheme="minorEastAsia" w:hAnsiTheme="minorHAnsi" w:cstheme="minorBidi"/>
          <w:szCs w:val="22"/>
        </w:rPr>
      </w:pPr>
      <w:r>
        <w:t>6</w:t>
      </w:r>
      <w:r>
        <w:rPr>
          <w:snapToGrid w:val="0"/>
        </w:rPr>
        <w:t>.</w:t>
      </w:r>
      <w:r>
        <w:rPr>
          <w:snapToGrid w:val="0"/>
        </w:rPr>
        <w:tab/>
        <w:t>Period prescribed for audible alarms (Act s. 99(1)(a))</w:t>
      </w:r>
      <w:r>
        <w:tab/>
      </w:r>
      <w:r>
        <w:fldChar w:fldCharType="begin"/>
      </w:r>
      <w:r>
        <w:instrText xml:space="preserve"> PAGEREF _Toc156559709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Appeals</w:t>
      </w:r>
    </w:p>
    <w:p>
      <w:pPr>
        <w:pStyle w:val="TOC8"/>
        <w:rPr>
          <w:rFonts w:asciiTheme="minorHAnsi" w:eastAsiaTheme="minorEastAsia" w:hAnsiTheme="minorHAnsi" w:cstheme="minorBidi"/>
          <w:szCs w:val="22"/>
        </w:rPr>
      </w:pPr>
      <w:r>
        <w:t>7</w:t>
      </w:r>
      <w:r>
        <w:rPr>
          <w:snapToGrid w:val="0"/>
        </w:rPr>
        <w:t>.</w:t>
      </w:r>
      <w:r>
        <w:rPr>
          <w:snapToGrid w:val="0"/>
        </w:rPr>
        <w:tab/>
        <w:t>Commencing appeals under Act Part VII, manner of</w:t>
      </w:r>
      <w:r>
        <w:tab/>
      </w:r>
      <w:r>
        <w:fldChar w:fldCharType="begin"/>
      </w:r>
      <w:r>
        <w:instrText xml:space="preserve"> PAGEREF _Toc156559711 \h </w:instrText>
      </w:r>
      <w:r>
        <w:fldChar w:fldCharType="separate"/>
      </w:r>
      <w:r>
        <w:t>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Decisions on appeals, Minister to publish</w:t>
      </w:r>
      <w:r>
        <w:tab/>
      </w:r>
      <w:r>
        <w:fldChar w:fldCharType="begin"/>
      </w:r>
      <w:r>
        <w:instrText xml:space="preserve"> PAGEREF _Toc156559712 \h </w:instrText>
      </w:r>
      <w:r>
        <w:fldChar w:fldCharType="separate"/>
      </w:r>
      <w:r>
        <w:t>35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Decisions on appeals, persons to be notified of</w:t>
      </w:r>
      <w:r>
        <w:tab/>
      </w:r>
      <w:r>
        <w:fldChar w:fldCharType="begin"/>
      </w:r>
      <w:r>
        <w:instrText xml:space="preserve"> PAGEREF _Toc156559713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6 — Tyres</w:t>
      </w:r>
    </w:p>
    <w:p>
      <w:pPr>
        <w:pStyle w:val="TOC8"/>
        <w:rPr>
          <w:rFonts w:asciiTheme="minorHAnsi" w:eastAsiaTheme="minorEastAsia" w:hAnsiTheme="minorHAnsi" w:cstheme="minorBidi"/>
          <w:szCs w:val="22"/>
        </w:rPr>
      </w:pPr>
      <w:r>
        <w:t>11</w:t>
      </w:r>
      <w:r>
        <w:rPr>
          <w:snapToGrid w:val="0"/>
        </w:rPr>
        <w:t>.</w:t>
      </w:r>
      <w:r>
        <w:rPr>
          <w:snapToGrid w:val="0"/>
        </w:rPr>
        <w:tab/>
        <w:t>Terms used; calculating quantity of used tyres</w:t>
      </w:r>
      <w:r>
        <w:tab/>
      </w:r>
      <w:r>
        <w:fldChar w:fldCharType="begin"/>
      </w:r>
      <w:r>
        <w:instrText xml:space="preserve"> PAGEREF _Toc156559715 \h </w:instrText>
      </w:r>
      <w:r>
        <w:fldChar w:fldCharType="separate"/>
      </w:r>
      <w:r>
        <w:t>38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r>
        <w:tab/>
      </w:r>
      <w:r>
        <w:fldChar w:fldCharType="begin"/>
      </w:r>
      <w:r>
        <w:instrText xml:space="preserve"> PAGEREF _Toc156559716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Transport of used tyres for reward etc., when permitted</w:t>
      </w:r>
      <w:r>
        <w:tab/>
      </w:r>
      <w:r>
        <w:fldChar w:fldCharType="begin"/>
      </w:r>
      <w:r>
        <w:instrText xml:space="preserve"> PAGEREF _Toc156559717 \h </w:instrText>
      </w:r>
      <w:r>
        <w:fldChar w:fldCharType="separate"/>
      </w:r>
      <w:r>
        <w:t>39</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Tyre retailer not to damage used tyres</w:t>
      </w:r>
      <w:r>
        <w:tab/>
      </w:r>
      <w:r>
        <w:fldChar w:fldCharType="begin"/>
      </w:r>
      <w:r>
        <w:instrText xml:space="preserve"> PAGEREF _Toc156559718 \h </w:instrText>
      </w:r>
      <w:r>
        <w:fldChar w:fldCharType="separate"/>
      </w:r>
      <w:r>
        <w:t>40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tyres, permitted means for</w:t>
      </w:r>
      <w:r>
        <w:tab/>
      </w:r>
      <w:r>
        <w:fldChar w:fldCharType="begin"/>
      </w:r>
      <w:r>
        <w:instrText xml:space="preserve"> PAGEREF _Toc156559719 \h </w:instrText>
      </w:r>
      <w:r>
        <w:fldChar w:fldCharType="separate"/>
      </w:r>
      <w:r>
        <w:t>40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Used tyres, storage of on licensed premises</w:t>
      </w:r>
      <w:r>
        <w:tab/>
      </w:r>
      <w:r>
        <w:fldChar w:fldCharType="begin"/>
      </w:r>
      <w:r>
        <w:instrText xml:space="preserve"> PAGEREF _Toc156559720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7 — Anti</w:t>
      </w:r>
      <w:r>
        <w:noBreakHyphen/>
        <w:t>fouling paint</w:t>
      </w:r>
    </w:p>
    <w:p>
      <w:pPr>
        <w:pStyle w:val="TOC8"/>
        <w:rPr>
          <w:rFonts w:asciiTheme="minorHAnsi" w:eastAsiaTheme="minorEastAsia" w:hAnsiTheme="minorHAnsi" w:cstheme="minorBidi"/>
          <w:szCs w:val="22"/>
        </w:rPr>
      </w:pPr>
      <w:r>
        <w:t>16</w:t>
      </w:r>
      <w:r>
        <w:rPr>
          <w:snapToGrid w:val="0"/>
        </w:rPr>
        <w:t>.</w:t>
      </w:r>
      <w:r>
        <w:rPr>
          <w:snapToGrid w:val="0"/>
        </w:rPr>
        <w:tab/>
        <w:t>Organotin anti</w:t>
      </w:r>
      <w:r>
        <w:rPr>
          <w:snapToGrid w:val="0"/>
        </w:rPr>
        <w:noBreakHyphen/>
        <w:t>fouling paint, restrictions on use, sale etc. of</w:t>
      </w:r>
      <w:r>
        <w:tab/>
      </w:r>
      <w:r>
        <w:fldChar w:fldCharType="begin"/>
      </w:r>
      <w:r>
        <w:instrText xml:space="preserve"> PAGEREF _Toc156559722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7A — Burning on development sites</w:t>
      </w:r>
    </w:p>
    <w:p>
      <w:pPr>
        <w:pStyle w:val="TOC8"/>
        <w:rPr>
          <w:rFonts w:asciiTheme="minorHAnsi" w:eastAsiaTheme="minorEastAsia" w:hAnsiTheme="minorHAnsi" w:cstheme="minorBidi"/>
          <w:szCs w:val="22"/>
        </w:rPr>
      </w:pPr>
      <w:r>
        <w:t>16A.</w:t>
      </w:r>
      <w:r>
        <w:tab/>
        <w:t>Terms used</w:t>
      </w:r>
      <w:r>
        <w:tab/>
      </w:r>
      <w:r>
        <w:fldChar w:fldCharType="begin"/>
      </w:r>
      <w:r>
        <w:instrText xml:space="preserve"> PAGEREF _Toc156559724 \h </w:instrText>
      </w:r>
      <w:r>
        <w:fldChar w:fldCharType="separate"/>
      </w:r>
      <w:r>
        <w:t>45</w:t>
      </w:r>
      <w:r>
        <w:fldChar w:fldCharType="end"/>
      </w:r>
    </w:p>
    <w:p>
      <w:pPr>
        <w:pStyle w:val="TOC8"/>
        <w:rPr>
          <w:rFonts w:asciiTheme="minorHAnsi" w:eastAsiaTheme="minorEastAsia" w:hAnsiTheme="minorHAnsi" w:cstheme="minorBidi"/>
          <w:szCs w:val="22"/>
        </w:rPr>
      </w:pPr>
      <w:r>
        <w:t>16B.</w:t>
      </w:r>
      <w:r>
        <w:tab/>
        <w:t>Burning vegetation etc. on development sites in Sch. 5A areas restricted</w:t>
      </w:r>
      <w:r>
        <w:tab/>
      </w:r>
      <w:r>
        <w:fldChar w:fldCharType="begin"/>
      </w:r>
      <w:r>
        <w:instrText xml:space="preserve"> PAGEREF _Toc156559725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_Toc156559727 \h </w:instrText>
      </w:r>
      <w:r>
        <w:fldChar w:fldCharType="separate"/>
      </w:r>
      <w:r>
        <w:t>46</w:t>
      </w:r>
      <w:r>
        <w:fldChar w:fldCharType="end"/>
      </w:r>
    </w:p>
    <w:p>
      <w:pPr>
        <w:pStyle w:val="TOC8"/>
        <w:rPr>
          <w:rFonts w:asciiTheme="minorHAnsi" w:eastAsiaTheme="minorEastAsia" w:hAnsiTheme="minorHAnsi" w:cstheme="minorBidi"/>
          <w:szCs w:val="22"/>
        </w:rPr>
      </w:pPr>
      <w:r>
        <w:t>18.</w:t>
      </w:r>
      <w:r>
        <w:tab/>
        <w:t>Conditions prescribed (Act s. 62(2))</w:t>
      </w:r>
      <w:r>
        <w:tab/>
      </w:r>
      <w:r>
        <w:fldChar w:fldCharType="begin"/>
      </w:r>
      <w:r>
        <w:instrText xml:space="preserve"> PAGEREF _Toc156559728 \h </w:instrText>
      </w:r>
      <w:r>
        <w:fldChar w:fldCharType="separate"/>
      </w:r>
      <w:r>
        <w:t>46</w:t>
      </w:r>
      <w:r>
        <w:fldChar w:fldCharType="end"/>
      </w:r>
    </w:p>
    <w:p>
      <w:pPr>
        <w:pStyle w:val="TOC8"/>
        <w:rPr>
          <w:rFonts w:asciiTheme="minorHAnsi" w:eastAsiaTheme="minorEastAsia" w:hAnsiTheme="minorHAnsi" w:cstheme="minorBidi"/>
          <w:szCs w:val="22"/>
        </w:rPr>
      </w:pPr>
      <w:r>
        <w:t>19.</w:t>
      </w:r>
      <w:r>
        <w:tab/>
        <w:t>Approved monitoring equipment, to be used in specified monitoring programmes</w:t>
      </w:r>
      <w:r>
        <w:tab/>
      </w:r>
      <w:r>
        <w:fldChar w:fldCharType="begin"/>
      </w:r>
      <w:r>
        <w:instrText xml:space="preserve"> PAGEREF _Toc156559729 \h </w:instrText>
      </w:r>
      <w:r>
        <w:fldChar w:fldCharType="separate"/>
      </w:r>
      <w:r>
        <w:t>47</w:t>
      </w:r>
      <w:r>
        <w:fldChar w:fldCharType="end"/>
      </w:r>
    </w:p>
    <w:p>
      <w:pPr>
        <w:pStyle w:val="TOC8"/>
        <w:rPr>
          <w:rFonts w:asciiTheme="minorHAnsi" w:eastAsiaTheme="minorEastAsia" w:hAnsiTheme="minorHAnsi" w:cstheme="minorBidi"/>
          <w:szCs w:val="22"/>
        </w:rPr>
      </w:pPr>
      <w:r>
        <w:t>20.</w:t>
      </w:r>
      <w:r>
        <w:tab/>
        <w:t>Approved monitoring equipment, duty to ensure accuracy of</w:t>
      </w:r>
      <w:r>
        <w:tab/>
      </w:r>
      <w:r>
        <w:fldChar w:fldCharType="begin"/>
      </w:r>
      <w:r>
        <w:instrText xml:space="preserve"> PAGEREF _Toc156559730 \h </w:instrText>
      </w:r>
      <w:r>
        <w:fldChar w:fldCharType="separate"/>
      </w:r>
      <w:r>
        <w:t>47</w:t>
      </w:r>
      <w:r>
        <w:fldChar w:fldCharType="end"/>
      </w:r>
    </w:p>
    <w:p>
      <w:pPr>
        <w:pStyle w:val="TOC8"/>
        <w:rPr>
          <w:rFonts w:asciiTheme="minorHAnsi" w:eastAsiaTheme="minorEastAsia" w:hAnsiTheme="minorHAnsi" w:cstheme="minorBidi"/>
          <w:szCs w:val="22"/>
        </w:rPr>
      </w:pPr>
      <w:r>
        <w:t>20A.</w:t>
      </w:r>
      <w:r>
        <w:tab/>
        <w:t>Approved monitoring equipment, duty to comply with conditions of approval of</w:t>
      </w:r>
      <w:r>
        <w:tab/>
      </w:r>
      <w:r>
        <w:fldChar w:fldCharType="begin"/>
      </w:r>
      <w:r>
        <w:instrText xml:space="preserve"> PAGEREF _Toc156559731 \h </w:instrText>
      </w:r>
      <w:r>
        <w:fldChar w:fldCharType="separate"/>
      </w:r>
      <w:r>
        <w:t>48</w:t>
      </w:r>
      <w:r>
        <w:fldChar w:fldCharType="end"/>
      </w:r>
    </w:p>
    <w:p>
      <w:pPr>
        <w:pStyle w:val="TOC8"/>
        <w:rPr>
          <w:rFonts w:asciiTheme="minorHAnsi" w:eastAsiaTheme="minorEastAsia" w:hAnsiTheme="minorHAnsi" w:cstheme="minorBidi"/>
          <w:szCs w:val="22"/>
        </w:rPr>
      </w:pPr>
      <w:r>
        <w:t>20B.</w:t>
      </w:r>
      <w:r>
        <w:tab/>
        <w:t>Approved monitoring equipment, duty to report results of to CEO</w:t>
      </w:r>
      <w:r>
        <w:tab/>
      </w:r>
      <w:r>
        <w:fldChar w:fldCharType="begin"/>
      </w:r>
      <w:r>
        <w:instrText xml:space="preserve"> PAGEREF _Toc156559732 \h </w:instrText>
      </w:r>
      <w:r>
        <w:fldChar w:fldCharType="separate"/>
      </w:r>
      <w:r>
        <w:t>48</w:t>
      </w:r>
      <w:r>
        <w:fldChar w:fldCharType="end"/>
      </w:r>
    </w:p>
    <w:p>
      <w:pPr>
        <w:pStyle w:val="TOC8"/>
        <w:rPr>
          <w:rFonts w:asciiTheme="minorHAnsi" w:eastAsiaTheme="minorEastAsia" w:hAnsiTheme="minorHAnsi" w:cstheme="minorBidi"/>
          <w:szCs w:val="22"/>
        </w:rPr>
      </w:pPr>
      <w:r>
        <w:t>20C.</w:t>
      </w:r>
      <w:r>
        <w:tab/>
        <w:t>Approved monitoring equipment, presumption of accuracy of</w:t>
      </w:r>
      <w:r>
        <w:tab/>
      </w:r>
      <w:r>
        <w:fldChar w:fldCharType="begin"/>
      </w:r>
      <w:r>
        <w:instrText xml:space="preserve"> PAGEREF _Toc156559733 \h </w:instrText>
      </w:r>
      <w:r>
        <w:fldChar w:fldCharType="separate"/>
      </w:r>
      <w:r>
        <w:t>49</w:t>
      </w:r>
      <w:r>
        <w:fldChar w:fldCharType="end"/>
      </w:r>
    </w:p>
    <w:p>
      <w:pPr>
        <w:pStyle w:val="TOC8"/>
        <w:rPr>
          <w:rFonts w:asciiTheme="minorHAnsi" w:eastAsiaTheme="minorEastAsia" w:hAnsiTheme="minorHAnsi" w:cstheme="minorBidi"/>
          <w:szCs w:val="22"/>
        </w:rPr>
      </w:pPr>
      <w:r>
        <w:lastRenderedPageBreak/>
        <w:t>20D.</w:t>
      </w:r>
      <w:r>
        <w:tab/>
        <w:t>Report of specified monitoring programme, presumption of accuracy of measurement in</w:t>
      </w:r>
      <w:r>
        <w:tab/>
      </w:r>
      <w:r>
        <w:fldChar w:fldCharType="begin"/>
      </w:r>
      <w:r>
        <w:instrText xml:space="preserve"> PAGEREF _Toc156559734 \h </w:instrText>
      </w:r>
      <w:r>
        <w:fldChar w:fldCharType="separate"/>
      </w:r>
      <w:r>
        <w:t>49</w:t>
      </w:r>
      <w:r>
        <w:fldChar w:fldCharType="end"/>
      </w:r>
    </w:p>
    <w:p>
      <w:pPr>
        <w:pStyle w:val="TOC8"/>
        <w:rPr>
          <w:rFonts w:asciiTheme="minorHAnsi" w:eastAsiaTheme="minorEastAsia" w:hAnsiTheme="minorHAnsi" w:cstheme="minorBidi"/>
          <w:szCs w:val="22"/>
        </w:rPr>
      </w:pPr>
      <w:r>
        <w:t>20E.</w:t>
      </w:r>
      <w:r>
        <w:tab/>
        <w:t>Inaccurate measurement in r. 20B report, duty to notify CEO of</w:t>
      </w:r>
      <w:r>
        <w:tab/>
      </w:r>
      <w:r>
        <w:fldChar w:fldCharType="begin"/>
      </w:r>
      <w:r>
        <w:instrText xml:space="preserve"> PAGEREF _Toc156559735 \h </w:instrText>
      </w:r>
      <w:r>
        <w:fldChar w:fldCharType="separate"/>
      </w:r>
      <w:r>
        <w:t>50</w:t>
      </w:r>
      <w:r>
        <w:fldChar w:fldCharType="end"/>
      </w:r>
    </w:p>
    <w:p>
      <w:pPr>
        <w:pStyle w:val="TOC8"/>
        <w:rPr>
          <w:rFonts w:asciiTheme="minorHAnsi" w:eastAsiaTheme="minorEastAsia" w:hAnsiTheme="minorHAnsi" w:cstheme="minorBidi"/>
          <w:szCs w:val="22"/>
        </w:rPr>
      </w:pPr>
      <w:r>
        <w:t>20F.</w:t>
      </w:r>
      <w:r>
        <w:tab/>
        <w:t>Monitoring equipment, approval of</w:t>
      </w:r>
      <w:r>
        <w:tab/>
      </w:r>
      <w:r>
        <w:fldChar w:fldCharType="begin"/>
      </w:r>
      <w:r>
        <w:instrText xml:space="preserve"> PAGEREF _Toc156559736 \h </w:instrText>
      </w:r>
      <w:r>
        <w:fldChar w:fldCharType="separate"/>
      </w:r>
      <w:r>
        <w:t>50</w:t>
      </w:r>
      <w:r>
        <w:fldChar w:fldCharType="end"/>
      </w:r>
    </w:p>
    <w:p>
      <w:pPr>
        <w:pStyle w:val="TOC8"/>
        <w:rPr>
          <w:rFonts w:asciiTheme="minorHAnsi" w:eastAsiaTheme="minorEastAsia" w:hAnsiTheme="minorHAnsi" w:cstheme="minorBidi"/>
          <w:szCs w:val="22"/>
        </w:rPr>
      </w:pPr>
      <w:r>
        <w:t>20G.</w:t>
      </w:r>
      <w:r>
        <w:tab/>
        <w:t>Monitoring equipment, conditions of approval of</w:t>
      </w:r>
      <w:r>
        <w:tab/>
      </w:r>
      <w:r>
        <w:fldChar w:fldCharType="begin"/>
      </w:r>
      <w:r>
        <w:instrText xml:space="preserve"> PAGEREF _Toc156559737 \h </w:instrText>
      </w:r>
      <w:r>
        <w:fldChar w:fldCharType="separate"/>
      </w:r>
      <w:r>
        <w:t>52</w:t>
      </w:r>
      <w:r>
        <w:fldChar w:fldCharType="end"/>
      </w:r>
    </w:p>
    <w:p>
      <w:pPr>
        <w:pStyle w:val="TOC8"/>
        <w:rPr>
          <w:rFonts w:asciiTheme="minorHAnsi" w:eastAsiaTheme="minorEastAsia" w:hAnsiTheme="minorHAnsi" w:cstheme="minorBidi"/>
          <w:szCs w:val="22"/>
        </w:rPr>
      </w:pPr>
      <w:r>
        <w:t>20H.</w:t>
      </w:r>
      <w:r>
        <w:tab/>
        <w:t>Approval of monitoring equipment, revoking</w:t>
      </w:r>
      <w:r>
        <w:tab/>
      </w:r>
      <w:r>
        <w:fldChar w:fldCharType="begin"/>
      </w:r>
      <w:r>
        <w:instrText xml:space="preserve"> PAGEREF _Toc156559738 \h </w:instrText>
      </w:r>
      <w:r>
        <w:fldChar w:fldCharType="separate"/>
      </w:r>
      <w:r>
        <w:t>52</w:t>
      </w:r>
      <w:r>
        <w:fldChar w:fldCharType="end"/>
      </w:r>
    </w:p>
    <w:p>
      <w:pPr>
        <w:pStyle w:val="TOC8"/>
        <w:rPr>
          <w:rFonts w:asciiTheme="minorHAnsi" w:eastAsiaTheme="minorEastAsia" w:hAnsiTheme="minorHAnsi" w:cstheme="minorBidi"/>
          <w:szCs w:val="22"/>
        </w:rPr>
      </w:pPr>
      <w:r>
        <w:t>20I.</w:t>
      </w:r>
      <w:r>
        <w:tab/>
        <w:t>Appeal against r. 20F, 20G or 20H decision</w:t>
      </w:r>
      <w:r>
        <w:tab/>
      </w:r>
      <w:r>
        <w:fldChar w:fldCharType="begin"/>
      </w:r>
      <w:r>
        <w:instrText xml:space="preserve"> PAGEREF _Toc156559739 \h </w:instrText>
      </w:r>
      <w:r>
        <w:fldChar w:fldCharType="separate"/>
      </w:r>
      <w:r>
        <w:t>53</w:t>
      </w:r>
      <w:r>
        <w:fldChar w:fldCharType="end"/>
      </w:r>
    </w:p>
    <w:p>
      <w:pPr>
        <w:pStyle w:val="TOC8"/>
        <w:rPr>
          <w:rFonts w:asciiTheme="minorHAnsi" w:eastAsiaTheme="minorEastAsia" w:hAnsiTheme="minorHAnsi" w:cstheme="minorBidi"/>
          <w:szCs w:val="22"/>
        </w:rPr>
      </w:pPr>
      <w:r>
        <w:t>20J.</w:t>
      </w:r>
      <w:r>
        <w:tab/>
        <w:t>Revocation of approval, use of monitoring equipment pending determination of appeal against</w:t>
      </w:r>
      <w:r>
        <w:tab/>
      </w:r>
      <w:r>
        <w:fldChar w:fldCharType="begin"/>
      </w:r>
      <w:r>
        <w:instrText xml:space="preserve"> PAGEREF _Toc156559740 \h </w:instrText>
      </w:r>
      <w:r>
        <w:fldChar w:fldCharType="separate"/>
      </w:r>
      <w:r>
        <w:t>54</w:t>
      </w:r>
      <w:r>
        <w:fldChar w:fldCharType="end"/>
      </w:r>
    </w:p>
    <w:p>
      <w:pPr>
        <w:pStyle w:val="TOC8"/>
        <w:rPr>
          <w:rFonts w:asciiTheme="minorHAnsi" w:eastAsiaTheme="minorEastAsia" w:hAnsiTheme="minorHAnsi" w:cstheme="minorBidi"/>
          <w:szCs w:val="22"/>
        </w:rPr>
      </w:pPr>
      <w:r>
        <w:t>20K.</w:t>
      </w:r>
      <w:r>
        <w:tab/>
        <w:t>CEO’s signature, judicial notice of</w:t>
      </w:r>
      <w:r>
        <w:tab/>
      </w:r>
      <w:r>
        <w:fldChar w:fldCharType="begin"/>
      </w:r>
      <w:r>
        <w:instrText xml:space="preserve"> PAGEREF _Toc156559741 \h </w:instrText>
      </w:r>
      <w:r>
        <w:fldChar w:fldCharType="separate"/>
      </w:r>
      <w:r>
        <w:t>55</w:t>
      </w:r>
      <w:r>
        <w:fldChar w:fldCharType="end"/>
      </w:r>
    </w:p>
    <w:p>
      <w:pPr>
        <w:pStyle w:val="TOC8"/>
        <w:rPr>
          <w:rFonts w:asciiTheme="minorHAnsi" w:eastAsiaTheme="minorEastAsia" w:hAnsiTheme="minorHAnsi" w:cstheme="minorBidi"/>
          <w:szCs w:val="22"/>
        </w:rPr>
      </w:pPr>
      <w:r>
        <w:t>20KA.</w:t>
      </w:r>
      <w:r>
        <w:tab/>
        <w:t>Guidelines for performance of CEO’s functions, Minister may make etc.</w:t>
      </w:r>
      <w:r>
        <w:tab/>
      </w:r>
      <w:r>
        <w:fldChar w:fldCharType="begin"/>
      </w:r>
      <w:r>
        <w:instrText xml:space="preserve"> PAGEREF _Toc156559742 \h </w:instrText>
      </w:r>
      <w:r>
        <w:fldChar w:fldCharType="separate"/>
      </w:r>
      <w:r>
        <w:t>55</w:t>
      </w:r>
      <w:r>
        <w:fldChar w:fldCharType="end"/>
      </w:r>
    </w:p>
    <w:p>
      <w:pPr>
        <w:pStyle w:val="TOC8"/>
        <w:rPr>
          <w:rFonts w:asciiTheme="minorHAnsi" w:eastAsiaTheme="minorEastAsia" w:hAnsiTheme="minorHAnsi" w:cstheme="minorBidi"/>
          <w:szCs w:val="22"/>
        </w:rPr>
      </w:pPr>
      <w:r>
        <w:t>20L.</w:t>
      </w:r>
      <w:r>
        <w:tab/>
        <w:t>Review of this Part</w:t>
      </w:r>
      <w:r>
        <w:tab/>
      </w:r>
      <w:r>
        <w:fldChar w:fldCharType="begin"/>
      </w:r>
      <w:r>
        <w:instrText xml:space="preserve"> PAGEREF _Toc156559743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9 — Landfill levy</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_Toc156559745 \h </w:instrText>
      </w:r>
      <w:r>
        <w:fldChar w:fldCharType="separate"/>
      </w:r>
      <w:r>
        <w:t>57</w:t>
      </w:r>
      <w:r>
        <w:fldChar w:fldCharType="end"/>
      </w:r>
    </w:p>
    <w:p>
      <w:pPr>
        <w:pStyle w:val="TOC8"/>
        <w:rPr>
          <w:rFonts w:asciiTheme="minorHAnsi" w:eastAsiaTheme="minorEastAsia" w:hAnsiTheme="minorHAnsi" w:cstheme="minorBidi"/>
          <w:szCs w:val="22"/>
        </w:rPr>
      </w:pPr>
      <w:r>
        <w:t>22</w:t>
      </w:r>
      <w:r>
        <w:rPr>
          <w:snapToGrid w:val="0"/>
        </w:rPr>
        <w:t xml:space="preserve">. </w:t>
      </w:r>
      <w:r>
        <w:rPr>
          <w:snapToGrid w:val="0"/>
        </w:rPr>
        <w:tab/>
        <w:t>Application of this Part</w:t>
      </w:r>
      <w:r>
        <w:tab/>
      </w:r>
      <w:r>
        <w:fldChar w:fldCharType="begin"/>
      </w:r>
      <w:r>
        <w:instrText xml:space="preserve"> PAGEREF _Toc156559746 \h </w:instrText>
      </w:r>
      <w:r>
        <w:fldChar w:fldCharType="separate"/>
      </w:r>
      <w:r>
        <w:t>58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Exemptions from this Part; refunds etc. of levy</w:t>
      </w:r>
      <w:r>
        <w:tab/>
      </w:r>
      <w:r>
        <w:fldChar w:fldCharType="begin"/>
      </w:r>
      <w:r>
        <w:instrText xml:space="preserve"> PAGEREF _Toc156559747 \h </w:instrText>
      </w:r>
      <w:r>
        <w:fldChar w:fldCharType="separate"/>
      </w:r>
      <w:r>
        <w:t>59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Financial assurance, CEO may require from licensee with r. 23(1)(b) exemption</w:t>
      </w:r>
      <w:r>
        <w:tab/>
      </w:r>
      <w:r>
        <w:fldChar w:fldCharType="begin"/>
      </w:r>
      <w:r>
        <w:instrText xml:space="preserve"> PAGEREF _Toc156559748 \h </w:instrText>
      </w:r>
      <w:r>
        <w:fldChar w:fldCharType="separate"/>
      </w:r>
      <w:r>
        <w:t>60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Waste received at category 64 or 65 licensed landfill, calculating amount of</w:t>
      </w:r>
      <w:r>
        <w:tab/>
      </w:r>
      <w:r>
        <w:fldChar w:fldCharType="begin"/>
      </w:r>
      <w:r>
        <w:instrText xml:space="preserve"> PAGEREF _Toc156559749 \h </w:instrText>
      </w:r>
      <w:r>
        <w:fldChar w:fldCharType="separate"/>
      </w:r>
      <w:r>
        <w:t>62</w:t>
      </w:r>
      <w:r>
        <w:fldChar w:fldCharType="end"/>
      </w:r>
    </w:p>
    <w:p>
      <w:pPr>
        <w:pStyle w:val="TOC8"/>
        <w:rPr>
          <w:rFonts w:asciiTheme="minorHAnsi" w:eastAsiaTheme="minorEastAsia" w:hAnsiTheme="minorHAnsi" w:cstheme="minorBidi"/>
          <w:szCs w:val="22"/>
        </w:rPr>
      </w:pPr>
      <w:r>
        <w:t>26.</w:t>
      </w:r>
      <w:r>
        <w:tab/>
        <w:t>Waste disposed of in category 63 licensed landfill, calculating amount of</w:t>
      </w:r>
      <w:r>
        <w:tab/>
      </w:r>
      <w:r>
        <w:fldChar w:fldCharType="begin"/>
      </w:r>
      <w:r>
        <w:instrText xml:space="preserve"> PAGEREF _Toc156559750 \h </w:instrText>
      </w:r>
      <w:r>
        <w:fldChar w:fldCharType="separate"/>
      </w:r>
      <w:r>
        <w:t>62</w:t>
      </w:r>
      <w:r>
        <w:fldChar w:fldCharType="end"/>
      </w:r>
    </w:p>
    <w:p>
      <w:pPr>
        <w:pStyle w:val="TOC8"/>
        <w:rPr>
          <w:rFonts w:asciiTheme="minorHAnsi" w:eastAsiaTheme="minorEastAsia" w:hAnsiTheme="minorHAnsi" w:cstheme="minorBidi"/>
          <w:szCs w:val="22"/>
        </w:rPr>
      </w:pPr>
      <w:r>
        <w:t>26A.</w:t>
      </w:r>
      <w:r>
        <w:tab/>
        <w:t>Breach of r. 26, CEO may estimate amount in case of etc.</w:t>
      </w:r>
      <w:r>
        <w:tab/>
      </w:r>
      <w:r>
        <w:fldChar w:fldCharType="begin"/>
      </w:r>
      <w:r>
        <w:instrText xml:space="preserve"> PAGEREF _Toc156559751 \h </w:instrText>
      </w:r>
      <w:r>
        <w:fldChar w:fldCharType="separate"/>
      </w:r>
      <w:r>
        <w:t>64</w:t>
      </w:r>
      <w:r>
        <w:fldChar w:fldCharType="end"/>
      </w:r>
    </w:p>
    <w:p>
      <w:pPr>
        <w:pStyle w:val="TOC8"/>
        <w:rPr>
          <w:rFonts w:asciiTheme="minorHAnsi" w:eastAsiaTheme="minorEastAsia" w:hAnsiTheme="minorHAnsi" w:cstheme="minorBidi"/>
          <w:szCs w:val="22"/>
        </w:rPr>
      </w:pPr>
      <w:r>
        <w:t>27.</w:t>
      </w:r>
      <w:r>
        <w:tab/>
        <w:t>Levy, determining amount of</w:t>
      </w:r>
      <w:r>
        <w:tab/>
      </w:r>
      <w:r>
        <w:fldChar w:fldCharType="begin"/>
      </w:r>
      <w:r>
        <w:instrText xml:space="preserve"> PAGEREF _Toc156559752 \h </w:instrText>
      </w:r>
      <w:r>
        <w:fldChar w:fldCharType="separate"/>
      </w:r>
      <w:r>
        <w:t>65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Financial assurance, licensees to pay</w:t>
      </w:r>
      <w:r>
        <w:tab/>
      </w:r>
      <w:r>
        <w:fldChar w:fldCharType="begin"/>
      </w:r>
      <w:r>
        <w:instrText xml:space="preserve"> PAGEREF _Toc156559753 \h </w:instrText>
      </w:r>
      <w:r>
        <w:fldChar w:fldCharType="separate"/>
      </w:r>
      <w:r>
        <w:t>66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Records of waste received, licensees’ duties as to</w:t>
      </w:r>
      <w:r>
        <w:tab/>
      </w:r>
      <w:r>
        <w:fldChar w:fldCharType="begin"/>
      </w:r>
      <w:r>
        <w:instrText xml:space="preserve"> PAGEREF _Toc156559754 \h </w:instrText>
      </w:r>
      <w:r>
        <w:fldChar w:fldCharType="separate"/>
      </w:r>
      <w:r>
        <w:t>68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Levy, payment of; returns to be lodged</w:t>
      </w:r>
      <w:r>
        <w:tab/>
      </w:r>
      <w:r>
        <w:fldChar w:fldCharType="begin"/>
      </w:r>
      <w:r>
        <w:instrText xml:space="preserve"> PAGEREF _Toc156559755 \h </w:instrText>
      </w:r>
      <w:r>
        <w:fldChar w:fldCharType="separate"/>
      </w:r>
      <w:r>
        <w:t>69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Audits, CEO’s powers to direct etc.</w:t>
      </w:r>
      <w:r>
        <w:tab/>
      </w:r>
      <w:r>
        <w:fldChar w:fldCharType="begin"/>
      </w:r>
      <w:r>
        <w:instrText xml:space="preserve"> PAGEREF _Toc156559756 \h </w:instrText>
      </w:r>
      <w:r>
        <w:fldChar w:fldCharType="separate"/>
      </w:r>
      <w:r>
        <w:t>69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CEO’s decisions, review of and appeal against</w:t>
      </w:r>
      <w:r>
        <w:tab/>
      </w:r>
      <w:r>
        <w:fldChar w:fldCharType="begin"/>
      </w:r>
      <w:r>
        <w:instrText xml:space="preserve"> PAGEREF _Toc156559757 \h </w:instrText>
      </w:r>
      <w:r>
        <w:fldChar w:fldCharType="separate"/>
      </w:r>
      <w:r>
        <w:t>70</w:t>
      </w:r>
      <w:r>
        <w:fldChar w:fldCharType="end"/>
      </w:r>
    </w:p>
    <w:p>
      <w:pPr>
        <w:pStyle w:val="TOC8"/>
        <w:rPr>
          <w:rFonts w:asciiTheme="minorHAnsi" w:eastAsiaTheme="minorEastAsia" w:hAnsiTheme="minorHAnsi" w:cstheme="minorBidi"/>
          <w:szCs w:val="22"/>
        </w:rPr>
      </w:pPr>
      <w:r>
        <w:t>33.</w:t>
      </w:r>
      <w:r>
        <w:tab/>
        <w:t>Payment of levies is condition of licence</w:t>
      </w:r>
      <w:r>
        <w:tab/>
      </w:r>
      <w:r>
        <w:fldChar w:fldCharType="begin"/>
      </w:r>
      <w:r>
        <w:instrText xml:space="preserve"> PAGEREF _Toc156559758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9A — Prescribed classes of relevant schemes</w:t>
      </w:r>
    </w:p>
    <w:p>
      <w:pPr>
        <w:pStyle w:val="TOC8"/>
        <w:rPr>
          <w:rFonts w:asciiTheme="minorHAnsi" w:eastAsiaTheme="minorEastAsia" w:hAnsiTheme="minorHAnsi" w:cstheme="minorBidi"/>
          <w:szCs w:val="22"/>
        </w:rPr>
      </w:pPr>
      <w:r>
        <w:t>33A.</w:t>
      </w:r>
      <w:r>
        <w:tab/>
        <w:t>Terms used</w:t>
      </w:r>
      <w:r>
        <w:tab/>
      </w:r>
      <w:r>
        <w:fldChar w:fldCharType="begin"/>
      </w:r>
      <w:r>
        <w:instrText xml:space="preserve"> PAGEREF _Toc156559760 \h </w:instrText>
      </w:r>
      <w:r>
        <w:fldChar w:fldCharType="separate"/>
      </w:r>
      <w:r>
        <w:t>72</w:t>
      </w:r>
      <w:r>
        <w:fldChar w:fldCharType="end"/>
      </w:r>
    </w:p>
    <w:p>
      <w:pPr>
        <w:pStyle w:val="TOC8"/>
        <w:rPr>
          <w:rFonts w:asciiTheme="minorHAnsi" w:eastAsiaTheme="minorEastAsia" w:hAnsiTheme="minorHAnsi" w:cstheme="minorBidi"/>
          <w:szCs w:val="22"/>
        </w:rPr>
      </w:pPr>
      <w:r>
        <w:t>33B.</w:t>
      </w:r>
      <w:r>
        <w:tab/>
        <w:t>Prescribed classes of amendments to region planning schemes (Act s. 48AAA(2))</w:t>
      </w:r>
      <w:r>
        <w:tab/>
      </w:r>
      <w:r>
        <w:fldChar w:fldCharType="begin"/>
      </w:r>
      <w:r>
        <w:instrText xml:space="preserve"> PAGEREF _Toc156559761 \h </w:instrText>
      </w:r>
      <w:r>
        <w:fldChar w:fldCharType="separate"/>
      </w:r>
      <w:r>
        <w:t>72</w:t>
      </w:r>
      <w:r>
        <w:fldChar w:fldCharType="end"/>
      </w:r>
    </w:p>
    <w:p>
      <w:pPr>
        <w:pStyle w:val="TOC8"/>
        <w:rPr>
          <w:rFonts w:asciiTheme="minorHAnsi" w:eastAsiaTheme="minorEastAsia" w:hAnsiTheme="minorHAnsi" w:cstheme="minorBidi"/>
          <w:szCs w:val="22"/>
        </w:rPr>
      </w:pPr>
      <w:r>
        <w:lastRenderedPageBreak/>
        <w:t>33C.</w:t>
      </w:r>
      <w:r>
        <w:tab/>
        <w:t>Prescribed classes of amendments to local planning schemes (Act s. 48AAA(2))</w:t>
      </w:r>
      <w:r>
        <w:tab/>
      </w:r>
      <w:r>
        <w:fldChar w:fldCharType="begin"/>
      </w:r>
      <w:r>
        <w:instrText xml:space="preserve"> PAGEREF _Toc156559762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Things seized or forfeited</w:t>
      </w:r>
    </w:p>
    <w:p>
      <w:pPr>
        <w:pStyle w:val="TOC8"/>
        <w:rPr>
          <w:rFonts w:asciiTheme="minorHAnsi" w:eastAsiaTheme="minorEastAsia" w:hAnsiTheme="minorHAnsi" w:cstheme="minorBidi"/>
          <w:szCs w:val="22"/>
        </w:rPr>
      </w:pPr>
      <w:r>
        <w:t>34.</w:t>
      </w:r>
      <w:r>
        <w:tab/>
        <w:t>Ways prescribed of dealing with seized things (Act s. 92B(1))</w:t>
      </w:r>
      <w:r>
        <w:tab/>
      </w:r>
      <w:r>
        <w:fldChar w:fldCharType="begin"/>
      </w:r>
      <w:r>
        <w:instrText xml:space="preserve"> PAGEREF _Toc156559764 \h </w:instrText>
      </w:r>
      <w:r>
        <w:fldChar w:fldCharType="separate"/>
      </w:r>
      <w:r>
        <w:t>77</w:t>
      </w:r>
      <w:r>
        <w:fldChar w:fldCharType="end"/>
      </w:r>
    </w:p>
    <w:p>
      <w:pPr>
        <w:pStyle w:val="TOC8"/>
        <w:rPr>
          <w:rFonts w:asciiTheme="minorHAnsi" w:eastAsiaTheme="minorEastAsia" w:hAnsiTheme="minorHAnsi" w:cstheme="minorBidi"/>
          <w:szCs w:val="22"/>
        </w:rPr>
      </w:pPr>
      <w:r>
        <w:t>35.</w:t>
      </w:r>
      <w:r>
        <w:tab/>
        <w:t>Manner of giving notice prescribed (Act s. 92D)</w:t>
      </w:r>
      <w:r>
        <w:tab/>
      </w:r>
      <w:r>
        <w:fldChar w:fldCharType="begin"/>
      </w:r>
      <w:r>
        <w:instrText xml:space="preserve"> PAGEREF _Toc156559765 \h </w:instrText>
      </w:r>
      <w:r>
        <w:fldChar w:fldCharType="separate"/>
      </w:r>
      <w:r>
        <w:t>77</w:t>
      </w:r>
      <w:r>
        <w:fldChar w:fldCharType="end"/>
      </w:r>
    </w:p>
    <w:p>
      <w:pPr>
        <w:pStyle w:val="TOC8"/>
        <w:rPr>
          <w:rFonts w:asciiTheme="minorHAnsi" w:eastAsiaTheme="minorEastAsia" w:hAnsiTheme="minorHAnsi" w:cstheme="minorBidi"/>
          <w:szCs w:val="22"/>
        </w:rPr>
      </w:pPr>
      <w:r>
        <w:t>36.</w:t>
      </w:r>
      <w:r>
        <w:tab/>
        <w:t>Ways prescribed of disposing of thing forfeited to Crown</w:t>
      </w:r>
      <w:r>
        <w:rPr>
          <w:snapToGrid w:val="0"/>
        </w:rPr>
        <w:t xml:space="preserve"> (Act s. 99W(1))</w:t>
      </w:r>
      <w:r>
        <w:tab/>
      </w:r>
      <w:r>
        <w:fldChar w:fldCharType="begin"/>
      </w:r>
      <w:r>
        <w:instrText xml:space="preserve"> PAGEREF _Toc156559766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11 — Modified penalties and Tier 2 offences</w:t>
      </w:r>
    </w:p>
    <w:p>
      <w:pPr>
        <w:pStyle w:val="TOC8"/>
        <w:rPr>
          <w:rFonts w:asciiTheme="minorHAnsi" w:eastAsiaTheme="minorEastAsia" w:hAnsiTheme="minorHAnsi" w:cstheme="minorBidi"/>
          <w:szCs w:val="22"/>
        </w:rPr>
      </w:pPr>
      <w:r>
        <w:t>37.</w:t>
      </w:r>
      <w:r>
        <w:tab/>
        <w:t>Form of modified penalty notice prescribed (Act s. 99B(1))</w:t>
      </w:r>
      <w:r>
        <w:tab/>
      </w:r>
      <w:r>
        <w:fldChar w:fldCharType="begin"/>
      </w:r>
      <w:r>
        <w:instrText xml:space="preserve"> PAGEREF _Toc156559768 \h </w:instrText>
      </w:r>
      <w:r>
        <w:fldChar w:fldCharType="separate"/>
      </w:r>
      <w:r>
        <w:t>79</w:t>
      </w:r>
      <w:r>
        <w:fldChar w:fldCharType="end"/>
      </w:r>
    </w:p>
    <w:p>
      <w:pPr>
        <w:pStyle w:val="TOC8"/>
        <w:rPr>
          <w:rFonts w:asciiTheme="minorHAnsi" w:eastAsiaTheme="minorEastAsia" w:hAnsiTheme="minorHAnsi" w:cstheme="minorBidi"/>
          <w:szCs w:val="22"/>
        </w:rPr>
      </w:pPr>
      <w:r>
        <w:t>38.</w:t>
      </w:r>
      <w:r>
        <w:tab/>
        <w:t>Form of notice of withdrawal prescribed (Act s. 99D(1))</w:t>
      </w:r>
      <w:r>
        <w:tab/>
      </w:r>
      <w:r>
        <w:fldChar w:fldCharType="begin"/>
      </w:r>
      <w:r>
        <w:instrText xml:space="preserve"> PAGEREF _Toc156559769 \h </w:instrText>
      </w:r>
      <w:r>
        <w:fldChar w:fldCharType="separate"/>
      </w:r>
      <w:r>
        <w:t>79</w:t>
      </w:r>
      <w:r>
        <w:fldChar w:fldCharType="end"/>
      </w:r>
    </w:p>
    <w:p>
      <w:pPr>
        <w:pStyle w:val="TOC8"/>
        <w:rPr>
          <w:rFonts w:asciiTheme="minorHAnsi" w:eastAsiaTheme="minorEastAsia" w:hAnsiTheme="minorHAnsi" w:cstheme="minorBidi"/>
          <w:szCs w:val="22"/>
        </w:rPr>
      </w:pPr>
      <w:r>
        <w:t>39.</w:t>
      </w:r>
      <w:r>
        <w:tab/>
        <w:t>Particulars prescribed (Act s. 99E(3))</w:t>
      </w:r>
      <w:r>
        <w:tab/>
      </w:r>
      <w:r>
        <w:fldChar w:fldCharType="begin"/>
      </w:r>
      <w:r>
        <w:instrText xml:space="preserve"> PAGEREF _Toc156559770 \h </w:instrText>
      </w:r>
      <w:r>
        <w:fldChar w:fldCharType="separate"/>
      </w:r>
      <w:r>
        <w:t>79</w:t>
      </w:r>
      <w:r>
        <w:fldChar w:fldCharType="end"/>
      </w:r>
    </w:p>
    <w:p>
      <w:pPr>
        <w:pStyle w:val="TOC8"/>
        <w:rPr>
          <w:rFonts w:asciiTheme="minorHAnsi" w:eastAsiaTheme="minorEastAsia" w:hAnsiTheme="minorHAnsi" w:cstheme="minorBidi"/>
          <w:szCs w:val="22"/>
        </w:rPr>
      </w:pPr>
      <w:r>
        <w:t>40.</w:t>
      </w:r>
      <w:r>
        <w:tab/>
        <w:t>Where and when public may inspect register (Act s. 99F(2))</w:t>
      </w:r>
      <w:r>
        <w:tab/>
      </w:r>
      <w:r>
        <w:fldChar w:fldCharType="begin"/>
      </w:r>
      <w:r>
        <w:instrText xml:space="preserve"> PAGEREF _Toc156559771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12 — Infringement notices and offences</w:t>
      </w:r>
    </w:p>
    <w:p>
      <w:pPr>
        <w:pStyle w:val="TOC8"/>
        <w:rPr>
          <w:rFonts w:asciiTheme="minorHAnsi" w:eastAsiaTheme="minorEastAsia" w:hAnsiTheme="minorHAnsi" w:cstheme="minorBidi"/>
          <w:szCs w:val="22"/>
        </w:rPr>
      </w:pPr>
      <w:r>
        <w:t>41.</w:t>
      </w:r>
      <w:r>
        <w:tab/>
        <w:t>Infringement notice offences and modified penalties prescribed (Act s. 99H and 99K)</w:t>
      </w:r>
      <w:r>
        <w:tab/>
      </w:r>
      <w:r>
        <w:fldChar w:fldCharType="begin"/>
      </w:r>
      <w:r>
        <w:instrText xml:space="preserve"> PAGEREF _Toc156559773 \h </w:instrText>
      </w:r>
      <w:r>
        <w:fldChar w:fldCharType="separate"/>
      </w:r>
      <w:r>
        <w:t>81</w:t>
      </w:r>
      <w:r>
        <w:fldChar w:fldCharType="end"/>
      </w:r>
    </w:p>
    <w:p>
      <w:pPr>
        <w:pStyle w:val="TOC8"/>
        <w:rPr>
          <w:rFonts w:asciiTheme="minorHAnsi" w:eastAsiaTheme="minorEastAsia" w:hAnsiTheme="minorHAnsi" w:cstheme="minorBidi"/>
          <w:szCs w:val="22"/>
        </w:rPr>
      </w:pPr>
      <w:r>
        <w:t>42.</w:t>
      </w:r>
      <w:r>
        <w:tab/>
        <w:t>Form of infringement notice prescribed (Act s. 99K(1))</w:t>
      </w:r>
      <w:r>
        <w:tab/>
      </w:r>
      <w:r>
        <w:fldChar w:fldCharType="begin"/>
      </w:r>
      <w:r>
        <w:instrText xml:space="preserve"> PAGEREF _Toc156559774 \h </w:instrText>
      </w:r>
      <w:r>
        <w:fldChar w:fldCharType="separate"/>
      </w:r>
      <w:r>
        <w:t>82</w:t>
      </w:r>
      <w:r>
        <w:fldChar w:fldCharType="end"/>
      </w:r>
    </w:p>
    <w:p>
      <w:pPr>
        <w:pStyle w:val="TOC8"/>
        <w:rPr>
          <w:rFonts w:asciiTheme="minorHAnsi" w:eastAsiaTheme="minorEastAsia" w:hAnsiTheme="minorHAnsi" w:cstheme="minorBidi"/>
          <w:szCs w:val="22"/>
        </w:rPr>
      </w:pPr>
      <w:r>
        <w:t>43.</w:t>
      </w:r>
      <w:r>
        <w:tab/>
        <w:t>Form of notice of withdrawal prescribed (Act s. 99N(1))</w:t>
      </w:r>
      <w:r>
        <w:tab/>
      </w:r>
      <w:r>
        <w:fldChar w:fldCharType="begin"/>
      </w:r>
      <w:r>
        <w:instrText xml:space="preserve"> PAGEREF _Toc156559775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w:t>
      </w:r>
    </w:p>
    <w:p>
      <w:pPr>
        <w:pStyle w:val="TOC8"/>
        <w:rPr>
          <w:rFonts w:asciiTheme="minorHAnsi" w:eastAsiaTheme="minorEastAsia" w:hAnsiTheme="minorHAnsi" w:cstheme="minorBidi"/>
          <w:szCs w:val="22"/>
        </w:rPr>
      </w:pPr>
      <w:r>
        <w:t>44.</w:t>
      </w:r>
      <w:r>
        <w:tab/>
        <w:t>Maximum amount prescribed (Act s. 99Y(1))</w:t>
      </w:r>
      <w:r>
        <w:tab/>
      </w:r>
      <w:r>
        <w:fldChar w:fldCharType="begin"/>
      </w:r>
      <w:r>
        <w:instrText xml:space="preserve"> PAGEREF _Toc156559777 \h </w:instrText>
      </w:r>
      <w:r>
        <w:fldChar w:fldCharType="separate"/>
      </w:r>
      <w:r>
        <w:t>83</w:t>
      </w:r>
      <w:r>
        <w:fldChar w:fldCharType="end"/>
      </w:r>
    </w:p>
    <w:p>
      <w:pPr>
        <w:pStyle w:val="TOC8"/>
        <w:rPr>
          <w:rFonts w:asciiTheme="minorHAnsi" w:eastAsiaTheme="minorEastAsia" w:hAnsiTheme="minorHAnsi" w:cstheme="minorBidi"/>
          <w:szCs w:val="22"/>
        </w:rPr>
      </w:pPr>
      <w:r>
        <w:t>45.</w:t>
      </w:r>
      <w:r>
        <w:tab/>
        <w:t>Image data sources (Act s. 116B(1))</w:t>
      </w:r>
      <w:r>
        <w:tab/>
      </w:r>
      <w:r>
        <w:fldChar w:fldCharType="begin"/>
      </w:r>
      <w:r>
        <w:instrText xml:space="preserve"> PAGEREF _Toc156559778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premises</w:t>
      </w:r>
    </w:p>
    <w:p>
      <w:pPr>
        <w:pStyle w:val="TOC2"/>
        <w:tabs>
          <w:tab w:val="right" w:leader="dot" w:pos="7077"/>
        </w:tabs>
        <w:rPr>
          <w:rFonts w:asciiTheme="minorHAnsi" w:eastAsiaTheme="minorEastAsia" w:hAnsiTheme="minorHAnsi" w:cstheme="minorBidi"/>
          <w:b w:val="0"/>
          <w:sz w:val="22"/>
          <w:szCs w:val="22"/>
        </w:rPr>
      </w:pPr>
      <w:r>
        <w:t>Schedule 3 — Works approval fee</w:t>
      </w:r>
    </w:p>
    <w:p>
      <w:pPr>
        <w:pStyle w:val="TOC2"/>
        <w:tabs>
          <w:tab w:val="right" w:leader="dot" w:pos="7077"/>
        </w:tabs>
        <w:rPr>
          <w:rFonts w:asciiTheme="minorHAnsi" w:eastAsiaTheme="minorEastAsia" w:hAnsiTheme="minorHAnsi" w:cstheme="minorBidi"/>
          <w:b w:val="0"/>
          <w:sz w:val="22"/>
          <w:szCs w:val="22"/>
        </w:rPr>
      </w:pPr>
      <w:r>
        <w:t>Schedule 4 — Licence fee</w:t>
      </w:r>
    </w:p>
    <w:p>
      <w:pPr>
        <w:pStyle w:val="TOC4"/>
        <w:tabs>
          <w:tab w:val="right" w:leader="dot" w:pos="7077"/>
        </w:tabs>
        <w:rPr>
          <w:rFonts w:asciiTheme="minorHAnsi" w:eastAsiaTheme="minorEastAsia" w:hAnsiTheme="minorHAnsi" w:cstheme="minorBidi"/>
          <w:b w:val="0"/>
          <w:szCs w:val="22"/>
        </w:rPr>
      </w:pPr>
      <w:r>
        <w:t>Part 1 — Premises component</w:t>
      </w:r>
    </w:p>
    <w:p>
      <w:pPr>
        <w:pStyle w:val="TOC4"/>
        <w:keepNext w:val="0"/>
        <w:tabs>
          <w:tab w:val="right" w:leader="dot" w:pos="7077"/>
        </w:tabs>
        <w:rPr>
          <w:rFonts w:asciiTheme="minorHAnsi" w:eastAsiaTheme="minorEastAsia" w:hAnsiTheme="minorHAnsi" w:cstheme="minorBidi"/>
          <w:b w:val="0"/>
          <w:szCs w:val="22"/>
        </w:rPr>
      </w:pPr>
      <w:r>
        <w:t>Part 2 — Part 2 waste</w:t>
      </w:r>
    </w:p>
    <w:p>
      <w:pPr>
        <w:pStyle w:val="TOC4"/>
        <w:keepNext w:val="0"/>
        <w:tabs>
          <w:tab w:val="right" w:leader="dot" w:pos="7077"/>
        </w:tabs>
        <w:rPr>
          <w:rFonts w:asciiTheme="minorHAnsi" w:eastAsiaTheme="minorEastAsia" w:hAnsiTheme="minorHAnsi" w:cstheme="minorBidi"/>
          <w:b w:val="0"/>
          <w:szCs w:val="22"/>
        </w:rPr>
      </w:pPr>
      <w:r>
        <w:lastRenderedPageBreak/>
        <w:t>Part 3 — Discharge component</w:t>
      </w:r>
    </w:p>
    <w:p>
      <w:pPr>
        <w:pStyle w:val="TOC2"/>
        <w:tabs>
          <w:tab w:val="right" w:leader="dot" w:pos="7077"/>
        </w:tabs>
        <w:rPr>
          <w:rFonts w:asciiTheme="minorHAnsi" w:eastAsiaTheme="minorEastAsia" w:hAnsiTheme="minorHAnsi" w:cstheme="minorBidi"/>
          <w:b w:val="0"/>
          <w:sz w:val="22"/>
          <w:szCs w:val="22"/>
        </w:rPr>
      </w:pPr>
      <w:r>
        <w:t>Schedule 5 — Tyre landfill exclusion zone</w:t>
      </w:r>
    </w:p>
    <w:p>
      <w:pPr>
        <w:pStyle w:val="TOC4"/>
        <w:tabs>
          <w:tab w:val="right" w:leader="dot" w:pos="7077"/>
        </w:tabs>
        <w:rPr>
          <w:rFonts w:asciiTheme="minorHAnsi" w:eastAsiaTheme="minorEastAsia" w:hAnsiTheme="minorHAnsi" w:cstheme="minorBidi"/>
          <w:b w:val="0"/>
          <w:szCs w:val="22"/>
        </w:rPr>
      </w:pPr>
      <w:r>
        <w:t>Part 1 — Metropolitan</w:t>
      </w:r>
    </w:p>
    <w:p>
      <w:pPr>
        <w:pStyle w:val="TOC4"/>
        <w:tabs>
          <w:tab w:val="right" w:leader="dot" w:pos="7077"/>
        </w:tabs>
        <w:rPr>
          <w:rFonts w:asciiTheme="minorHAnsi" w:eastAsiaTheme="minorEastAsia" w:hAnsiTheme="minorHAnsi" w:cstheme="minorBidi"/>
          <w:b w:val="0"/>
          <w:szCs w:val="22"/>
        </w:rPr>
      </w:pPr>
      <w:r>
        <w:t>Part 2 — Country</w:t>
      </w:r>
    </w:p>
    <w:p>
      <w:pPr>
        <w:pStyle w:val="TOC2"/>
        <w:tabs>
          <w:tab w:val="right" w:leader="dot" w:pos="7077"/>
        </w:tabs>
        <w:rPr>
          <w:rFonts w:asciiTheme="minorHAnsi" w:eastAsiaTheme="minorEastAsia" w:hAnsiTheme="minorHAnsi" w:cstheme="minorBidi"/>
          <w:b w:val="0"/>
          <w:sz w:val="22"/>
          <w:szCs w:val="22"/>
        </w:rPr>
      </w:pPr>
      <w:r>
        <w:t>Schedule 5A — Areas where burning matter on or from development sites is prohibited</w:t>
      </w:r>
    </w:p>
    <w:p>
      <w:pPr>
        <w:pStyle w:val="TOC8"/>
        <w:rPr>
          <w:rFonts w:asciiTheme="minorHAnsi" w:eastAsiaTheme="minorEastAsia" w:hAnsiTheme="minorHAnsi" w:cstheme="minorBidi"/>
          <w:szCs w:val="22"/>
        </w:rPr>
      </w:pPr>
      <w:r>
        <w:t>1.</w:t>
      </w:r>
      <w:r>
        <w:tab/>
        <w:t>Perth metropolitan area</w:t>
      </w:r>
      <w:r>
        <w:tab/>
      </w:r>
      <w:r>
        <w:fldChar w:fldCharType="begin"/>
      </w:r>
      <w:r>
        <w:instrText xml:space="preserve"> PAGEREF _Toc156559789 \h </w:instrText>
      </w:r>
      <w:r>
        <w:fldChar w:fldCharType="separate"/>
      </w:r>
      <w:r>
        <w:t>113</w:t>
      </w:r>
      <w:r>
        <w:fldChar w:fldCharType="end"/>
      </w:r>
    </w:p>
    <w:p>
      <w:pPr>
        <w:pStyle w:val="TOC8"/>
        <w:rPr>
          <w:rFonts w:asciiTheme="minorHAnsi" w:eastAsiaTheme="minorEastAsia" w:hAnsiTheme="minorHAnsi" w:cstheme="minorBidi"/>
          <w:szCs w:val="22"/>
        </w:rPr>
      </w:pPr>
      <w:r>
        <w:t>2.</w:t>
      </w:r>
      <w:r>
        <w:tab/>
        <w:t>Mandurah area</w:t>
      </w:r>
      <w:r>
        <w:tab/>
      </w:r>
      <w:r>
        <w:fldChar w:fldCharType="begin"/>
      </w:r>
      <w:r>
        <w:instrText xml:space="preserve"> PAGEREF _Toc156559790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Schedule 6 — Infringement notice offences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_Toc156559794 \h </w:instrText>
      </w:r>
      <w:r>
        <w:fldChar w:fldCharType="separate"/>
      </w:r>
      <w:r>
        <w:t>131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_Toc156559795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spacing w:before="600" w:after="720"/>
      </w:pPr>
      <w:r>
        <w:t>Environmental Protection Regulations 1987</w:t>
      </w:r>
    </w:p>
    <w:p>
      <w:pPr>
        <w:pStyle w:val="Heading2"/>
        <w:pageBreakBefore w:val="0"/>
      </w:pPr>
      <w:bookmarkStart w:id="2" w:name="_Toc156549249"/>
      <w:bookmarkStart w:id="3" w:name="_Toc156551228"/>
      <w:bookmarkStart w:id="4" w:name="_Toc156551361"/>
      <w:bookmarkStart w:id="5" w:name="_Toc156552152"/>
      <w:bookmarkStart w:id="6" w:name="_Toc15655966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Footnoteheading"/>
        <w:rPr>
          <w:snapToGrid w:val="0"/>
        </w:rPr>
      </w:pPr>
      <w:r>
        <w:rPr>
          <w:snapToGrid w:val="0"/>
        </w:rPr>
        <w:tab/>
        <w:t>[Heading inserted: Gazette 13 Sep 1996 p. 4545.]</w:t>
      </w:r>
    </w:p>
    <w:p>
      <w:pPr>
        <w:pStyle w:val="Heading5"/>
        <w:spacing w:before="180"/>
        <w:rPr>
          <w:snapToGrid w:val="0"/>
        </w:rPr>
      </w:pPr>
      <w:bookmarkStart w:id="7" w:name="_Toc156559665"/>
      <w:r>
        <w:rPr>
          <w:rStyle w:val="CharSectno"/>
        </w:rPr>
        <w:t>1</w:t>
      </w:r>
      <w:r>
        <w:rPr>
          <w:snapToGrid w:val="0"/>
        </w:rPr>
        <w:t>.</w:t>
      </w:r>
      <w:r>
        <w:rPr>
          <w:snapToGrid w:val="0"/>
        </w:rPr>
        <w:tab/>
        <w:t>Citation</w:t>
      </w:r>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w:t>
      </w:r>
    </w:p>
    <w:p>
      <w:pPr>
        <w:pStyle w:val="Heading5"/>
        <w:spacing w:before="180"/>
        <w:rPr>
          <w:snapToGrid w:val="0"/>
        </w:rPr>
      </w:pPr>
      <w:bookmarkStart w:id="8" w:name="_Toc156559666"/>
      <w:r>
        <w:rPr>
          <w:rStyle w:val="CharSectno"/>
        </w:rPr>
        <w:t>2</w:t>
      </w:r>
      <w:r>
        <w:rPr>
          <w:snapToGrid w:val="0"/>
        </w:rPr>
        <w:t>.</w:t>
      </w:r>
      <w:r>
        <w:rPr>
          <w:snapToGrid w:val="0"/>
        </w:rPr>
        <w:tab/>
        <w:t>Commencement</w:t>
      </w:r>
      <w:bookmarkEnd w:id="8"/>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p>
    <w:p>
      <w:pPr>
        <w:pStyle w:val="Footnotesection"/>
      </w:pPr>
      <w:r>
        <w:tab/>
        <w:t>[Regulation 2 amended: Gazette 28 Jun 2016 p. 2631.]</w:t>
      </w:r>
    </w:p>
    <w:p>
      <w:pPr>
        <w:pStyle w:val="Heading5"/>
        <w:spacing w:before="180"/>
      </w:pPr>
      <w:bookmarkStart w:id="9" w:name="_Toc156559667"/>
      <w:r>
        <w:rPr>
          <w:rStyle w:val="CharSectno"/>
        </w:rPr>
        <w:t>2AA</w:t>
      </w:r>
      <w:r>
        <w:t>.</w:t>
      </w:r>
      <w:r>
        <w:tab/>
        <w:t>Terms used</w:t>
      </w:r>
      <w:bookmarkEnd w:id="9"/>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Perth, Western Australia;</w:t>
      </w:r>
    </w:p>
    <w:p>
      <w:pPr>
        <w:pStyle w:val="Defstart"/>
        <w:keepNext/>
      </w:pPr>
      <w:r>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[Regulation 2AA inserted: Gazette 29 Sep 2006 p. 4261; amended: Gazette 28 Jun 2016 p. 2629; 27 Apr 2018 p. 1389</w:t>
      </w:r>
      <w:r>
        <w:noBreakHyphen/>
        <w:t>90.]</w:t>
      </w:r>
    </w:p>
    <w:p>
      <w:pPr>
        <w:pStyle w:val="Heading2"/>
      </w:pPr>
      <w:bookmarkStart w:id="10" w:name="_Toc156549253"/>
      <w:bookmarkStart w:id="11" w:name="_Toc156551232"/>
      <w:bookmarkStart w:id="12" w:name="_Toc156551365"/>
      <w:bookmarkStart w:id="13" w:name="_Toc156552156"/>
      <w:bookmarkStart w:id="14" w:name="_Toc156559668"/>
      <w:r>
        <w:rPr>
          <w:rStyle w:val="CharPartNo"/>
        </w:rPr>
        <w:lastRenderedPageBreak/>
        <w:t>Part 2</w:t>
      </w:r>
      <w:r>
        <w:rPr>
          <w:rStyle w:val="CharDivNo"/>
        </w:rPr>
        <w:t> </w:t>
      </w:r>
      <w:r>
        <w:t>—</w:t>
      </w:r>
      <w:r>
        <w:rPr>
          <w:rStyle w:val="CharDivText"/>
        </w:rPr>
        <w:t> </w:t>
      </w:r>
      <w:r>
        <w:rPr>
          <w:rStyle w:val="CharPartText"/>
        </w:rPr>
        <w:t>Administrative matters</w:t>
      </w:r>
      <w:bookmarkEnd w:id="10"/>
      <w:bookmarkEnd w:id="11"/>
      <w:bookmarkEnd w:id="12"/>
      <w:bookmarkEnd w:id="13"/>
      <w:bookmarkEnd w:id="14"/>
    </w:p>
    <w:p>
      <w:pPr>
        <w:pStyle w:val="Footnoteheading"/>
        <w:rPr>
          <w:snapToGrid w:val="0"/>
        </w:rPr>
      </w:pPr>
      <w:r>
        <w:rPr>
          <w:snapToGrid w:val="0"/>
        </w:rPr>
        <w:tab/>
        <w:t>[Heading inserted: Gazette 13 Sep 1996 p. 4545.]</w:t>
      </w:r>
    </w:p>
    <w:p>
      <w:pPr>
        <w:pStyle w:val="Heading5"/>
        <w:spacing w:before="180"/>
        <w:rPr>
          <w:snapToGrid w:val="0"/>
        </w:rPr>
      </w:pPr>
      <w:bookmarkStart w:id="15" w:name="_Toc156559669"/>
      <w:r>
        <w:rPr>
          <w:rStyle w:val="CharSectno"/>
        </w:rPr>
        <w:t>2A</w:t>
      </w:r>
      <w:r>
        <w:rPr>
          <w:snapToGrid w:val="0"/>
        </w:rPr>
        <w:t>.</w:t>
      </w:r>
      <w:r>
        <w:rPr>
          <w:snapToGrid w:val="0"/>
        </w:rPr>
        <w:tab/>
        <w:t>Draft policies, where and when public may inspect (Act s. 26(1)(d))</w:t>
      </w:r>
      <w:bookmarkEnd w:id="15"/>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Gazette 5 May 1989 p. 1379; amended: Gazette 24 Jan 1992 p. 362; 11 Dec 1998 p. 6598; 29 Sep 2006 p. 4261; 28 Jun 2016 p. 2629</w:t>
      </w:r>
      <w:r>
        <w:noBreakHyphen/>
        <w:t>30.]</w:t>
      </w:r>
    </w:p>
    <w:p>
      <w:pPr>
        <w:pStyle w:val="Heading5"/>
      </w:pPr>
      <w:bookmarkStart w:id="16" w:name="_Toc156559670"/>
      <w:r>
        <w:rPr>
          <w:rStyle w:val="CharSectno"/>
        </w:rPr>
        <w:t>2B</w:t>
      </w:r>
      <w:r>
        <w:t>.</w:t>
      </w:r>
      <w:r>
        <w:tab/>
        <w:t>Publication of Authority minutes and records</w:t>
      </w:r>
      <w:bookmarkEnd w:id="16"/>
    </w:p>
    <w:p>
      <w:pPr>
        <w:pStyle w:val="Subsection"/>
        <w:keepNext/>
      </w:pPr>
      <w:r>
        <w:tab/>
        <w:t>(1)</w:t>
      </w:r>
      <w:r>
        <w:tab/>
        <w:t>In this regulation —</w:t>
      </w:r>
    </w:p>
    <w:p>
      <w:pPr>
        <w:pStyle w:val="Defstart"/>
      </w:pPr>
      <w:r>
        <w:tab/>
      </w:r>
      <w:r>
        <w:rPr>
          <w:rStyle w:val="CharDefText"/>
        </w:rPr>
        <w:t>exempt matter</w:t>
      </w:r>
      <w:r>
        <w:t xml:space="preserve"> means matter that is exempt under the </w:t>
      </w:r>
      <w:r>
        <w:rPr>
          <w:i/>
        </w:rPr>
        <w:t>Freedom of Information Act 1992</w:t>
      </w:r>
      <w:r>
        <w:t xml:space="preserve"> Schedule 1;</w:t>
      </w:r>
    </w:p>
    <w:p>
      <w:pPr>
        <w:pStyle w:val="Defstart"/>
      </w:pPr>
      <w:r>
        <w:lastRenderedPageBreak/>
        <w:tab/>
      </w:r>
      <w:r>
        <w:rPr>
          <w:rStyle w:val="CharDefText"/>
        </w:rPr>
        <w:t>minute</w:t>
      </w:r>
      <w:r>
        <w:t xml:space="preserve"> means a minute of proceedings of a meeting of the Authority;</w:t>
      </w:r>
    </w:p>
    <w:p>
      <w:pPr>
        <w:pStyle w:val="Defstart"/>
      </w:pPr>
      <w:r>
        <w:tab/>
      </w:r>
      <w:r>
        <w:rPr>
          <w:rStyle w:val="CharDefText"/>
        </w:rPr>
        <w:t>record</w:t>
      </w:r>
      <w:r>
        <w:t xml:space="preserve"> means a record kept under section 14A(7) of the Act.</w:t>
      </w:r>
    </w:p>
    <w:p>
      <w:pPr>
        <w:pStyle w:val="Subsection"/>
        <w:keepNext/>
      </w:pPr>
      <w:r>
        <w:tab/>
        <w:t>(2)</w:t>
      </w:r>
      <w:r>
        <w:tab/>
        <w:t>Subject to subregulation (4), the Authority must —</w:t>
      </w:r>
    </w:p>
    <w:p>
      <w:pPr>
        <w:pStyle w:val="Indenta"/>
      </w:pPr>
      <w:r>
        <w:tab/>
        <w:t>(a)</w:t>
      </w:r>
      <w:r>
        <w:tab/>
        <w:t>cause a minute to be published within 6 months after the date of the meeting to which the minute relates; and</w:t>
      </w:r>
    </w:p>
    <w:p>
      <w:pPr>
        <w:pStyle w:val="Indenta"/>
      </w:pPr>
      <w:r>
        <w:tab/>
        <w:t>(b)</w:t>
      </w:r>
      <w:r>
        <w:tab/>
        <w:t>cause a record to be published within 6 months after the date of the decision to which the record relates.</w:t>
      </w:r>
    </w:p>
    <w:p>
      <w:pPr>
        <w:pStyle w:val="Subsection"/>
      </w:pPr>
      <w:r>
        <w:tab/>
        <w:t>(3)</w:t>
      </w:r>
      <w:r>
        <w:tab/>
        <w:t>The Authority may determine that a minute or record, or a part of a minute or record, contains exempt matter.</w:t>
      </w:r>
    </w:p>
    <w:p>
      <w:pPr>
        <w:pStyle w:val="Subsection"/>
      </w:pPr>
      <w:r>
        <w:tab/>
        <w:t>(4)</w:t>
      </w:r>
      <w:r>
        <w:tab/>
        <w:t>The Authority must not publish a minute or record, or a part of a minute or record, that is the subject of a determination under subregulation (3).</w:t>
      </w:r>
    </w:p>
    <w:p>
      <w:pPr>
        <w:pStyle w:val="Subsection"/>
        <w:keepNext/>
      </w:pPr>
      <w:r>
        <w:tab/>
        <w:t>(5)</w:t>
      </w:r>
      <w:r>
        <w:tab/>
        <w:t>The Authority may revoke a determination made under subregulation (3).</w:t>
      </w:r>
    </w:p>
    <w:p>
      <w:pPr>
        <w:pStyle w:val="Footnotesection"/>
      </w:pPr>
      <w:r>
        <w:tab/>
        <w:t>[Regulation 2B inserted: SL 2021/178 r. 9.]</w:t>
      </w:r>
    </w:p>
    <w:p>
      <w:pPr>
        <w:pStyle w:val="Heading5"/>
      </w:pPr>
      <w:bookmarkStart w:id="17" w:name="_Toc156559671"/>
      <w:r>
        <w:rPr>
          <w:rStyle w:val="CharSectno"/>
        </w:rPr>
        <w:t>2C</w:t>
      </w:r>
      <w:r>
        <w:t>.</w:t>
      </w:r>
      <w:r>
        <w:tab/>
        <w:t>Proposals of prescribed class (Act s. 38)</w:t>
      </w:r>
      <w:bookmarkEnd w:id="17"/>
    </w:p>
    <w:p>
      <w:pPr>
        <w:pStyle w:val="Subsection"/>
        <w:keepNext/>
      </w:pPr>
      <w:r>
        <w:tab/>
        <w:t>(1)</w:t>
      </w:r>
      <w:r>
        <w:tab/>
        <w:t xml:space="preserve">In this regulation — </w:t>
      </w:r>
    </w:p>
    <w:p>
      <w:pPr>
        <w:pStyle w:val="Defstart"/>
      </w:pPr>
      <w:r>
        <w:tab/>
      </w:r>
      <w:r>
        <w:rPr>
          <w:rStyle w:val="CharDefText"/>
        </w:rPr>
        <w:t>existing petroleum authority area</w:t>
      </w:r>
      <w:r>
        <w:t xml:space="preserve"> has the meaning given in the </w:t>
      </w:r>
      <w:r>
        <w:rPr>
          <w:i/>
        </w:rPr>
        <w:t>Petroleum and Geothermal Energy Resources (Hydraulic Fracturing) Regulations 2017</w:t>
      </w:r>
      <w:r>
        <w:t xml:space="preserve"> regulation 3A;</w:t>
      </w:r>
    </w:p>
    <w:p>
      <w:pPr>
        <w:pStyle w:val="Defstart"/>
      </w:pPr>
      <w:r>
        <w:tab/>
      </w:r>
      <w:r>
        <w:rPr>
          <w:rStyle w:val="CharDefText"/>
        </w:rPr>
        <w:t>hydraulic fracturing</w:t>
      </w:r>
      <w:r>
        <w:t xml:space="preserve"> has the meaning given in the </w:t>
      </w:r>
      <w:r>
        <w:rPr>
          <w:i/>
        </w:rPr>
        <w:t>Petroleum and Geothermal Energy Resources (Hydraulic Fracturing) Regulations 2017</w:t>
      </w:r>
      <w:r>
        <w:t xml:space="preserve"> regulation 3;</w:t>
      </w:r>
    </w:p>
    <w:p>
      <w:pPr>
        <w:pStyle w:val="Defstart"/>
      </w:pPr>
      <w:r>
        <w:tab/>
      </w:r>
      <w:r>
        <w:rPr>
          <w:rStyle w:val="CharDefText"/>
        </w:rPr>
        <w:t>petroleum activity</w:t>
      </w:r>
      <w:r>
        <w:t xml:space="preserve"> has the meaning given in the PGER Environment Regulations regulation 4;</w:t>
      </w:r>
    </w:p>
    <w:p>
      <w:pPr>
        <w:pStyle w:val="Defstart"/>
      </w:pPr>
      <w:r>
        <w:tab/>
      </w:r>
      <w:r>
        <w:rPr>
          <w:rStyle w:val="CharDefText"/>
        </w:rPr>
        <w:t>PGER Environment Regulations</w:t>
      </w:r>
      <w:r>
        <w:t xml:space="preserve"> means the </w:t>
      </w:r>
      <w:r>
        <w:rPr>
          <w:i/>
        </w:rPr>
        <w:t>Petroleum and Geothermal Energy Resources (Environment) Regulations 2012</w:t>
      </w:r>
      <w:r>
        <w:t>.</w:t>
      </w:r>
    </w:p>
    <w:p>
      <w:pPr>
        <w:pStyle w:val="Subsection"/>
      </w:pPr>
      <w:r>
        <w:lastRenderedPageBreak/>
        <w:tab/>
        <w:t>(2)</w:t>
      </w:r>
      <w:r>
        <w:tab/>
        <w:t>For the purposes of section 38(5)(b) and (5c)(b) of the Act a proposal is of a prescribed class if it involves a significant discharge of waste into the environment.</w:t>
      </w:r>
    </w:p>
    <w:p>
      <w:pPr>
        <w:pStyle w:val="Subsection"/>
      </w:pPr>
      <w:r>
        <w:tab/>
        <w:t>(3)</w:t>
      </w:r>
      <w:r>
        <w:tab/>
        <w:t>For the purposes of section 38(5)(b) and (5c)(b) of the Act a proposal is of a prescribed class if it involves a significant emission of noise, odour or electromagnetic radiation into the environment.</w:t>
      </w:r>
    </w:p>
    <w:p>
      <w:pPr>
        <w:pStyle w:val="Subsection"/>
        <w:keepNext/>
      </w:pPr>
      <w:r>
        <w:tab/>
        <w:t>(4)</w:t>
      </w:r>
      <w:r>
        <w:tab/>
        <w:t xml:space="preserve">For the purposes of section 38(5)(b) and (5c)(b) of the Act a proposal is of a prescribed class if it involves a petroleum activity that — </w:t>
      </w:r>
    </w:p>
    <w:p>
      <w:pPr>
        <w:pStyle w:val="Indenta"/>
        <w:keepNext/>
      </w:pPr>
      <w:r>
        <w:tab/>
        <w:t>(a)</w:t>
      </w:r>
      <w:r>
        <w:tab/>
        <w:t xml:space="preserve">is the subject of — </w:t>
      </w:r>
    </w:p>
    <w:p>
      <w:pPr>
        <w:pStyle w:val="Indenti"/>
      </w:pPr>
      <w:r>
        <w:tab/>
        <w:t>(i)</w:t>
      </w:r>
      <w:r>
        <w:tab/>
        <w:t>an environment plan submitted under the PGER Environment Regulations regulation 9; or</w:t>
      </w:r>
    </w:p>
    <w:p>
      <w:pPr>
        <w:pStyle w:val="Indenti"/>
      </w:pPr>
      <w:r>
        <w:tab/>
        <w:t>(ii)</w:t>
      </w:r>
      <w:r>
        <w:tab/>
        <w:t>a revision of an environment plan submitted under the PGER Environment Regulations regulation 18, 19 or 20;</w:t>
      </w:r>
    </w:p>
    <w:p>
      <w:pPr>
        <w:pStyle w:val="Indenta"/>
      </w:pPr>
      <w:r>
        <w:tab/>
      </w:r>
      <w:r>
        <w:tab/>
        <w:t>and</w:t>
      </w:r>
    </w:p>
    <w:p>
      <w:pPr>
        <w:pStyle w:val="Indenta"/>
      </w:pPr>
      <w:r>
        <w:tab/>
        <w:t>(b)</w:t>
      </w:r>
      <w:r>
        <w:tab/>
        <w:t>is to be carried out in an existing petroleum authority area; and</w:t>
      </w:r>
    </w:p>
    <w:p>
      <w:pPr>
        <w:pStyle w:val="Indenta"/>
        <w:keepNext/>
      </w:pPr>
      <w:r>
        <w:tab/>
        <w:t>(c)</w:t>
      </w:r>
      <w:r>
        <w:tab/>
        <w:t>involves hydraulic fracturing.</w:t>
      </w:r>
    </w:p>
    <w:p>
      <w:pPr>
        <w:pStyle w:val="Footnotesection"/>
      </w:pPr>
      <w:r>
        <w:tab/>
        <w:t>[Regulation 2C inserted: SL 2020/114 r. 4.]</w:t>
      </w:r>
    </w:p>
    <w:p>
      <w:pPr>
        <w:pStyle w:val="Heading5"/>
      </w:pPr>
      <w:bookmarkStart w:id="18" w:name="_Toc156559672"/>
      <w:r>
        <w:rPr>
          <w:rStyle w:val="CharSectno"/>
        </w:rPr>
        <w:t>3</w:t>
      </w:r>
      <w:r>
        <w:t>.</w:t>
      </w:r>
      <w:r>
        <w:tab/>
        <w:t>Details prescribed for records of referred proposals</w:t>
      </w:r>
      <w:bookmarkEnd w:id="18"/>
    </w:p>
    <w:p>
      <w:pPr>
        <w:pStyle w:val="Subsection"/>
        <w:keepNext/>
      </w:pPr>
      <w:r>
        <w:tab/>
      </w:r>
      <w:r>
        <w:tab/>
        <w:t>The Authority must in a public record of a referred proposal kept under section 39 of the Act set out —</w:t>
      </w:r>
    </w:p>
    <w:p>
      <w:pPr>
        <w:pStyle w:val="Indenta"/>
      </w:pPr>
      <w:r>
        <w:tab/>
        <w:t>(a)</w:t>
      </w:r>
      <w:r>
        <w:tab/>
        <w:t>the title or number or other means of identification of the proposal; and</w:t>
      </w:r>
    </w:p>
    <w:p>
      <w:pPr>
        <w:pStyle w:val="Indenta"/>
        <w:keepNext/>
      </w:pPr>
      <w:r>
        <w:tab/>
        <w:t>(b)</w:t>
      </w:r>
      <w:r>
        <w:tab/>
        <w:t>the name of, or the office or position held or acted in by, the proponent of the proposal.</w:t>
      </w:r>
    </w:p>
    <w:p>
      <w:pPr>
        <w:pStyle w:val="Footnotesection"/>
      </w:pPr>
      <w:r>
        <w:tab/>
        <w:t>[Regulation 3 inserted: SL 2021/178 r. 10.]</w:t>
      </w:r>
    </w:p>
    <w:p>
      <w:pPr>
        <w:pStyle w:val="Heading2"/>
      </w:pPr>
      <w:bookmarkStart w:id="19" w:name="_Toc156549258"/>
      <w:bookmarkStart w:id="20" w:name="_Toc156551237"/>
      <w:bookmarkStart w:id="21" w:name="_Toc156551370"/>
      <w:bookmarkStart w:id="22" w:name="_Toc156552161"/>
      <w:bookmarkStart w:id="23" w:name="_Toc156559673"/>
      <w:r>
        <w:rPr>
          <w:rStyle w:val="CharPartNo"/>
        </w:rPr>
        <w:lastRenderedPageBreak/>
        <w:t>Part 2A</w:t>
      </w:r>
      <w:r>
        <w:t> — </w:t>
      </w:r>
      <w:r>
        <w:rPr>
          <w:rStyle w:val="CharPartText"/>
        </w:rPr>
        <w:t>Publication and confidentiality</w:t>
      </w:r>
      <w:bookmarkEnd w:id="19"/>
      <w:bookmarkEnd w:id="20"/>
      <w:bookmarkEnd w:id="21"/>
      <w:bookmarkEnd w:id="22"/>
      <w:bookmarkEnd w:id="23"/>
    </w:p>
    <w:p>
      <w:pPr>
        <w:pStyle w:val="Footnoteheading"/>
      </w:pPr>
      <w:r>
        <w:tab/>
        <w:t>[Heading inserted: SL 2021/178 r. 11.]</w:t>
      </w:r>
    </w:p>
    <w:p>
      <w:pPr>
        <w:pStyle w:val="Heading5"/>
      </w:pPr>
      <w:bookmarkStart w:id="24" w:name="_Toc156559674"/>
      <w:r>
        <w:rPr>
          <w:rStyle w:val="CharSectno"/>
        </w:rPr>
        <w:t>3A</w:t>
      </w:r>
      <w:r>
        <w:t>.</w:t>
      </w:r>
      <w:r>
        <w:tab/>
        <w:t>Terms used</w:t>
      </w:r>
      <w:bookmarkEnd w:id="24"/>
    </w:p>
    <w:p>
      <w:pPr>
        <w:pStyle w:val="Subsection"/>
      </w:pPr>
      <w:r>
        <w:tab/>
      </w:r>
      <w:r>
        <w:tab/>
        <w:t>In this Part each of the following terms has the meaning given in section 122B(1) of the Act —</w:t>
      </w:r>
    </w:p>
    <w:p>
      <w:pPr>
        <w:pStyle w:val="Defstart"/>
      </w:pPr>
      <w:r>
        <w:tab/>
      </w:r>
      <w:r>
        <w:rPr>
          <w:rStyle w:val="CharDefText"/>
        </w:rPr>
        <w:t>documentation</w:t>
      </w:r>
    </w:p>
    <w:p>
      <w:pPr>
        <w:pStyle w:val="Defstart"/>
      </w:pPr>
      <w:r>
        <w:tab/>
      </w:r>
      <w:r>
        <w:rPr>
          <w:rStyle w:val="CharDefText"/>
        </w:rPr>
        <w:t>publish</w:t>
      </w:r>
    </w:p>
    <w:p>
      <w:pPr>
        <w:pStyle w:val="Defstart"/>
      </w:pPr>
      <w:r>
        <w:tab/>
      </w:r>
      <w:r>
        <w:rPr>
          <w:rStyle w:val="CharDefText"/>
        </w:rPr>
        <w:t>submit</w:t>
      </w:r>
    </w:p>
    <w:p>
      <w:pPr>
        <w:pStyle w:val="Footnotesection"/>
      </w:pPr>
      <w:r>
        <w:tab/>
        <w:t>[Regulation 3A inserted: SL 2021/178 r. 11.]</w:t>
      </w:r>
    </w:p>
    <w:p>
      <w:pPr>
        <w:pStyle w:val="Heading5"/>
      </w:pPr>
      <w:bookmarkStart w:id="25" w:name="_Toc156559675"/>
      <w:r>
        <w:rPr>
          <w:rStyle w:val="CharSectno"/>
        </w:rPr>
        <w:t>3B</w:t>
      </w:r>
      <w:r>
        <w:t>.</w:t>
      </w:r>
      <w:r>
        <w:tab/>
        <w:t>Authority may keep documentation relating to proposals confidential on request</w:t>
      </w:r>
      <w:bookmarkEnd w:id="25"/>
    </w:p>
    <w:p>
      <w:pPr>
        <w:pStyle w:val="Subsection"/>
      </w:pPr>
      <w:r>
        <w:tab/>
        <w:t>(1)</w:t>
      </w:r>
      <w:r>
        <w:tab/>
        <w:t>In this regulation —</w:t>
      </w:r>
    </w:p>
    <w:p>
      <w:pPr>
        <w:pStyle w:val="Defstart"/>
      </w:pPr>
      <w:r>
        <w:tab/>
      </w:r>
      <w:r>
        <w:rPr>
          <w:rStyle w:val="CharDefText"/>
        </w:rPr>
        <w:t>confidential material</w:t>
      </w:r>
      <w:r>
        <w:t xml:space="preserve"> means either of the following —</w:t>
      </w:r>
    </w:p>
    <w:p>
      <w:pPr>
        <w:pStyle w:val="Defpara"/>
      </w:pPr>
      <w:r>
        <w:tab/>
        <w:t>(a)</w:t>
      </w:r>
      <w:r>
        <w:tab/>
        <w:t>trade secrets of a person;</w:t>
      </w:r>
    </w:p>
    <w:p>
      <w:pPr>
        <w:pStyle w:val="Defpara"/>
      </w:pPr>
      <w:r>
        <w:tab/>
        <w:t>(b)</w:t>
      </w:r>
      <w:r>
        <w:tab/>
        <w:t>confidential information (other than trade secrets) that has a commercial value to a person that would be, or could reasonably be expected to be, destroyed or diminished if the confidential information were published.</w:t>
      </w:r>
    </w:p>
    <w:p>
      <w:pPr>
        <w:pStyle w:val="Subsection"/>
      </w:pPr>
      <w:r>
        <w:tab/>
        <w:t>(2)</w:t>
      </w:r>
      <w:r>
        <w:tab/>
        <w:t xml:space="preserve">The proponent of a referred proposal or an approved proposal may, when submitting documentation to the Authority in relation to the proposal, request in writing that the Authority not publish the whole or part of the documentation (the </w:t>
      </w:r>
      <w:r>
        <w:rPr>
          <w:rStyle w:val="CharDefText"/>
        </w:rPr>
        <w:t>relevant documentation</w:t>
      </w:r>
      <w:r>
        <w:t>) because of the confidential nature of the relevant documentation.</w:t>
      </w:r>
    </w:p>
    <w:p>
      <w:pPr>
        <w:pStyle w:val="Subsection"/>
      </w:pPr>
      <w:r>
        <w:tab/>
        <w:t>(3)</w:t>
      </w:r>
      <w:r>
        <w:tab/>
        <w:t xml:space="preserve">If a request is made under subregulation (2) by electronic communication (as defined in the </w:t>
      </w:r>
      <w:r>
        <w:rPr>
          <w:i/>
        </w:rPr>
        <w:t>Electronic Transactions Act 2011</w:t>
      </w:r>
      <w:r>
        <w:t xml:space="preserve"> section 5(1)), the Authority must acknowledge receipt of the request in writing.</w:t>
      </w:r>
    </w:p>
    <w:p>
      <w:pPr>
        <w:pStyle w:val="Subsection"/>
        <w:keepNext/>
      </w:pPr>
      <w:r>
        <w:lastRenderedPageBreak/>
        <w:tab/>
        <w:t>(4)</w:t>
      </w:r>
      <w:r>
        <w:tab/>
        <w:t>On receipt of a request under subregulation (2) and, if subregulation (3) applies, after the Authority has acknowledged receipt of the request the Authority —</w:t>
      </w:r>
    </w:p>
    <w:p>
      <w:pPr>
        <w:pStyle w:val="Indenta"/>
      </w:pPr>
      <w:r>
        <w:tab/>
        <w:t>(a)</w:t>
      </w:r>
      <w:r>
        <w:tab/>
        <w:t>must, if satisfied that the whole or part of the relevant documentation contains confidential material, refrain from publishing that whole or part; and</w:t>
      </w:r>
    </w:p>
    <w:p>
      <w:pPr>
        <w:pStyle w:val="Indenta"/>
        <w:keepNext/>
      </w:pPr>
      <w:r>
        <w:tab/>
        <w:t>(b)</w:t>
      </w:r>
      <w:r>
        <w:tab/>
        <w:t>may refrain from publishing the whole or part of the relevant documentation if the Authority —</w:t>
      </w:r>
    </w:p>
    <w:p>
      <w:pPr>
        <w:pStyle w:val="Indenti"/>
      </w:pPr>
      <w:r>
        <w:tab/>
        <w:t>(i)</w:t>
      </w:r>
      <w:r>
        <w:tab/>
        <w:t>is not satisfied of the matters referred to in paragraph (a); but</w:t>
      </w:r>
    </w:p>
    <w:p>
      <w:pPr>
        <w:pStyle w:val="Indenti"/>
        <w:keepNext/>
      </w:pPr>
      <w:r>
        <w:tab/>
        <w:t>(ii)</w:t>
      </w:r>
      <w:r>
        <w:tab/>
        <w:t>is satisfied that it is desirable to refrain from publishing that whole or part because of the confidential nature of that whole or part.</w:t>
      </w:r>
    </w:p>
    <w:p>
      <w:pPr>
        <w:pStyle w:val="Footnotesection"/>
      </w:pPr>
      <w:r>
        <w:tab/>
        <w:t>[Regulation 3B inserted: SL 2021/178 r. 11.]</w:t>
      </w:r>
    </w:p>
    <w:p>
      <w:pPr>
        <w:pStyle w:val="Heading5"/>
      </w:pPr>
      <w:bookmarkStart w:id="26" w:name="_Toc156559676"/>
      <w:r>
        <w:rPr>
          <w:rStyle w:val="CharSectno"/>
        </w:rPr>
        <w:t>3C</w:t>
      </w:r>
      <w:r>
        <w:t>.</w:t>
      </w:r>
      <w:r>
        <w:tab/>
        <w:t>Authority must keep certain matters confidential</w:t>
      </w:r>
      <w:bookmarkEnd w:id="26"/>
    </w:p>
    <w:p>
      <w:pPr>
        <w:pStyle w:val="Subsection"/>
      </w:pPr>
      <w:r>
        <w:tab/>
        <w:t>(1)</w:t>
      </w:r>
      <w:r>
        <w:tab/>
        <w:t>The Authority must refrain from publishing any BSB number or bank account number contained in documentation submitted to the Authority in relation to a referred proposal or an approved proposal.</w:t>
      </w:r>
    </w:p>
    <w:p>
      <w:pPr>
        <w:pStyle w:val="Subsection"/>
        <w:keepNext/>
      </w:pPr>
      <w:r>
        <w:tab/>
        <w:t>(2)</w:t>
      </w:r>
      <w:r>
        <w:tab/>
        <w:t>Subregulation (1) applies whether or not a request has been made under regulation 3B(2).</w:t>
      </w:r>
    </w:p>
    <w:p>
      <w:pPr>
        <w:pStyle w:val="Footnotesection"/>
      </w:pPr>
      <w:r>
        <w:tab/>
        <w:t>[Regulation 3C inserted: SL 2021/178 r. 11.]</w:t>
      </w:r>
    </w:p>
    <w:p>
      <w:pPr>
        <w:pStyle w:val="Heading5"/>
      </w:pPr>
      <w:bookmarkStart w:id="27" w:name="_Toc156559677"/>
      <w:r>
        <w:rPr>
          <w:rStyle w:val="CharSectno"/>
        </w:rPr>
        <w:t>3D</w:t>
      </w:r>
      <w:r>
        <w:t>.</w:t>
      </w:r>
      <w:r>
        <w:tab/>
        <w:t>Authority may keep certain matters relating to proposals confidential</w:t>
      </w:r>
      <w:bookmarkEnd w:id="27"/>
    </w:p>
    <w:p>
      <w:pPr>
        <w:pStyle w:val="Subsection"/>
        <w:keepNext/>
      </w:pPr>
      <w:r>
        <w:tab/>
        <w:t>(1)</w:t>
      </w:r>
      <w:r>
        <w:tab/>
        <w:t>In this regulation —</w:t>
      </w:r>
    </w:p>
    <w:p>
      <w:pPr>
        <w:pStyle w:val="Defstart"/>
      </w:pPr>
      <w:r>
        <w:tab/>
      </w:r>
      <w:r>
        <w:rPr>
          <w:rStyle w:val="CharDefText"/>
        </w:rPr>
        <w:t>Aboriginal site</w:t>
      </w:r>
      <w:r>
        <w:t xml:space="preserve"> has the meaning given in the </w:t>
      </w:r>
      <w:r>
        <w:rPr>
          <w:i/>
        </w:rPr>
        <w:t>Aboriginal Heritage Act 1972</w:t>
      </w:r>
      <w:r>
        <w:t xml:space="preserve"> section 4;</w:t>
      </w:r>
    </w:p>
    <w:p>
      <w:pPr>
        <w:pStyle w:val="Defstart"/>
      </w:pPr>
      <w:r>
        <w:tab/>
      </w:r>
      <w:r>
        <w:rPr>
          <w:rStyle w:val="CharDefText"/>
        </w:rPr>
        <w:t>native species</w:t>
      </w:r>
      <w:r>
        <w:t xml:space="preserve"> has the meaning given in the </w:t>
      </w:r>
      <w:r>
        <w:rPr>
          <w:i/>
        </w:rPr>
        <w:t>Biodiversity Conservation Act 2016</w:t>
      </w:r>
      <w:r>
        <w:t xml:space="preserve"> section 5(1);</w:t>
      </w:r>
    </w:p>
    <w:p>
      <w:pPr>
        <w:pStyle w:val="Defstart"/>
        <w:keepNext/>
      </w:pPr>
      <w:r>
        <w:lastRenderedPageBreak/>
        <w:tab/>
      </w:r>
      <w:r>
        <w:rPr>
          <w:rStyle w:val="CharDefText"/>
        </w:rPr>
        <w:t>priority list</w:t>
      </w:r>
      <w:r>
        <w:t xml:space="preserve"> means either of the following —</w:t>
      </w:r>
    </w:p>
    <w:p>
      <w:pPr>
        <w:pStyle w:val="Defpara"/>
      </w:pPr>
      <w:r>
        <w:tab/>
        <w:t>(a)</w:t>
      </w:r>
      <w:r>
        <w:tab/>
        <w:t xml:space="preserve">the document titled “Threatened and Priority Flora List”, as retitled or amended from time to time, published by the department principally assisting in the administration of the </w:t>
      </w:r>
      <w:r>
        <w:rPr>
          <w:i/>
        </w:rPr>
        <w:t xml:space="preserve">Biodiversity Conservation Act 2016 </w:t>
      </w:r>
      <w:r>
        <w:t xml:space="preserve">(the </w:t>
      </w:r>
      <w:r>
        <w:rPr>
          <w:rStyle w:val="CharDefText"/>
        </w:rPr>
        <w:t>department</w:t>
      </w:r>
      <w:r>
        <w:t>) on its website;</w:t>
      </w:r>
    </w:p>
    <w:p>
      <w:pPr>
        <w:pStyle w:val="Defpara"/>
      </w:pPr>
      <w:r>
        <w:tab/>
        <w:t>(b)</w:t>
      </w:r>
      <w:r>
        <w:tab/>
        <w:t>the document titled “Threatened and Priority Fauna List”, as retitled or amended from time to time, published by the department on its website;</w:t>
      </w:r>
    </w:p>
    <w:p>
      <w:pPr>
        <w:pStyle w:val="Defstart"/>
      </w:pPr>
      <w:r>
        <w:tab/>
      </w:r>
      <w:r>
        <w:rPr>
          <w:rStyle w:val="CharDefText"/>
        </w:rPr>
        <w:t>species</w:t>
      </w:r>
      <w:r>
        <w:t xml:space="preserve"> has the meaning given in the </w:t>
      </w:r>
      <w:r>
        <w:rPr>
          <w:i/>
        </w:rPr>
        <w:t>Biodiversity Conservation Act 2016</w:t>
      </w:r>
      <w:r>
        <w:t xml:space="preserve"> section 5(1);</w:t>
      </w:r>
    </w:p>
    <w:p>
      <w:pPr>
        <w:pStyle w:val="Defstart"/>
      </w:pPr>
      <w:r>
        <w:tab/>
      </w:r>
      <w:r>
        <w:rPr>
          <w:rStyle w:val="CharDefText"/>
        </w:rPr>
        <w:t>threatened species</w:t>
      </w:r>
      <w:r>
        <w:t xml:space="preserve"> has the meaning given in the </w:t>
      </w:r>
      <w:r>
        <w:rPr>
          <w:i/>
        </w:rPr>
        <w:t>Biodiversity Conservation Act 2016</w:t>
      </w:r>
      <w:r>
        <w:t xml:space="preserve"> section 5(1).</w:t>
      </w:r>
    </w:p>
    <w:p>
      <w:pPr>
        <w:pStyle w:val="Subsection"/>
        <w:keepNext/>
      </w:pPr>
      <w:r>
        <w:tab/>
        <w:t>(2)</w:t>
      </w:r>
      <w:r>
        <w:tab/>
        <w:t>The Authority may at any time refrain from publishing any of the following information if it is confidential (whether or not a request has been made under regulation 3B(2)) —</w:t>
      </w:r>
    </w:p>
    <w:p>
      <w:pPr>
        <w:pStyle w:val="Indenta"/>
      </w:pPr>
      <w:r>
        <w:tab/>
        <w:t>(a)</w:t>
      </w:r>
      <w:r>
        <w:tab/>
        <w:t>personal information;</w:t>
      </w:r>
    </w:p>
    <w:p>
      <w:pPr>
        <w:pStyle w:val="Indenta"/>
        <w:keepNext/>
      </w:pPr>
      <w:r>
        <w:tab/>
        <w:t>(b)</w:t>
      </w:r>
      <w:r>
        <w:tab/>
        <w:t>the precise location of any of the following —</w:t>
      </w:r>
    </w:p>
    <w:p>
      <w:pPr>
        <w:pStyle w:val="Indenti"/>
      </w:pPr>
      <w:r>
        <w:tab/>
        <w:t>(i)</w:t>
      </w:r>
      <w:r>
        <w:tab/>
        <w:t>a threatened species;</w:t>
      </w:r>
    </w:p>
    <w:p>
      <w:pPr>
        <w:pStyle w:val="Indenti"/>
      </w:pPr>
      <w:r>
        <w:tab/>
        <w:t>(ii)</w:t>
      </w:r>
      <w:r>
        <w:tab/>
        <w:t>any other species listed, designated or declared as threatened, endangered or vulnerable under or for the purposes of a written law;</w:t>
      </w:r>
    </w:p>
    <w:p>
      <w:pPr>
        <w:pStyle w:val="Indenti"/>
      </w:pPr>
      <w:r>
        <w:tab/>
        <w:t>(iii)</w:t>
      </w:r>
      <w:r>
        <w:tab/>
        <w:t>a listed threatened species as defined in the Commonwealth Environment Act section 528;</w:t>
      </w:r>
    </w:p>
    <w:p>
      <w:pPr>
        <w:pStyle w:val="Indenti"/>
      </w:pPr>
      <w:r>
        <w:tab/>
        <w:t>(iv)</w:t>
      </w:r>
      <w:r>
        <w:tab/>
        <w:t>a species listed on a priority list;</w:t>
      </w:r>
    </w:p>
    <w:p>
      <w:pPr>
        <w:pStyle w:val="Indenti"/>
      </w:pPr>
      <w:r>
        <w:tab/>
        <w:t>(v)</w:t>
      </w:r>
      <w:r>
        <w:tab/>
        <w:t>a breeding area of a species referred to in subparagraphs (i) to (iv);</w:t>
      </w:r>
    </w:p>
    <w:p>
      <w:pPr>
        <w:pStyle w:val="Indenta"/>
        <w:keepNext/>
      </w:pPr>
      <w:r>
        <w:tab/>
        <w:t>(c)</w:t>
      </w:r>
      <w:r>
        <w:tab/>
        <w:t>the precise location of a population of a native species, or a breeding area of a native species, if the Authority considers that the survival of a population of the native species could be threatened by —</w:t>
      </w:r>
    </w:p>
    <w:p>
      <w:pPr>
        <w:pStyle w:val="Indenti"/>
      </w:pPr>
      <w:r>
        <w:tab/>
        <w:t>(i)</w:t>
      </w:r>
      <w:r>
        <w:tab/>
        <w:t>publishing that information; or</w:t>
      </w:r>
    </w:p>
    <w:p>
      <w:pPr>
        <w:pStyle w:val="Indenti"/>
      </w:pPr>
      <w:r>
        <w:lastRenderedPageBreak/>
        <w:tab/>
        <w:t>(ii)</w:t>
      </w:r>
      <w:r>
        <w:tab/>
        <w:t>the presence or actions of persons if that information were published;</w:t>
      </w:r>
    </w:p>
    <w:p>
      <w:pPr>
        <w:pStyle w:val="Indenta"/>
        <w:keepNext/>
      </w:pPr>
      <w:r>
        <w:tab/>
        <w:t>(d)</w:t>
      </w:r>
      <w:r>
        <w:tab/>
        <w:t>the precise location of an Aboriginal site, if the precise location of that site is identified in documentation provided to the Authority in relation to a referred proposal or an approved proposal.</w:t>
      </w:r>
    </w:p>
    <w:p>
      <w:pPr>
        <w:pStyle w:val="Footnotesection"/>
      </w:pPr>
      <w:r>
        <w:tab/>
        <w:t>[Regulation 3D inserted: SL 2021/178 r. 11; amended: SL 2023/50 r. 9; SL 2023/170 r. 9.]</w:t>
      </w:r>
    </w:p>
    <w:p>
      <w:pPr>
        <w:pStyle w:val="Heading2"/>
      </w:pPr>
      <w:bookmarkStart w:id="28" w:name="_Toc156549263"/>
      <w:bookmarkStart w:id="29" w:name="_Toc156551242"/>
      <w:bookmarkStart w:id="30" w:name="_Toc156551375"/>
      <w:bookmarkStart w:id="31" w:name="_Toc156552166"/>
      <w:bookmarkStart w:id="32" w:name="_Toc156559678"/>
      <w:r>
        <w:rPr>
          <w:rStyle w:val="CharPartNo"/>
        </w:rPr>
        <w:lastRenderedPageBreak/>
        <w:t>Part 3</w:t>
      </w:r>
      <w:r>
        <w:rPr>
          <w:rStyle w:val="CharDivNo"/>
        </w:rPr>
        <w:t> </w:t>
      </w:r>
      <w:r>
        <w:t>—</w:t>
      </w:r>
      <w:r>
        <w:rPr>
          <w:rStyle w:val="CharDivText"/>
        </w:rPr>
        <w:t> </w:t>
      </w:r>
      <w:r>
        <w:rPr>
          <w:rStyle w:val="CharPartText"/>
        </w:rPr>
        <w:t>Control of pollution generally</w:t>
      </w:r>
      <w:bookmarkEnd w:id="28"/>
      <w:bookmarkEnd w:id="29"/>
      <w:bookmarkEnd w:id="30"/>
      <w:bookmarkEnd w:id="31"/>
      <w:bookmarkEnd w:id="32"/>
    </w:p>
    <w:p>
      <w:pPr>
        <w:pStyle w:val="Footnoteheading"/>
        <w:rPr>
          <w:snapToGrid w:val="0"/>
        </w:rPr>
      </w:pPr>
      <w:r>
        <w:rPr>
          <w:snapToGrid w:val="0"/>
        </w:rPr>
        <w:tab/>
        <w:t>[Heading inserted: Gazette 13 Sep 1996 p. 4545.]</w:t>
      </w:r>
    </w:p>
    <w:p>
      <w:pPr>
        <w:pStyle w:val="Heading5"/>
        <w:spacing w:before="240"/>
        <w:rPr>
          <w:snapToGrid w:val="0"/>
        </w:rPr>
      </w:pPr>
      <w:bookmarkStart w:id="33" w:name="_Toc156559679"/>
      <w:r>
        <w:rPr>
          <w:rStyle w:val="CharSectno"/>
        </w:rPr>
        <w:t>4</w:t>
      </w:r>
      <w:r>
        <w:rPr>
          <w:snapToGrid w:val="0"/>
        </w:rPr>
        <w:t>.</w:t>
      </w:r>
      <w:r>
        <w:rPr>
          <w:snapToGrid w:val="0"/>
        </w:rPr>
        <w:tab/>
        <w:t>Terms used; amounts of units for fees</w:t>
      </w:r>
      <w:bookmarkEnd w:id="33"/>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lastRenderedPageBreak/>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w:t>
      </w:r>
      <w:r>
        <w:rPr>
          <w:snapToGrid w:val="0"/>
          <w:vertAlign w:val="superscript"/>
        </w:rPr>
        <w:t> 1</w:t>
      </w:r>
      <w:r>
        <w:rPr>
          <w:snapToGrid w:val="0"/>
        </w:rPr>
        <w:t>.</w:t>
      </w:r>
    </w:p>
    <w:p>
      <w:pPr>
        <w:pStyle w:val="Subsection"/>
      </w:pPr>
      <w:r>
        <w:tab/>
        <w:t>(5)</w:t>
      </w:r>
      <w:r>
        <w:tab/>
        <w:t>In regulations 5B, 5CB,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keepNext/>
      </w:pPr>
      <w:r>
        <w:tab/>
        <w:t>(6)</w:t>
      </w:r>
      <w:r>
        <w:tab/>
        <w:t xml:space="preserve">In Schedule 4 Part 1 fee amounts are expressed in units or fractions of a unit and, for a financial year, one unit is </w:t>
      </w:r>
      <w:r>
        <w:lastRenderedPageBreak/>
        <w:t>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30.40</w:t>
            </w:r>
          </w:p>
        </w:tc>
      </w:tr>
      <w:tr>
        <w:tc>
          <w:tcPr>
            <w:tcW w:w="4263" w:type="dxa"/>
          </w:tcPr>
          <w:p>
            <w:pPr>
              <w:pStyle w:val="TableNAm"/>
            </w:pPr>
            <w:r>
              <w:t>Beginning on 1 July 2014 and ending on 30 June 2015</w:t>
            </w:r>
          </w:p>
        </w:tc>
        <w:tc>
          <w:tcPr>
            <w:tcW w:w="1616" w:type="dxa"/>
            <w:vAlign w:val="bottom"/>
          </w:tcPr>
          <w:p>
            <w:pPr>
              <w:pStyle w:val="TableNAm"/>
              <w:jc w:val="center"/>
            </w:pPr>
            <w:r>
              <w:t>31.60</w:t>
            </w:r>
          </w:p>
        </w:tc>
      </w:tr>
      <w:tr>
        <w:tc>
          <w:tcPr>
            <w:tcW w:w="4263" w:type="dxa"/>
          </w:tcPr>
          <w:p>
            <w:pPr>
              <w:pStyle w:val="TableNAm"/>
            </w:pPr>
            <w:r>
              <w:t>Beginning on 1 July 2015 and ending on 30 June 2016</w:t>
            </w:r>
          </w:p>
        </w:tc>
        <w:tc>
          <w:tcPr>
            <w:tcW w:w="1616" w:type="dxa"/>
            <w:vAlign w:val="bottom"/>
          </w:tcPr>
          <w:p>
            <w:pPr>
              <w:pStyle w:val="TableNAm"/>
              <w:jc w:val="center"/>
            </w:pPr>
            <w:r>
              <w:t>32.90</w:t>
            </w:r>
          </w:p>
        </w:tc>
      </w:tr>
      <w:tr>
        <w:tc>
          <w:tcPr>
            <w:tcW w:w="4263" w:type="dxa"/>
          </w:tcPr>
          <w:p>
            <w:pPr>
              <w:pStyle w:val="TableNAm"/>
            </w:pPr>
            <w:r>
              <w:t>Beginning on 1 July 2016 and ending on 30 June 2017</w:t>
            </w:r>
          </w:p>
        </w:tc>
        <w:tc>
          <w:tcPr>
            <w:tcW w:w="1616" w:type="dxa"/>
            <w:vAlign w:val="bottom"/>
          </w:tcPr>
          <w:p>
            <w:pPr>
              <w:pStyle w:val="TableNAm"/>
              <w:jc w:val="center"/>
            </w:pPr>
            <w:r>
              <w:t>34.20</w:t>
            </w:r>
          </w:p>
        </w:tc>
      </w:tr>
      <w:tr>
        <w:tc>
          <w:tcPr>
            <w:tcW w:w="4263" w:type="dxa"/>
          </w:tcPr>
          <w:p>
            <w:pPr>
              <w:pStyle w:val="TableNAm"/>
            </w:pPr>
            <w:r>
              <w:t>Beginning on 1 July 2017 and ending on 30 June 2018</w:t>
            </w:r>
          </w:p>
        </w:tc>
        <w:tc>
          <w:tcPr>
            <w:tcW w:w="1616" w:type="dxa"/>
            <w:vAlign w:val="bottom"/>
          </w:tcPr>
          <w:p>
            <w:pPr>
              <w:pStyle w:val="TableNAm"/>
              <w:jc w:val="center"/>
            </w:pPr>
            <w:r>
              <w:t>35.60</w:t>
            </w:r>
          </w:p>
        </w:tc>
      </w:tr>
      <w:tr>
        <w:tc>
          <w:tcPr>
            <w:tcW w:w="4263" w:type="dxa"/>
          </w:tcPr>
          <w:p>
            <w:pPr>
              <w:pStyle w:val="TableNAm"/>
            </w:pPr>
            <w:r>
              <w:t>Beginning on 1 July 2018 and ending on 30 June 2022</w:t>
            </w:r>
          </w:p>
        </w:tc>
        <w:tc>
          <w:tcPr>
            <w:tcW w:w="1616" w:type="dxa"/>
            <w:vAlign w:val="bottom"/>
          </w:tcPr>
          <w:p>
            <w:pPr>
              <w:pStyle w:val="TableNAm"/>
              <w:jc w:val="center"/>
            </w:pPr>
            <w:r>
              <w:t>40.60</w:t>
            </w:r>
          </w:p>
        </w:tc>
      </w:tr>
      <w:tr>
        <w:tc>
          <w:tcPr>
            <w:tcW w:w="4263" w:type="dxa"/>
            <w:tcBorders>
              <w:bottom w:val="single" w:sz="4" w:space="0" w:color="auto"/>
            </w:tcBorders>
          </w:tcPr>
          <w:p>
            <w:pPr>
              <w:pStyle w:val="TableNAm"/>
            </w:pPr>
            <w:r>
              <w:t>On and from 1 July 2022</w:t>
            </w:r>
          </w:p>
        </w:tc>
        <w:tc>
          <w:tcPr>
            <w:tcW w:w="1616" w:type="dxa"/>
            <w:tcBorders>
              <w:bottom w:val="single" w:sz="4" w:space="0" w:color="auto"/>
            </w:tcBorders>
          </w:tcPr>
          <w:p>
            <w:pPr>
              <w:pStyle w:val="TableNAm"/>
              <w:jc w:val="center"/>
            </w:pPr>
            <w:r>
              <w:t>43.45</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vAlign w:val="bottom"/>
          </w:tcPr>
          <w:p>
            <w:pPr>
              <w:pStyle w:val="TableNAm"/>
              <w:jc w:val="center"/>
            </w:pPr>
            <w:r>
              <w:t>42.60</w:t>
            </w:r>
          </w:p>
        </w:tc>
      </w:tr>
      <w:tr>
        <w:tc>
          <w:tcPr>
            <w:tcW w:w="4263" w:type="dxa"/>
          </w:tcPr>
          <w:p>
            <w:pPr>
              <w:pStyle w:val="TableNAm"/>
            </w:pPr>
            <w:r>
              <w:t>Beginning on 1 July 2014 and ending on 30 June 2015</w:t>
            </w:r>
          </w:p>
        </w:tc>
        <w:tc>
          <w:tcPr>
            <w:tcW w:w="1616" w:type="dxa"/>
            <w:vAlign w:val="bottom"/>
          </w:tcPr>
          <w:p>
            <w:pPr>
              <w:pStyle w:val="TableNAm"/>
              <w:jc w:val="center"/>
            </w:pPr>
            <w:r>
              <w:t>44.30</w:t>
            </w:r>
          </w:p>
        </w:tc>
      </w:tr>
      <w:tr>
        <w:tc>
          <w:tcPr>
            <w:tcW w:w="4263" w:type="dxa"/>
          </w:tcPr>
          <w:p>
            <w:pPr>
              <w:pStyle w:val="TableNAm"/>
            </w:pPr>
            <w:r>
              <w:lastRenderedPageBreak/>
              <w:t>Beginning on 1 July 2015 and ending on 30 June 2016</w:t>
            </w:r>
          </w:p>
        </w:tc>
        <w:tc>
          <w:tcPr>
            <w:tcW w:w="1616" w:type="dxa"/>
            <w:vAlign w:val="bottom"/>
          </w:tcPr>
          <w:p>
            <w:pPr>
              <w:pStyle w:val="TableNAm"/>
              <w:jc w:val="center"/>
            </w:pPr>
            <w:r>
              <w:t>46.10</w:t>
            </w:r>
          </w:p>
        </w:tc>
      </w:tr>
      <w:tr>
        <w:tc>
          <w:tcPr>
            <w:tcW w:w="4263" w:type="dxa"/>
          </w:tcPr>
          <w:p>
            <w:pPr>
              <w:pStyle w:val="TableNAm"/>
            </w:pPr>
            <w:r>
              <w:t>Beginning on 1 July 2016 and ending on 30 June 2017</w:t>
            </w:r>
          </w:p>
        </w:tc>
        <w:tc>
          <w:tcPr>
            <w:tcW w:w="1616" w:type="dxa"/>
            <w:vAlign w:val="bottom"/>
          </w:tcPr>
          <w:p>
            <w:pPr>
              <w:pStyle w:val="TableNAm"/>
              <w:jc w:val="center"/>
            </w:pPr>
            <w:r>
              <w:t>47.90</w:t>
            </w:r>
          </w:p>
        </w:tc>
      </w:tr>
      <w:tr>
        <w:tc>
          <w:tcPr>
            <w:tcW w:w="4263" w:type="dxa"/>
          </w:tcPr>
          <w:p>
            <w:pPr>
              <w:pStyle w:val="TableNAm"/>
              <w:keepNext/>
            </w:pPr>
            <w:r>
              <w:t>Beginning on 1 July 2017 and ending on 30 June 2018</w:t>
            </w:r>
          </w:p>
        </w:tc>
        <w:tc>
          <w:tcPr>
            <w:tcW w:w="1616" w:type="dxa"/>
            <w:vAlign w:val="bottom"/>
          </w:tcPr>
          <w:p>
            <w:pPr>
              <w:pStyle w:val="TableNAm"/>
              <w:keepNext/>
              <w:jc w:val="center"/>
            </w:pPr>
            <w:r>
              <w:t>49.80</w:t>
            </w:r>
          </w:p>
        </w:tc>
      </w:tr>
      <w:tr>
        <w:tc>
          <w:tcPr>
            <w:tcW w:w="4263" w:type="dxa"/>
          </w:tcPr>
          <w:p>
            <w:pPr>
              <w:pStyle w:val="TableNAm"/>
              <w:keepNext/>
            </w:pPr>
            <w:r>
              <w:t>Beginning on 1 July 2018 and ending on 30 June 2022</w:t>
            </w:r>
          </w:p>
        </w:tc>
        <w:tc>
          <w:tcPr>
            <w:tcW w:w="1616" w:type="dxa"/>
            <w:vAlign w:val="bottom"/>
          </w:tcPr>
          <w:p>
            <w:pPr>
              <w:pStyle w:val="TableNAm"/>
              <w:keepNext/>
              <w:jc w:val="center"/>
            </w:pPr>
            <w:r>
              <w:t>56.80</w:t>
            </w:r>
          </w:p>
        </w:tc>
      </w:tr>
      <w:tr>
        <w:tc>
          <w:tcPr>
            <w:tcW w:w="4263" w:type="dxa"/>
            <w:tcBorders>
              <w:bottom w:val="single" w:sz="4" w:space="0" w:color="auto"/>
            </w:tcBorders>
          </w:tcPr>
          <w:p>
            <w:pPr>
              <w:pStyle w:val="TableNAm"/>
              <w:keepNext/>
            </w:pPr>
            <w:r>
              <w:t>On and from 1 July 2022</w:t>
            </w:r>
          </w:p>
        </w:tc>
        <w:tc>
          <w:tcPr>
            <w:tcW w:w="1616" w:type="dxa"/>
            <w:tcBorders>
              <w:bottom w:val="single" w:sz="4" w:space="0" w:color="auto"/>
            </w:tcBorders>
          </w:tcPr>
          <w:p>
            <w:pPr>
              <w:pStyle w:val="TableNAm"/>
              <w:keepNext/>
              <w:jc w:val="center"/>
            </w:pPr>
            <w:r>
              <w:t>62.50</w:t>
            </w:r>
          </w:p>
        </w:tc>
      </w:tr>
    </w:tbl>
    <w:p>
      <w:pPr>
        <w:pStyle w:val="Footnotesection"/>
        <w:ind w:left="890" w:hanging="890"/>
      </w:pPr>
      <w:r>
        <w:tab/>
        <w:t>[Regulation 4 inserted: Gazette 13 Sep 1996 p. 4546; amended: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 SL 2022/68 r. 4.]</w:t>
      </w:r>
    </w:p>
    <w:p>
      <w:pPr>
        <w:pStyle w:val="Heading5"/>
        <w:rPr>
          <w:snapToGrid w:val="0"/>
        </w:rPr>
      </w:pPr>
      <w:bookmarkStart w:id="34" w:name="_Toc156559680"/>
      <w:r>
        <w:rPr>
          <w:rStyle w:val="CharSectno"/>
        </w:rPr>
        <w:t>5</w:t>
      </w:r>
      <w:r>
        <w:rPr>
          <w:snapToGrid w:val="0"/>
        </w:rPr>
        <w:t>.</w:t>
      </w:r>
      <w:r>
        <w:rPr>
          <w:snapToGrid w:val="0"/>
        </w:rPr>
        <w:tab/>
        <w:t>Premises prescribed (Act Part V)</w:t>
      </w:r>
      <w:bookmarkEnd w:id="34"/>
    </w:p>
    <w:p>
      <w:pPr>
        <w:pStyle w:val="Subsection"/>
        <w:keepNext/>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Gazette 13 Sep 1996 p. 4546.]</w:t>
      </w:r>
    </w:p>
    <w:p>
      <w:pPr>
        <w:pStyle w:val="Heading5"/>
        <w:rPr>
          <w:snapToGrid w:val="0"/>
        </w:rPr>
      </w:pPr>
      <w:bookmarkStart w:id="35" w:name="_Toc156559681"/>
      <w:r>
        <w:rPr>
          <w:rStyle w:val="CharSectno"/>
        </w:rPr>
        <w:t>5A</w:t>
      </w:r>
      <w:r>
        <w:rPr>
          <w:snapToGrid w:val="0"/>
        </w:rPr>
        <w:t>.</w:t>
      </w:r>
      <w:r>
        <w:rPr>
          <w:snapToGrid w:val="0"/>
        </w:rPr>
        <w:tab/>
        <w:t>Registration of Sch. 1 Part 2 premises, effect and cancellation of etc.</w:t>
      </w:r>
      <w:bookmarkEnd w:id="35"/>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lastRenderedPageBreak/>
        <w:tab/>
        <w:t>(3)</w:t>
      </w:r>
      <w:r>
        <w:rPr>
          <w:snapToGrid w:val="0"/>
        </w:rPr>
        <w:tab/>
        <w:t>If premises specified in Part 2 of Schedule 1 are registered under regulation 5B, section 56 of the Act does not apply to the occupier of those premises.</w:t>
      </w:r>
    </w:p>
    <w:p>
      <w:pPr>
        <w:pStyle w:val="Subsection"/>
        <w:keepNext/>
      </w:pPr>
      <w:r>
        <w:tab/>
        <w:t>(4)</w:t>
      </w:r>
      <w:r>
        <w:tab/>
        <w:t>If premises specified in Schedule 1 Part 2 are registered under regulation 5B and the Chief Executive Officer is satisfied that the occupier of the premises —</w:t>
      </w:r>
    </w:p>
    <w:p>
      <w:pPr>
        <w:pStyle w:val="Indenta"/>
        <w:keepNext/>
      </w:pPr>
      <w:r>
        <w:tab/>
        <w:t>(a)</w:t>
      </w:r>
      <w:r>
        <w:tab/>
        <w:t>has been convicted in any court of an offence —</w:t>
      </w:r>
    </w:p>
    <w:p>
      <w:pPr>
        <w:pStyle w:val="Indenti"/>
      </w:pPr>
      <w:r>
        <w:tab/>
        <w:t>(i)</w:t>
      </w:r>
      <w:r>
        <w:tab/>
        <w:t>against the Act or regulations made under the Act; and</w:t>
      </w:r>
    </w:p>
    <w:p>
      <w:pPr>
        <w:pStyle w:val="Indenti"/>
        <w:keepNext/>
      </w:pPr>
      <w:r>
        <w:tab/>
        <w:t>(ii)</w:t>
      </w:r>
      <w:r>
        <w:tab/>
        <w:t>that relates to the premises;</w:t>
      </w:r>
    </w:p>
    <w:p>
      <w:pPr>
        <w:pStyle w:val="Indenta"/>
      </w:pPr>
      <w:r>
        <w:tab/>
      </w:r>
      <w:r>
        <w:tab/>
        <w:t>or</w:t>
      </w:r>
    </w:p>
    <w:p>
      <w:pPr>
        <w:pStyle w:val="Indenta"/>
        <w:keepNext/>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keepNext/>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keepNext/>
      </w:pPr>
      <w:r>
        <w:lastRenderedPageBreak/>
        <w:tab/>
        <w:t>(7)</w:t>
      </w:r>
      <w:r>
        <w:tab/>
        <w:t>If the registration of the premises is reinstated under subregulation (6), section 56 of the Act does not apply to the occupier of those premises.</w:t>
      </w:r>
    </w:p>
    <w:p>
      <w:pPr>
        <w:pStyle w:val="Footnotesection"/>
      </w:pPr>
      <w:r>
        <w:tab/>
        <w:t>[Regulation 5A inserted: Gazette 13 Sep 1996 p. 4546; amended: Gazette 15 Aug 2000 p. 4711</w:t>
      </w:r>
      <w:r>
        <w:noBreakHyphen/>
        <w:t>12.]</w:t>
      </w:r>
    </w:p>
    <w:p>
      <w:pPr>
        <w:pStyle w:val="Heading5"/>
        <w:spacing w:before="180"/>
        <w:rPr>
          <w:snapToGrid w:val="0"/>
        </w:rPr>
      </w:pPr>
      <w:bookmarkStart w:id="36" w:name="_Toc156559682"/>
      <w:r>
        <w:rPr>
          <w:rStyle w:val="CharSectno"/>
        </w:rPr>
        <w:t>5B</w:t>
      </w:r>
      <w:r>
        <w:rPr>
          <w:snapToGrid w:val="0"/>
        </w:rPr>
        <w:t>.</w:t>
      </w:r>
      <w:r>
        <w:rPr>
          <w:snapToGrid w:val="0"/>
        </w:rPr>
        <w:tab/>
        <w:t>Registration of premises, application for etc.</w:t>
      </w:r>
      <w:bookmarkEnd w:id="36"/>
    </w:p>
    <w:p>
      <w:pPr>
        <w:pStyle w:val="Ednotesubsection"/>
      </w:pPr>
      <w:r>
        <w:tab/>
        <w:t>[(1)</w:t>
      </w:r>
      <w:r>
        <w:tab/>
        <w:t>deleted]</w:t>
      </w:r>
    </w:p>
    <w:p>
      <w:pPr>
        <w:pStyle w:val="Subsection"/>
        <w:keepNext/>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keepNext/>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keepNext/>
        <w:rPr>
          <w:snapToGrid w:val="0"/>
        </w:rPr>
      </w:pPr>
      <w:r>
        <w:rPr>
          <w:snapToGrid w:val="0"/>
        </w:rPr>
        <w:tab/>
        <w:t>(b)</w:t>
      </w:r>
      <w:r>
        <w:rPr>
          <w:snapToGrid w:val="0"/>
        </w:rPr>
        <w:tab/>
        <w:t>include with the notification a recording fee of 2 units,</w:t>
      </w:r>
    </w:p>
    <w:p>
      <w:pPr>
        <w:pStyle w:val="Subsection"/>
        <w:keepNext/>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keepNext/>
        <w:rPr>
          <w:snapToGrid w:val="0"/>
        </w:rPr>
      </w:pPr>
      <w:r>
        <w:rPr>
          <w:snapToGrid w:val="0"/>
        </w:rPr>
        <w:lastRenderedPageBreak/>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Gazette 13 Sep 1996 p. 4546</w:t>
      </w:r>
      <w:r>
        <w:noBreakHyphen/>
        <w:t>7; amended: Gazette 11 Dec 1998 p. 6599; 15 Aug 2000 p. 4712; 8 May 2012 p. 1893.]</w:t>
      </w:r>
    </w:p>
    <w:p>
      <w:pPr>
        <w:pStyle w:val="Heading5"/>
      </w:pPr>
      <w:bookmarkStart w:id="37" w:name="_Toc156559683"/>
      <w:r>
        <w:rPr>
          <w:rStyle w:val="CharSectno"/>
        </w:rPr>
        <w:t>5BA</w:t>
      </w:r>
      <w:r>
        <w:t>.</w:t>
      </w:r>
      <w:r>
        <w:tab/>
        <w:t>Fees prescribed for works approval (Act s. 54(1))</w:t>
      </w:r>
      <w:bookmarkEnd w:id="37"/>
    </w:p>
    <w:p>
      <w:pPr>
        <w:pStyle w:val="Subsection"/>
        <w:keepNext/>
        <w:keepLines/>
      </w:pPr>
      <w:r>
        <w:tab/>
        <w:t>(1)</w:t>
      </w:r>
      <w:r>
        <w:tab/>
        <w:t>The fee prescribed for the purposes of section 54(1)(b) of the Act is the appropriate fee specified in Schedule 3 determined on the basis of the cost of the works that are the subject of the application.</w:t>
      </w:r>
    </w:p>
    <w:p>
      <w:pPr>
        <w:pStyle w:val="Subsection"/>
        <w:keepNext/>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keepNext/>
      </w:pPr>
      <w:r>
        <w:tab/>
        <w:t>(c)</w:t>
      </w:r>
      <w:r>
        <w:tab/>
        <w:t>consultancy fees paid or to be paid in relation to those works.</w:t>
      </w:r>
    </w:p>
    <w:p>
      <w:pPr>
        <w:pStyle w:val="Footnotesection"/>
        <w:keepLines w:val="0"/>
        <w:spacing w:before="80"/>
        <w:ind w:left="890" w:hanging="890"/>
      </w:pPr>
      <w:r>
        <w:tab/>
        <w:t>[Regulation 5BA inserted: Gazette 28 Jun 2016 p. 2630.]</w:t>
      </w:r>
    </w:p>
    <w:p>
      <w:pPr>
        <w:pStyle w:val="Heading5"/>
      </w:pPr>
      <w:bookmarkStart w:id="38" w:name="_Toc156559684"/>
      <w:r>
        <w:rPr>
          <w:rStyle w:val="CharSectno"/>
        </w:rPr>
        <w:t>5BB</w:t>
      </w:r>
      <w:r>
        <w:t>.</w:t>
      </w:r>
      <w:r>
        <w:tab/>
        <w:t>Fees prescribed for amending works approval or licence (Act s. 59B(1))</w:t>
      </w:r>
      <w:bookmarkEnd w:id="38"/>
    </w:p>
    <w:p>
      <w:pPr>
        <w:pStyle w:val="Subsection"/>
        <w:keepNext/>
      </w:pPr>
      <w:r>
        <w:tab/>
      </w:r>
      <w:r>
        <w:tab/>
        <w:t xml:space="preserve">For the purpose of section 59B(1)(b) of the Act, the fee prescribed for an application for an amendment to a works approval or licence is based on a unit value of $13.60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keepNext/>
      </w:pPr>
      <w:r>
        <w:lastRenderedPageBreak/>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Gazette 28 Jun 2016 p. 2630</w:t>
      </w:r>
      <w:r>
        <w:noBreakHyphen/>
        <w:t>1; amended: Gazette 12 Jun 2018 p. 1888; SL 2022/68 r. 5.]</w:t>
      </w:r>
    </w:p>
    <w:p>
      <w:pPr>
        <w:pStyle w:val="Heading5"/>
      </w:pPr>
      <w:bookmarkStart w:id="39" w:name="_Toc156559685"/>
      <w:r>
        <w:rPr>
          <w:rStyle w:val="CharSectno"/>
        </w:rPr>
        <w:t>5C</w:t>
      </w:r>
      <w:r>
        <w:t>.</w:t>
      </w:r>
      <w:r>
        <w:tab/>
        <w:t>Fees prescribed for transfer of works approval or licence (Act s. 64(1))</w:t>
      </w:r>
      <w:bookmarkEnd w:id="39"/>
    </w:p>
    <w:p>
      <w:pPr>
        <w:pStyle w:val="Subsection"/>
        <w:keepNext/>
      </w:pPr>
      <w:r>
        <w:tab/>
      </w:r>
      <w:r>
        <w:tab/>
        <w:t>For the purpose of section 64(1)(b) of the Act the fee prescribed for the transfer of a works approval or licence is $71.20.</w:t>
      </w:r>
    </w:p>
    <w:p>
      <w:pPr>
        <w:pStyle w:val="Footnotesection"/>
        <w:keepLines w:val="0"/>
        <w:spacing w:before="80"/>
        <w:ind w:left="890" w:hanging="890"/>
      </w:pPr>
      <w:r>
        <w:tab/>
        <w:t>[Regulation 5C inserted: Gazette 28 Jun 2016 p. 2631; amended: Gazette 12 Jun 2018 p. 1888.]</w:t>
      </w:r>
    </w:p>
    <w:p>
      <w:pPr>
        <w:pStyle w:val="Heading5"/>
      </w:pPr>
      <w:bookmarkStart w:id="40" w:name="_Toc156559686"/>
      <w:r>
        <w:rPr>
          <w:rStyle w:val="CharSectno"/>
        </w:rPr>
        <w:t>5CA</w:t>
      </w:r>
      <w:r>
        <w:t>.</w:t>
      </w:r>
      <w:r>
        <w:tab/>
        <w:t>Fee for works approval, CEO may waive</w:t>
      </w:r>
      <w:bookmarkEnd w:id="40"/>
    </w:p>
    <w:p>
      <w:pPr>
        <w:pStyle w:val="Subsection"/>
        <w:keepNext/>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5BA(1) in respect of the works approval.</w:t>
      </w:r>
    </w:p>
    <w:p>
      <w:pPr>
        <w:pStyle w:val="Footnotesection"/>
        <w:spacing w:before="80"/>
        <w:ind w:left="890" w:hanging="890"/>
      </w:pPr>
      <w:r>
        <w:tab/>
        <w:t>[Regulation 5CA inserted: Gazette 15 Aug 2000 p. 4713; amended: SL 2022/68 r. 6.]</w:t>
      </w:r>
    </w:p>
    <w:p>
      <w:pPr>
        <w:pStyle w:val="Heading5"/>
      </w:pPr>
      <w:bookmarkStart w:id="41" w:name="_Toc156559687"/>
      <w:r>
        <w:rPr>
          <w:rStyle w:val="CharSectno"/>
        </w:rPr>
        <w:t>5CAA</w:t>
      </w:r>
      <w:r>
        <w:t>.</w:t>
      </w:r>
      <w:r>
        <w:tab/>
        <w:t>Manner of advertising prescribed</w:t>
      </w:r>
      <w:r>
        <w:rPr>
          <w:snapToGrid w:val="0"/>
        </w:rPr>
        <w:t xml:space="preserve"> (Act s. 54(2a))</w:t>
      </w:r>
      <w:bookmarkEnd w:id="41"/>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keepNext/>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2</w:t>
      </w:r>
      <w:r>
        <w:t xml:space="preserve"> at the </w:t>
      </w:r>
      <w:r>
        <w:lastRenderedPageBreak/>
        <w:t>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keepNext/>
      </w:pPr>
      <w:r>
        <w:tab/>
        <w:t>(iv)</w:t>
      </w:r>
      <w:r>
        <w:tab/>
        <w:t>the reference number for the application.</w:t>
      </w:r>
    </w:p>
    <w:p>
      <w:pPr>
        <w:pStyle w:val="Footnotesection"/>
        <w:ind w:left="890" w:hanging="890"/>
      </w:pPr>
      <w:r>
        <w:tab/>
        <w:t>[Regulation 5CAA inserted: Gazette 23 Nov 2004 p. 5222</w:t>
      </w:r>
      <w:r>
        <w:noBreakHyphen/>
        <w:t>3.]</w:t>
      </w:r>
    </w:p>
    <w:p>
      <w:pPr>
        <w:pStyle w:val="Heading5"/>
      </w:pPr>
      <w:bookmarkStart w:id="42" w:name="_Toc156559688"/>
      <w:r>
        <w:rPr>
          <w:rStyle w:val="CharSectno"/>
        </w:rPr>
        <w:t>5CB</w:t>
      </w:r>
      <w:r>
        <w:t>.</w:t>
      </w:r>
      <w:r>
        <w:tab/>
        <w:t>Replacement of expiring licence, application for</w:t>
      </w:r>
      <w:bookmarkEnd w:id="42"/>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keepNext/>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Gazette 22 Jun 2004 p. 2144.]</w:t>
      </w:r>
    </w:p>
    <w:p>
      <w:pPr>
        <w:pStyle w:val="Heading5"/>
        <w:rPr>
          <w:snapToGrid w:val="0"/>
        </w:rPr>
      </w:pPr>
      <w:bookmarkStart w:id="43" w:name="_Toc156559689"/>
      <w:r>
        <w:rPr>
          <w:rStyle w:val="CharSectno"/>
        </w:rPr>
        <w:t>5D</w:t>
      </w:r>
      <w:r>
        <w:rPr>
          <w:snapToGrid w:val="0"/>
        </w:rPr>
        <w:t>.</w:t>
      </w:r>
      <w:r>
        <w:rPr>
          <w:snapToGrid w:val="0"/>
        </w:rPr>
        <w:tab/>
        <w:t>Prescribed premises, fee for licence for</w:t>
      </w:r>
      <w:bookmarkEnd w:id="43"/>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w:t>
      </w:r>
      <w:r>
        <w:lastRenderedPageBreak/>
        <w:t>period</w:t>
      </w:r>
      <w:r>
        <w:rPr>
          <w:snapToGrid w:val="0"/>
        </w:rPr>
        <w:t xml:space="preserve"> </w:t>
      </w:r>
      <w:r>
        <w:t>worked out under subregulation (1a) (reduced pro rata for a part of a financial year).</w:t>
      </w:r>
    </w:p>
    <w:p>
      <w:pPr>
        <w:pStyle w:val="Subsection"/>
        <w:keepNext/>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Ednotesubsection"/>
      </w:pPr>
      <w:r>
        <w:lastRenderedPageBreak/>
        <w:tab/>
        <w:t>[(5)</w:t>
      </w:r>
      <w:r>
        <w:tab/>
        <w:t>deleted]</w:t>
      </w:r>
    </w:p>
    <w:p>
      <w:pPr>
        <w:pStyle w:val="Subsection"/>
        <w:keepNext/>
      </w:pPr>
      <w:r>
        <w:tab/>
        <w:t>(6)</w:t>
      </w:r>
      <w:r>
        <w:tab/>
        <w:t>In this regulation and Schedule 4 —</w:t>
      </w:r>
    </w:p>
    <w:p>
      <w:pPr>
        <w:pStyle w:val="Defstart"/>
        <w:keepNex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keepNext/>
      </w:pPr>
      <w:r>
        <w:tab/>
        <w:t>(e)</w:t>
      </w:r>
      <w:r>
        <w:tab/>
        <w:t>waste water from a desalination plant.</w:t>
      </w:r>
    </w:p>
    <w:p>
      <w:pPr>
        <w:pStyle w:val="Footnotesection"/>
      </w:pPr>
      <w:r>
        <w:tab/>
        <w:t>[Regulation 5D inserted: Gazette 13 Sep 1996 p. 4547; amended: Gazette 10 Dec 1996 p. 6876</w:t>
      </w:r>
      <w:r>
        <w:noBreakHyphen/>
        <w:t>7; 15 Aug 2000 p. 4713; 22 Jun 2004 p. 2144</w:t>
      </w:r>
      <w:r>
        <w:noBreakHyphen/>
        <w:t>5; 13 Dec 2005 p. 5982-3; 22 Jun 2007 p. 2841; SL 2022/68 r. 7.]</w:t>
      </w:r>
    </w:p>
    <w:p>
      <w:pPr>
        <w:pStyle w:val="Heading5"/>
      </w:pPr>
      <w:bookmarkStart w:id="44" w:name="_Toc156559690"/>
      <w:r>
        <w:rPr>
          <w:rStyle w:val="CharSectno"/>
        </w:rPr>
        <w:t>5DA</w:t>
      </w:r>
      <w:r>
        <w:t>.</w:t>
      </w:r>
      <w:r>
        <w:tab/>
        <w:t>Payment of licence fees</w:t>
      </w:r>
      <w:bookmarkEnd w:id="44"/>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lastRenderedPageBreak/>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Gazette 22 Jun 2004 p. 2145</w:t>
      </w:r>
      <w:r>
        <w:noBreakHyphen/>
        <w:t>6.]</w:t>
      </w:r>
    </w:p>
    <w:p>
      <w:pPr>
        <w:pStyle w:val="Heading5"/>
        <w:rPr>
          <w:snapToGrid w:val="0"/>
        </w:rPr>
      </w:pPr>
      <w:bookmarkStart w:id="45" w:name="_Toc156559691"/>
      <w:r>
        <w:rPr>
          <w:rStyle w:val="CharSectno"/>
        </w:rPr>
        <w:t>5E</w:t>
      </w:r>
      <w:r>
        <w:rPr>
          <w:snapToGrid w:val="0"/>
        </w:rPr>
        <w:t>.</w:t>
      </w:r>
      <w:r>
        <w:rPr>
          <w:snapToGrid w:val="0"/>
        </w:rPr>
        <w:tab/>
        <w:t>Amount in r. 5D(1a)(c), calculation of</w:t>
      </w:r>
      <w:bookmarkEnd w:id="45"/>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lastRenderedPageBreak/>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Gazette 13 Sep 1996 p. 4548; amended: Gazette 22 Jun 2004 p. 2146</w:t>
      </w:r>
      <w:r>
        <w:noBreakHyphen/>
        <w:t>7; 22 Jun 2007 p. 2841.]</w:t>
      </w:r>
    </w:p>
    <w:p>
      <w:pPr>
        <w:pStyle w:val="Heading5"/>
        <w:rPr>
          <w:snapToGrid w:val="0"/>
        </w:rPr>
      </w:pPr>
      <w:bookmarkStart w:id="46" w:name="_Toc156559692"/>
      <w:r>
        <w:rPr>
          <w:rStyle w:val="CharSectno"/>
        </w:rPr>
        <w:t>5EA</w:t>
      </w:r>
      <w:r>
        <w:rPr>
          <w:snapToGrid w:val="0"/>
        </w:rPr>
        <w:t>.</w:t>
      </w:r>
      <w:r>
        <w:rPr>
          <w:snapToGrid w:val="0"/>
        </w:rPr>
        <w:tab/>
        <w:t>Fees under r. 5D(1a)(b) and (c), CEO may waive</w:t>
      </w:r>
      <w:bookmarkEnd w:id="46"/>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Gazette 12 Sep 1997 p. 5150; amended: Gazette 22 Jun 2004 p. 2147.]</w:t>
      </w:r>
    </w:p>
    <w:p>
      <w:pPr>
        <w:pStyle w:val="Heading5"/>
      </w:pPr>
      <w:bookmarkStart w:id="47" w:name="_Toc156559693"/>
      <w:r>
        <w:rPr>
          <w:rStyle w:val="CharSectno"/>
        </w:rPr>
        <w:t>5EB</w:t>
      </w:r>
      <w:r>
        <w:t>.</w:t>
      </w:r>
      <w:r>
        <w:tab/>
        <w:t>Fees under r. 5D, CEO may waive</w:t>
      </w:r>
      <w:bookmarkEnd w:id="47"/>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Gazette 15 Aug 2000 p. 4713.]</w:t>
      </w:r>
    </w:p>
    <w:p>
      <w:pPr>
        <w:pStyle w:val="Heading5"/>
        <w:spacing w:before="180"/>
        <w:rPr>
          <w:snapToGrid w:val="0"/>
        </w:rPr>
      </w:pPr>
      <w:bookmarkStart w:id="48" w:name="_Toc156559694"/>
      <w:r>
        <w:rPr>
          <w:rStyle w:val="CharSectno"/>
        </w:rPr>
        <w:t>5F</w:t>
      </w:r>
      <w:r>
        <w:rPr>
          <w:snapToGrid w:val="0"/>
        </w:rPr>
        <w:t>.</w:t>
      </w:r>
      <w:r>
        <w:rPr>
          <w:snapToGrid w:val="0"/>
        </w:rPr>
        <w:tab/>
        <w:t>Fee under r. 5D(1a)(c) if discharged waste harmless</w:t>
      </w:r>
      <w:bookmarkEnd w:id="48"/>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lastRenderedPageBreak/>
        <w:tab/>
        <w:t>[(2)</w:t>
      </w:r>
      <w:r>
        <w:tab/>
        <w:t>deleted]</w:t>
      </w:r>
    </w:p>
    <w:p>
      <w:pPr>
        <w:pStyle w:val="Footnotesection"/>
        <w:spacing w:before="80"/>
        <w:ind w:left="890" w:hanging="890"/>
      </w:pPr>
      <w:r>
        <w:tab/>
        <w:t>[Regulation 5F inserted: Gazette 13 Sep 1996 p. 4548; amended: Gazette 22 Jun 2004 p. 2147; 22 Jun 2007 p. 2841.]</w:t>
      </w:r>
    </w:p>
    <w:p>
      <w:pPr>
        <w:pStyle w:val="Heading5"/>
        <w:spacing w:before="180"/>
      </w:pPr>
      <w:bookmarkStart w:id="49" w:name="_Toc156559695"/>
      <w:r>
        <w:rPr>
          <w:rStyle w:val="CharSectno"/>
        </w:rPr>
        <w:t>5G</w:t>
      </w:r>
      <w:r>
        <w:t>.</w:t>
      </w:r>
      <w:r>
        <w:tab/>
        <w:t>Maximum fees under r. 5D(1a)</w:t>
      </w:r>
      <w:bookmarkEnd w:id="49"/>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774"/>
      </w:tblGrid>
      <w:tr>
        <w:trPr>
          <w:cantSplit/>
          <w:tblHeader/>
        </w:trPr>
        <w:tc>
          <w:tcPr>
            <w:tcW w:w="4263" w:type="dxa"/>
            <w:tcBorders>
              <w:top w:val="single" w:sz="4" w:space="0" w:color="auto"/>
              <w:bottom w:val="single" w:sz="4" w:space="0" w:color="auto"/>
            </w:tcBorders>
          </w:tcPr>
          <w:p>
            <w:pPr>
              <w:pStyle w:val="TableNAm"/>
              <w:keepNext/>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ind w:right="78"/>
              <w:jc w:val="right"/>
            </w:pPr>
            <w:r>
              <w:t>605 000.00</w:t>
            </w:r>
          </w:p>
        </w:tc>
      </w:tr>
      <w:tr>
        <w:tc>
          <w:tcPr>
            <w:tcW w:w="4263" w:type="dxa"/>
          </w:tcPr>
          <w:p>
            <w:pPr>
              <w:pStyle w:val="TableNAm"/>
            </w:pPr>
            <w:r>
              <w:t>Beginning on 1 July 2008 and ending on 30 June 2009</w:t>
            </w:r>
          </w:p>
        </w:tc>
        <w:tc>
          <w:tcPr>
            <w:tcW w:w="1774" w:type="dxa"/>
            <w:vAlign w:val="bottom"/>
          </w:tcPr>
          <w:p>
            <w:pPr>
              <w:pStyle w:val="TableNAm"/>
              <w:ind w:right="78"/>
              <w:jc w:val="right"/>
            </w:pPr>
            <w:r>
              <w:t>705 000.00</w:t>
            </w:r>
          </w:p>
        </w:tc>
      </w:tr>
      <w:tr>
        <w:tc>
          <w:tcPr>
            <w:tcW w:w="4263" w:type="dxa"/>
          </w:tcPr>
          <w:p>
            <w:pPr>
              <w:pStyle w:val="TableNAm"/>
            </w:pPr>
            <w:r>
              <w:t>Beginning on 1 July 2009 and ending on 30 June 2010</w:t>
            </w:r>
          </w:p>
        </w:tc>
        <w:tc>
          <w:tcPr>
            <w:tcW w:w="1774" w:type="dxa"/>
            <w:vAlign w:val="bottom"/>
          </w:tcPr>
          <w:p>
            <w:pPr>
              <w:pStyle w:val="TableNAm"/>
              <w:ind w:right="78"/>
              <w:jc w:val="right"/>
            </w:pPr>
            <w:r>
              <w:t>755 000.00</w:t>
            </w:r>
          </w:p>
        </w:tc>
      </w:tr>
      <w:tr>
        <w:tc>
          <w:tcPr>
            <w:tcW w:w="4263" w:type="dxa"/>
          </w:tcPr>
          <w:p>
            <w:pPr>
              <w:pStyle w:val="TableNAm"/>
            </w:pPr>
            <w:r>
              <w:t>Beginning on 1 July 2010 and ending on 30 June 2011</w:t>
            </w:r>
          </w:p>
        </w:tc>
        <w:tc>
          <w:tcPr>
            <w:tcW w:w="1774" w:type="dxa"/>
            <w:vAlign w:val="bottom"/>
          </w:tcPr>
          <w:p>
            <w:pPr>
              <w:pStyle w:val="TableNAm"/>
              <w:ind w:right="78"/>
              <w:jc w:val="right"/>
            </w:pPr>
            <w:r>
              <w:t>805 000.00</w:t>
            </w:r>
          </w:p>
        </w:tc>
      </w:tr>
      <w:tr>
        <w:tc>
          <w:tcPr>
            <w:tcW w:w="4263" w:type="dxa"/>
          </w:tcPr>
          <w:p>
            <w:pPr>
              <w:pStyle w:val="TableNAm"/>
            </w:pPr>
            <w:r>
              <w:t>Beginning on 1 July 2011 and ending on 30 June 2012</w:t>
            </w:r>
          </w:p>
        </w:tc>
        <w:tc>
          <w:tcPr>
            <w:tcW w:w="1774" w:type="dxa"/>
            <w:vAlign w:val="bottom"/>
          </w:tcPr>
          <w:p>
            <w:pPr>
              <w:pStyle w:val="TableNAm"/>
              <w:ind w:right="78"/>
              <w:jc w:val="right"/>
            </w:pPr>
            <w:r>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ind w:right="78"/>
              <w:jc w:val="right"/>
            </w:pPr>
            <w:r>
              <w:t>905 000.00</w:t>
            </w:r>
          </w:p>
          <w:p>
            <w:pPr>
              <w:pStyle w:val="TableNAm"/>
              <w:ind w:right="78"/>
              <w:jc w:val="right"/>
            </w:pPr>
            <w:r>
              <w:t>1 030 000.00</w:t>
            </w:r>
          </w:p>
        </w:tc>
      </w:tr>
    </w:tbl>
    <w:p>
      <w:pPr>
        <w:pStyle w:val="Subsection"/>
        <w:spacing w:before="200"/>
      </w:pPr>
      <w:r>
        <w:lastRenderedPageBreak/>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550 000.00</w:t>
            </w:r>
          </w:p>
        </w:tc>
      </w:tr>
      <w:tr>
        <w:tc>
          <w:tcPr>
            <w:tcW w:w="4263" w:type="dxa"/>
          </w:tcPr>
          <w:p>
            <w:pPr>
              <w:pStyle w:val="TableNAm"/>
            </w:pPr>
            <w:r>
              <w:t>Beginning on 1 July 2008 and ending on 30 June 2009</w:t>
            </w:r>
          </w:p>
        </w:tc>
        <w:tc>
          <w:tcPr>
            <w:tcW w:w="1774" w:type="dxa"/>
            <w:vAlign w:val="bottom"/>
          </w:tcPr>
          <w:p>
            <w:pPr>
              <w:pStyle w:val="TableNAm"/>
              <w:jc w:val="center"/>
            </w:pPr>
            <w:r>
              <w:t>650 000.00</w:t>
            </w:r>
          </w:p>
        </w:tc>
      </w:tr>
      <w:tr>
        <w:tc>
          <w:tcPr>
            <w:tcW w:w="4263" w:type="dxa"/>
          </w:tcPr>
          <w:p>
            <w:pPr>
              <w:pStyle w:val="TableNAm"/>
            </w:pPr>
            <w:r>
              <w:t>Beginning on 1 July 2009 and ending on 30 June 2010</w:t>
            </w:r>
          </w:p>
        </w:tc>
        <w:tc>
          <w:tcPr>
            <w:tcW w:w="1774" w:type="dxa"/>
            <w:vAlign w:val="bottom"/>
          </w:tcPr>
          <w:p>
            <w:pPr>
              <w:pStyle w:val="TableNAm"/>
              <w:jc w:val="center"/>
            </w:pPr>
            <w:r>
              <w:t>700 000.00</w:t>
            </w:r>
          </w:p>
        </w:tc>
      </w:tr>
      <w:tr>
        <w:tc>
          <w:tcPr>
            <w:tcW w:w="4263" w:type="dxa"/>
          </w:tcPr>
          <w:p>
            <w:pPr>
              <w:pStyle w:val="TableNAm"/>
              <w:keepNext/>
            </w:pPr>
            <w:r>
              <w:t>Beginning on 1 July 2010 and ending on 30 June 2011</w:t>
            </w:r>
          </w:p>
        </w:tc>
        <w:tc>
          <w:tcPr>
            <w:tcW w:w="1774" w:type="dxa"/>
            <w:vAlign w:val="bottom"/>
          </w:tcPr>
          <w:p>
            <w:pPr>
              <w:pStyle w:val="TableNAm"/>
              <w:keepNext/>
              <w:jc w:val="center"/>
            </w:pPr>
            <w:r>
              <w:t>750 000.00</w:t>
            </w:r>
          </w:p>
        </w:tc>
      </w:tr>
      <w:tr>
        <w:trPr>
          <w:cantSplit/>
        </w:trPr>
        <w:tc>
          <w:tcPr>
            <w:tcW w:w="4263" w:type="dxa"/>
          </w:tcPr>
          <w:p>
            <w:pPr>
              <w:pStyle w:val="TableNAm"/>
            </w:pPr>
            <w:r>
              <w:t>Beginning on 1 July 2011 and ending on 30 June 2012</w:t>
            </w:r>
          </w:p>
        </w:tc>
        <w:tc>
          <w:tcPr>
            <w:tcW w:w="1774" w:type="dxa"/>
            <w:vAlign w:val="bottom"/>
          </w:tcPr>
          <w:p>
            <w:pPr>
              <w:pStyle w:val="TableNAm"/>
              <w:jc w:val="center"/>
            </w:pPr>
            <w: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lastRenderedPageBreak/>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vAlign w:val="bottom"/>
          </w:tcPr>
          <w:p>
            <w:pPr>
              <w:pStyle w:val="TableNAm"/>
              <w:jc w:val="center"/>
            </w:pPr>
            <w:r>
              <w:t>940 000.00</w:t>
            </w:r>
          </w:p>
          <w:p>
            <w:pPr>
              <w:pStyle w:val="TableNAm"/>
              <w:ind w:right="219"/>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vAlign w:val="bottom"/>
          </w:tcPr>
          <w:p>
            <w:pPr>
              <w:pStyle w:val="TableNAm"/>
              <w:jc w:val="center"/>
            </w:pPr>
            <w:r>
              <w:t>640 000.00</w:t>
            </w:r>
          </w:p>
        </w:tc>
      </w:tr>
      <w:tr>
        <w:tc>
          <w:tcPr>
            <w:tcW w:w="4263" w:type="dxa"/>
          </w:tcPr>
          <w:p>
            <w:pPr>
              <w:pStyle w:val="TableNAm"/>
            </w:pPr>
            <w:r>
              <w:t>Beginning on 1 July 2008 and ending on 30 June 2009</w:t>
            </w:r>
          </w:p>
        </w:tc>
        <w:tc>
          <w:tcPr>
            <w:tcW w:w="1774" w:type="dxa"/>
            <w:vAlign w:val="bottom"/>
          </w:tcPr>
          <w:p>
            <w:pPr>
              <w:pStyle w:val="TableNAm"/>
              <w:jc w:val="center"/>
            </w:pPr>
            <w:r>
              <w:t>740 000.00</w:t>
            </w:r>
          </w:p>
        </w:tc>
      </w:tr>
      <w:tr>
        <w:tc>
          <w:tcPr>
            <w:tcW w:w="4263" w:type="dxa"/>
          </w:tcPr>
          <w:p>
            <w:pPr>
              <w:pStyle w:val="TableNAm"/>
            </w:pPr>
            <w:r>
              <w:lastRenderedPageBreak/>
              <w:t>Beginning on 1 July 2009 and ending on 30 June 2010</w:t>
            </w:r>
          </w:p>
        </w:tc>
        <w:tc>
          <w:tcPr>
            <w:tcW w:w="1774" w:type="dxa"/>
            <w:vAlign w:val="bottom"/>
          </w:tcPr>
          <w:p>
            <w:pPr>
              <w:pStyle w:val="TableNAm"/>
              <w:jc w:val="center"/>
            </w:pPr>
            <w:r>
              <w:t>790 000.00</w:t>
            </w:r>
          </w:p>
        </w:tc>
      </w:tr>
      <w:tr>
        <w:tc>
          <w:tcPr>
            <w:tcW w:w="4263" w:type="dxa"/>
          </w:tcPr>
          <w:p>
            <w:pPr>
              <w:pStyle w:val="TableNAm"/>
            </w:pPr>
            <w:r>
              <w:t>Beginning on 1 July 2010 and ending on 30 June 2011</w:t>
            </w:r>
          </w:p>
        </w:tc>
        <w:tc>
          <w:tcPr>
            <w:tcW w:w="1774" w:type="dxa"/>
            <w:vAlign w:val="bottom"/>
          </w:tcPr>
          <w:p>
            <w:pPr>
              <w:pStyle w:val="TableNAm"/>
              <w:jc w:val="center"/>
            </w:pPr>
            <w:r>
              <w:t>840 000.00</w:t>
            </w:r>
          </w:p>
        </w:tc>
      </w:tr>
      <w:tr>
        <w:tc>
          <w:tcPr>
            <w:tcW w:w="4263" w:type="dxa"/>
          </w:tcPr>
          <w:p>
            <w:pPr>
              <w:pStyle w:val="TableNAm"/>
            </w:pPr>
            <w:r>
              <w:t>Beginning on 1 July 2011 and ending on 30 June 2012</w:t>
            </w:r>
          </w:p>
        </w:tc>
        <w:tc>
          <w:tcPr>
            <w:tcW w:w="1774" w:type="dxa"/>
            <w:vAlign w:val="bottom"/>
          </w:tcPr>
          <w:p>
            <w:pPr>
              <w:pStyle w:val="TableNAm"/>
              <w:jc w:val="center"/>
            </w:pPr>
            <w: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vAlign w:val="bottom"/>
          </w:tcPr>
          <w:p>
            <w:pPr>
              <w:pStyle w:val="TableNAm"/>
              <w:keepNext/>
              <w:jc w:val="center"/>
            </w:pPr>
            <w:r>
              <w:t>940 000.00</w:t>
            </w:r>
          </w:p>
          <w:p>
            <w:pPr>
              <w:pStyle w:val="TableNAm"/>
              <w:keepNext/>
              <w:ind w:right="219"/>
              <w:jc w:val="center"/>
            </w:pPr>
            <w:r>
              <w:t>1 070 000.00</w:t>
            </w:r>
          </w:p>
        </w:tc>
      </w:tr>
    </w:tbl>
    <w:p>
      <w:pPr>
        <w:pStyle w:val="Footnotesection"/>
      </w:pPr>
      <w:r>
        <w:tab/>
        <w:t>[Regulation 5G inserted: Gazette 22 Jun 2004 p. 2147</w:t>
      </w:r>
      <w:r>
        <w:noBreakHyphen/>
        <w:t>50; amended: Gazette 22 Jun 2007 p. 2841</w:t>
      </w:r>
      <w:r>
        <w:noBreakHyphen/>
        <w:t>3; 12 Jun 2018 p. 1888</w:t>
      </w:r>
      <w:r>
        <w:noBreakHyphen/>
        <w:t>9.]</w:t>
      </w:r>
    </w:p>
    <w:p>
      <w:pPr>
        <w:pStyle w:val="Heading5"/>
      </w:pPr>
      <w:bookmarkStart w:id="50" w:name="_Toc156559696"/>
      <w:r>
        <w:rPr>
          <w:rStyle w:val="CharSectno"/>
        </w:rPr>
        <w:t>5H</w:t>
      </w:r>
      <w:r>
        <w:rPr>
          <w:snapToGrid w:val="0"/>
        </w:rPr>
        <w:t>.</w:t>
      </w:r>
      <w:r>
        <w:rPr>
          <w:snapToGrid w:val="0"/>
        </w:rPr>
        <w:tab/>
        <w:t>Partial refunds of fees for licences</w:t>
      </w:r>
      <w:bookmarkEnd w:id="50"/>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lastRenderedPageBreak/>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Gazette 13 Sep 1996 p. 4549; amended: Gazette 12 Sep 1997 p. 5150; 15 Aug 2000 p. 4713</w:t>
      </w:r>
      <w:r>
        <w:noBreakHyphen/>
        <w:t>14; 22 Jun 2004 p. 2150.]</w:t>
      </w:r>
    </w:p>
    <w:p>
      <w:pPr>
        <w:pStyle w:val="Heading5"/>
        <w:keepNext w:val="0"/>
        <w:keepLines w:val="0"/>
        <w:spacing w:before="180"/>
        <w:rPr>
          <w:snapToGrid w:val="0"/>
        </w:rPr>
      </w:pPr>
      <w:bookmarkStart w:id="51" w:name="_Toc156559697"/>
      <w:r>
        <w:rPr>
          <w:rStyle w:val="CharSectno"/>
        </w:rPr>
        <w:t>5I</w:t>
      </w:r>
      <w:r>
        <w:rPr>
          <w:snapToGrid w:val="0"/>
        </w:rPr>
        <w:t>.</w:t>
      </w:r>
      <w:r>
        <w:rPr>
          <w:snapToGrid w:val="0"/>
        </w:rPr>
        <w:tab/>
        <w:t>Certain matters relevant to fees to be determined by CEO</w:t>
      </w:r>
      <w:bookmarkEnd w:id="51"/>
    </w:p>
    <w:p>
      <w:pPr>
        <w:pStyle w:val="Subsection"/>
        <w:spacing w:before="120"/>
        <w:rPr>
          <w:snapToGrid w:val="0"/>
        </w:rPr>
      </w:pPr>
      <w:r>
        <w:rPr>
          <w:snapToGrid w:val="0"/>
        </w:rPr>
        <w:tab/>
      </w:r>
      <w:r>
        <w:rPr>
          <w:snapToGrid w:val="0"/>
        </w:rPr>
        <w:tab/>
        <w:t xml:space="preserve">For the purposes of determining the amount of a fee under this Part, any question relating to the cost of works, the production or design capacity of premises, or the kind or quantity of waste </w:t>
      </w:r>
      <w:r>
        <w:rPr>
          <w:snapToGrid w:val="0"/>
        </w:rPr>
        <w:lastRenderedPageBreak/>
        <w:t>discharged or to be discharged from premises is to be determined by the Chief Executive Officer.</w:t>
      </w:r>
    </w:p>
    <w:p>
      <w:pPr>
        <w:pStyle w:val="Footnotesection"/>
      </w:pPr>
      <w:r>
        <w:tab/>
        <w:t>[Regulation 5I inserted: Gazette 13 Sep 1996 p. 4549.]</w:t>
      </w:r>
    </w:p>
    <w:p>
      <w:pPr>
        <w:pStyle w:val="Heading5"/>
        <w:rPr>
          <w:snapToGrid w:val="0"/>
        </w:rPr>
      </w:pPr>
      <w:bookmarkStart w:id="52" w:name="_Toc156559698"/>
      <w:r>
        <w:rPr>
          <w:rStyle w:val="CharSectno"/>
        </w:rPr>
        <w:t>5IA</w:t>
      </w:r>
      <w:r>
        <w:rPr>
          <w:snapToGrid w:val="0"/>
        </w:rPr>
        <w:t>.</w:t>
      </w:r>
      <w:r>
        <w:rPr>
          <w:snapToGrid w:val="0"/>
        </w:rPr>
        <w:tab/>
        <w:t>Compliance with best practice criteria may be condition of licence (Act s. 62(2))</w:t>
      </w:r>
      <w:bookmarkEnd w:id="52"/>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Gazette 12 Sep 1997 p. 5151; amended: Gazette 20 Aug 2013 p. 3856.]</w:t>
      </w:r>
    </w:p>
    <w:p>
      <w:pPr>
        <w:pStyle w:val="Heading5"/>
      </w:pPr>
      <w:bookmarkStart w:id="53" w:name="_Toc156559699"/>
      <w:r>
        <w:rPr>
          <w:rStyle w:val="CharSectno"/>
        </w:rPr>
        <w:t>5J</w:t>
      </w:r>
      <w:r>
        <w:t>.</w:t>
      </w:r>
      <w:r>
        <w:tab/>
        <w:t>Manner of advertising prescribed</w:t>
      </w:r>
      <w:r>
        <w:rPr>
          <w:snapToGrid w:val="0"/>
        </w:rPr>
        <w:t xml:space="preserve"> (Act s. 57(2a))</w:t>
      </w:r>
      <w:bookmarkEnd w:id="53"/>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2</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Gazette 23 Nov 2004 p. 5223.]</w:t>
      </w:r>
    </w:p>
    <w:p>
      <w:pPr>
        <w:pStyle w:val="Heading5"/>
      </w:pPr>
      <w:bookmarkStart w:id="54" w:name="_Toc156559700"/>
      <w:r>
        <w:rPr>
          <w:rStyle w:val="CharSectno"/>
        </w:rPr>
        <w:lastRenderedPageBreak/>
        <w:t>5K</w:t>
      </w:r>
      <w:r>
        <w:t>.</w:t>
      </w:r>
      <w:r>
        <w:tab/>
        <w:t xml:space="preserve">Details of discharge prescribed </w:t>
      </w:r>
      <w:r>
        <w:rPr>
          <w:snapToGrid w:val="0"/>
        </w:rPr>
        <w:t>(Act s. 72(1))</w:t>
      </w:r>
      <w:bookmarkEnd w:id="54"/>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keepNext/>
        <w:keepLines/>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Gazette 11 Dec 1998 p. 6599.]</w:t>
      </w:r>
    </w:p>
    <w:p>
      <w:pPr>
        <w:pStyle w:val="Heading5"/>
      </w:pPr>
      <w:bookmarkStart w:id="55" w:name="_Toc156559701"/>
      <w:r>
        <w:rPr>
          <w:rStyle w:val="CharSectno"/>
        </w:rPr>
        <w:t>5L</w:t>
      </w:r>
      <w:r>
        <w:t>.</w:t>
      </w:r>
      <w:r>
        <w:tab/>
        <w:t>Manner of notifying prescribed</w:t>
      </w:r>
      <w:r>
        <w:rPr>
          <w:snapToGrid w:val="0"/>
        </w:rPr>
        <w:t xml:space="preserve"> (Act s. 72)</w:t>
      </w:r>
      <w:bookmarkEnd w:id="55"/>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Gazette 11 Dec 1998 p. 6600.]</w:t>
      </w:r>
    </w:p>
    <w:p>
      <w:pPr>
        <w:pStyle w:val="Heading5"/>
      </w:pPr>
      <w:bookmarkStart w:id="56" w:name="_Toc156559702"/>
      <w:r>
        <w:rPr>
          <w:rStyle w:val="CharSectno"/>
        </w:rPr>
        <w:lastRenderedPageBreak/>
        <w:t>5M</w:t>
      </w:r>
      <w:r>
        <w:t>.</w:t>
      </w:r>
      <w:r>
        <w:tab/>
        <w:t>Changes in information given to Department, occupier etc. to notify Department of</w:t>
      </w:r>
      <w:bookmarkEnd w:id="56"/>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Gazette 15 Aug 2000 p. 4714</w:t>
      </w:r>
      <w:r>
        <w:noBreakHyphen/>
        <w:t>15.]</w:t>
      </w:r>
    </w:p>
    <w:p>
      <w:pPr>
        <w:pStyle w:val="Heading5"/>
      </w:pPr>
      <w:bookmarkStart w:id="57" w:name="_Toc156559703"/>
      <w:r>
        <w:rPr>
          <w:rStyle w:val="CharSectno"/>
        </w:rPr>
        <w:t>5N</w:t>
      </w:r>
      <w:r>
        <w:t>.</w:t>
      </w:r>
      <w:r>
        <w:tab/>
        <w:t>Transitional provision (reduced fees)</w:t>
      </w:r>
      <w:bookmarkEnd w:id="57"/>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 xml:space="preserve">Environmental </w:t>
      </w:r>
      <w:r>
        <w:rPr>
          <w:i/>
        </w:rPr>
        <w:lastRenderedPageBreak/>
        <w:t>Protection Amendment Regulations (No. 3) 2000</w:t>
      </w:r>
      <w:r>
        <w:t xml:space="preserve"> come into force, the Chief Executive Officer may refund to the payer the portion of the fee that exceeds the fee payable under this Part had those regulations come into force on 1 October 1998.</w:t>
      </w:r>
    </w:p>
    <w:p>
      <w:pPr>
        <w:pStyle w:val="Footnotesection"/>
      </w:pPr>
      <w:r>
        <w:tab/>
        <w:t>[Regulation 5N inserted: Gazette 15 Aug 2000 p. 4715.]</w:t>
      </w:r>
    </w:p>
    <w:p>
      <w:pPr>
        <w:pStyle w:val="Heading5"/>
      </w:pPr>
      <w:bookmarkStart w:id="58" w:name="_Toc156559704"/>
      <w:r>
        <w:rPr>
          <w:rStyle w:val="CharSectno"/>
        </w:rPr>
        <w:t>5O</w:t>
      </w:r>
      <w:r>
        <w:t>.</w:t>
      </w:r>
      <w:r>
        <w:tab/>
        <w:t>Reduction, waiver, or refund of fees, CEO’s powers as to</w:t>
      </w:r>
      <w:bookmarkEnd w:id="58"/>
    </w:p>
    <w:p>
      <w:pPr>
        <w:pStyle w:val="Subsection"/>
        <w:keepNext/>
      </w:pPr>
      <w:r>
        <w:tab/>
      </w:r>
      <w:r>
        <w:tab/>
        <w:t>The Chief Executive Officer may reduce, waive, or refund, in whole or part, any fee referred to in these regulations relating to a works approval, licence, or registration.</w:t>
      </w:r>
    </w:p>
    <w:p>
      <w:pPr>
        <w:pStyle w:val="Footnotesection"/>
      </w:pPr>
      <w:r>
        <w:tab/>
        <w:t>[Regulation 5O inserted: Gazette 15 Aug 2000 p. 4715.]</w:t>
      </w:r>
    </w:p>
    <w:p>
      <w:pPr>
        <w:pStyle w:val="Heading2"/>
      </w:pPr>
      <w:bookmarkStart w:id="59" w:name="_Toc156549290"/>
      <w:bookmarkStart w:id="60" w:name="_Toc156551269"/>
      <w:bookmarkStart w:id="61" w:name="_Toc156551402"/>
      <w:bookmarkStart w:id="62" w:name="_Toc156552193"/>
      <w:bookmarkStart w:id="63" w:name="_Toc156559705"/>
      <w:r>
        <w:rPr>
          <w:rStyle w:val="CharPartNo"/>
        </w:rPr>
        <w:lastRenderedPageBreak/>
        <w:t>Part 3A</w:t>
      </w:r>
      <w:r>
        <w:rPr>
          <w:rStyle w:val="CharDivNo"/>
        </w:rPr>
        <w:t> </w:t>
      </w:r>
      <w:r>
        <w:t>—</w:t>
      </w:r>
      <w:r>
        <w:rPr>
          <w:rStyle w:val="CharDivText"/>
        </w:rPr>
        <w:t> </w:t>
      </w:r>
      <w:r>
        <w:rPr>
          <w:rStyle w:val="CharPartText"/>
        </w:rPr>
        <w:t>Use of mercury in manufacturing</w:t>
      </w:r>
      <w:bookmarkEnd w:id="59"/>
      <w:bookmarkEnd w:id="60"/>
      <w:bookmarkEnd w:id="61"/>
      <w:bookmarkEnd w:id="62"/>
      <w:bookmarkEnd w:id="63"/>
    </w:p>
    <w:p>
      <w:pPr>
        <w:pStyle w:val="Footnoteheading"/>
        <w:rPr>
          <w:snapToGrid w:val="0"/>
        </w:rPr>
      </w:pPr>
      <w:r>
        <w:rPr>
          <w:snapToGrid w:val="0"/>
        </w:rPr>
        <w:tab/>
        <w:t>[Heading inserted: SL 2021/190 r. 4.]</w:t>
      </w:r>
    </w:p>
    <w:p>
      <w:pPr>
        <w:pStyle w:val="Heading5"/>
      </w:pPr>
      <w:bookmarkStart w:id="64" w:name="_Toc156559706"/>
      <w:r>
        <w:rPr>
          <w:rStyle w:val="CharSectno"/>
        </w:rPr>
        <w:t>5P</w:t>
      </w:r>
      <w:r>
        <w:t>.</w:t>
      </w:r>
      <w:r>
        <w:tab/>
        <w:t>Terms used</w:t>
      </w:r>
      <w:bookmarkEnd w:id="64"/>
    </w:p>
    <w:p>
      <w:pPr>
        <w:pStyle w:val="Subsection"/>
      </w:pPr>
      <w:r>
        <w:tab/>
      </w:r>
      <w:r>
        <w:tab/>
        <w:t>In this Part —</w:t>
      </w:r>
    </w:p>
    <w:p>
      <w:pPr>
        <w:pStyle w:val="Defstart"/>
      </w:pPr>
      <w:r>
        <w:tab/>
      </w:r>
      <w:r>
        <w:rPr>
          <w:rStyle w:val="CharDefText"/>
        </w:rPr>
        <w:t>mercury</w:t>
      </w:r>
      <w:r>
        <w:t xml:space="preserve"> means elemental mercury (Hg(0), CAS No. 7439</w:t>
      </w:r>
      <w:r>
        <w:noBreakHyphen/>
        <w:t>97</w:t>
      </w:r>
      <w:r>
        <w:noBreakHyphen/>
        <w:t>6);</w:t>
      </w:r>
    </w:p>
    <w:p>
      <w:pPr>
        <w:pStyle w:val="Defstart"/>
      </w:pPr>
      <w:r>
        <w:tab/>
      </w:r>
      <w:r>
        <w:rPr>
          <w:rStyle w:val="CharDefText"/>
        </w:rPr>
        <w:t>mercury</w:t>
      </w:r>
      <w:r>
        <w:rPr>
          <w:rStyle w:val="CharDefText"/>
        </w:rPr>
        <w:noBreakHyphen/>
        <w:t>added product</w:t>
      </w:r>
      <w:r>
        <w:t xml:space="preserve"> means a product or product component that contains mercury or a mercury compound that was intentionally added;</w:t>
      </w:r>
    </w:p>
    <w:p>
      <w:pPr>
        <w:pStyle w:val="Defstart"/>
      </w:pPr>
      <w:r>
        <w:tab/>
      </w:r>
      <w:r>
        <w:rPr>
          <w:rStyle w:val="CharDefText"/>
        </w:rPr>
        <w:t>mercury compound</w:t>
      </w:r>
      <w:r>
        <w:t xml:space="preserve"> means any substance consisting of atoms of mercury and 1 or more atoms of another chemical element, which can only be separated into different components by a chemical reaction;</w:t>
      </w:r>
    </w:p>
    <w:p>
      <w:pPr>
        <w:pStyle w:val="Defstart"/>
      </w:pPr>
      <w:r>
        <w:tab/>
      </w:r>
      <w:r>
        <w:rPr>
          <w:rStyle w:val="CharDefText"/>
        </w:rPr>
        <w:t>prohibited manufacturing process</w:t>
      </w:r>
      <w:r>
        <w:t> —</w:t>
      </w:r>
    </w:p>
    <w:p>
      <w:pPr>
        <w:pStyle w:val="Defpara"/>
      </w:pPr>
      <w:r>
        <w:tab/>
        <w:t>(a)</w:t>
      </w:r>
      <w:r>
        <w:tab/>
        <w:t>means a process that uses mercury or a mercury compound to produce any of the following —</w:t>
      </w:r>
    </w:p>
    <w:p>
      <w:pPr>
        <w:pStyle w:val="Defsubpara"/>
      </w:pPr>
      <w:r>
        <w:tab/>
        <w:t>(i)</w:t>
      </w:r>
      <w:r>
        <w:tab/>
        <w:t>acetaldehyde;</w:t>
      </w:r>
    </w:p>
    <w:p>
      <w:pPr>
        <w:pStyle w:val="Defsubpara"/>
      </w:pPr>
      <w:r>
        <w:tab/>
        <w:t>(ii)</w:t>
      </w:r>
      <w:r>
        <w:tab/>
        <w:t>chlor</w:t>
      </w:r>
      <w:r>
        <w:noBreakHyphen/>
        <w:t>alkali;</w:t>
      </w:r>
    </w:p>
    <w:p>
      <w:pPr>
        <w:pStyle w:val="Defsubpara"/>
      </w:pPr>
      <w:r>
        <w:tab/>
        <w:t>(iii)</w:t>
      </w:r>
      <w:r>
        <w:tab/>
        <w:t>polyurethane;</w:t>
      </w:r>
    </w:p>
    <w:p>
      <w:pPr>
        <w:pStyle w:val="Defsubpara"/>
      </w:pPr>
      <w:r>
        <w:tab/>
        <w:t>(iv)</w:t>
      </w:r>
      <w:r>
        <w:tab/>
        <w:t>potassium ethylate;</w:t>
      </w:r>
    </w:p>
    <w:p>
      <w:pPr>
        <w:pStyle w:val="Defsubpara"/>
      </w:pPr>
      <w:r>
        <w:tab/>
        <w:t>(v)</w:t>
      </w:r>
      <w:r>
        <w:tab/>
        <w:t>potassium methylate;</w:t>
      </w:r>
    </w:p>
    <w:p>
      <w:pPr>
        <w:pStyle w:val="Defsubpara"/>
      </w:pPr>
      <w:r>
        <w:tab/>
        <w:t>(vi)</w:t>
      </w:r>
      <w:r>
        <w:tab/>
        <w:t>sodium ethylate;</w:t>
      </w:r>
    </w:p>
    <w:p>
      <w:pPr>
        <w:pStyle w:val="Defsubpara"/>
      </w:pPr>
      <w:r>
        <w:tab/>
        <w:t>(vii)</w:t>
      </w:r>
      <w:r>
        <w:tab/>
        <w:t>sodium methylate;</w:t>
      </w:r>
    </w:p>
    <w:p>
      <w:pPr>
        <w:pStyle w:val="Defsubpara"/>
      </w:pPr>
      <w:r>
        <w:tab/>
        <w:t>(viii)</w:t>
      </w:r>
      <w:r>
        <w:tab/>
        <w:t>vinyl chloride monomer;</w:t>
      </w:r>
    </w:p>
    <w:p>
      <w:pPr>
        <w:pStyle w:val="Defpara"/>
      </w:pPr>
      <w:r>
        <w:tab/>
      </w:r>
      <w:r>
        <w:tab/>
        <w:t>but</w:t>
      </w:r>
    </w:p>
    <w:p>
      <w:pPr>
        <w:pStyle w:val="Defpara"/>
      </w:pPr>
      <w:r>
        <w:tab/>
        <w:t>(b)</w:t>
      </w:r>
      <w:r>
        <w:tab/>
        <w:t>does not include a process that uses a mercury</w:t>
      </w:r>
      <w:r>
        <w:noBreakHyphen/>
        <w:t>added product instead of mercury or a mercury compound.</w:t>
      </w:r>
    </w:p>
    <w:p>
      <w:pPr>
        <w:pStyle w:val="Footnotesection"/>
      </w:pPr>
      <w:r>
        <w:tab/>
        <w:t>[Regulation 5P inserted: SL 2021/190 r. 4.]</w:t>
      </w:r>
    </w:p>
    <w:p>
      <w:pPr>
        <w:pStyle w:val="Heading5"/>
      </w:pPr>
      <w:bookmarkStart w:id="65" w:name="_Toc156559707"/>
      <w:r>
        <w:rPr>
          <w:rStyle w:val="CharSectno"/>
        </w:rPr>
        <w:lastRenderedPageBreak/>
        <w:t>5Q</w:t>
      </w:r>
      <w:r>
        <w:t>.</w:t>
      </w:r>
      <w:r>
        <w:tab/>
        <w:t>Offence to conduct a prohibited manufacturing process</w:t>
      </w:r>
      <w:bookmarkEnd w:id="65"/>
    </w:p>
    <w:p>
      <w:pPr>
        <w:pStyle w:val="Subsection"/>
      </w:pPr>
      <w:r>
        <w:tab/>
      </w:r>
      <w:r>
        <w:tab/>
        <w:t xml:space="preserve">A person must not conduct a prohibited manufacturing process. </w:t>
      </w:r>
    </w:p>
    <w:p>
      <w:pPr>
        <w:pStyle w:val="Penstart"/>
      </w:pPr>
      <w:r>
        <w:tab/>
        <w:t>Penalty: a fine of $20 000.</w:t>
      </w:r>
    </w:p>
    <w:p>
      <w:pPr>
        <w:pStyle w:val="Footnotesection"/>
      </w:pPr>
      <w:r>
        <w:tab/>
        <w:t>[Regulation 5Q inserted: SL 2021/190 r. 4.]</w:t>
      </w:r>
    </w:p>
    <w:p>
      <w:pPr>
        <w:pStyle w:val="Heading2"/>
      </w:pPr>
      <w:bookmarkStart w:id="66" w:name="_Toc156549293"/>
      <w:bookmarkStart w:id="67" w:name="_Toc156551272"/>
      <w:bookmarkStart w:id="68" w:name="_Toc156551405"/>
      <w:bookmarkStart w:id="69" w:name="_Toc156552196"/>
      <w:bookmarkStart w:id="70" w:name="_Toc156559708"/>
      <w:r>
        <w:rPr>
          <w:rStyle w:val="CharPartNo"/>
        </w:rPr>
        <w:lastRenderedPageBreak/>
        <w:t>Part 4</w:t>
      </w:r>
      <w:r>
        <w:rPr>
          <w:rStyle w:val="CharDivNo"/>
        </w:rPr>
        <w:t> </w:t>
      </w:r>
      <w:r>
        <w:t>—</w:t>
      </w:r>
      <w:r>
        <w:rPr>
          <w:rStyle w:val="CharDivText"/>
        </w:rPr>
        <w:t> </w:t>
      </w:r>
      <w:r>
        <w:rPr>
          <w:rStyle w:val="CharPartText"/>
        </w:rPr>
        <w:t>Audible alarms</w:t>
      </w:r>
      <w:bookmarkEnd w:id="66"/>
      <w:bookmarkEnd w:id="67"/>
      <w:bookmarkEnd w:id="68"/>
      <w:bookmarkEnd w:id="69"/>
      <w:bookmarkEnd w:id="70"/>
    </w:p>
    <w:p>
      <w:pPr>
        <w:pStyle w:val="Footnoteheading"/>
        <w:rPr>
          <w:snapToGrid w:val="0"/>
        </w:rPr>
      </w:pPr>
      <w:r>
        <w:rPr>
          <w:snapToGrid w:val="0"/>
        </w:rPr>
        <w:tab/>
        <w:t>[Heading inserted: Gazette 13 Sep 1996 p. 4545.]</w:t>
      </w:r>
    </w:p>
    <w:p>
      <w:pPr>
        <w:pStyle w:val="Heading5"/>
        <w:rPr>
          <w:snapToGrid w:val="0"/>
        </w:rPr>
      </w:pPr>
      <w:bookmarkStart w:id="71" w:name="_Toc156559709"/>
      <w:r>
        <w:rPr>
          <w:rStyle w:val="CharSectno"/>
        </w:rPr>
        <w:t>6</w:t>
      </w:r>
      <w:r>
        <w:rPr>
          <w:snapToGrid w:val="0"/>
        </w:rPr>
        <w:t>.</w:t>
      </w:r>
      <w:r>
        <w:rPr>
          <w:snapToGrid w:val="0"/>
        </w:rPr>
        <w:tab/>
        <w:t>Period prescribed for audible alarms (Act s. 99(1)(a))</w:t>
      </w:r>
      <w:bookmarkEnd w:id="71"/>
    </w:p>
    <w:p>
      <w:pPr>
        <w:pStyle w:val="Subsection"/>
        <w:rPr>
          <w:snapToGrid w:val="0"/>
        </w:rPr>
      </w:pPr>
      <w:r>
        <w:rPr>
          <w:snapToGrid w:val="0"/>
        </w:rPr>
        <w:tab/>
      </w:r>
      <w:r>
        <w:rPr>
          <w:snapToGrid w:val="0"/>
        </w:rPr>
        <w:tab/>
        <w:t>For the purposes of section 99(1)(a), the prescribed period is 30 minutes.</w:t>
      </w:r>
    </w:p>
    <w:p>
      <w:pPr>
        <w:pStyle w:val="Heading2"/>
      </w:pPr>
      <w:bookmarkStart w:id="72" w:name="_Toc156549295"/>
      <w:bookmarkStart w:id="73" w:name="_Toc156551274"/>
      <w:bookmarkStart w:id="74" w:name="_Toc156551407"/>
      <w:bookmarkStart w:id="75" w:name="_Toc156552198"/>
      <w:bookmarkStart w:id="76" w:name="_Toc156559710"/>
      <w:r>
        <w:rPr>
          <w:rStyle w:val="CharPartNo"/>
        </w:rPr>
        <w:lastRenderedPageBreak/>
        <w:t>Part 5</w:t>
      </w:r>
      <w:r>
        <w:rPr>
          <w:rStyle w:val="CharDivNo"/>
        </w:rPr>
        <w:t> </w:t>
      </w:r>
      <w:r>
        <w:t>—</w:t>
      </w:r>
      <w:r>
        <w:rPr>
          <w:rStyle w:val="CharDivText"/>
        </w:rPr>
        <w:t> </w:t>
      </w:r>
      <w:r>
        <w:rPr>
          <w:rStyle w:val="CharPartText"/>
        </w:rPr>
        <w:t>Appeals</w:t>
      </w:r>
      <w:bookmarkEnd w:id="72"/>
      <w:bookmarkEnd w:id="73"/>
      <w:bookmarkEnd w:id="74"/>
      <w:bookmarkEnd w:id="75"/>
      <w:bookmarkEnd w:id="76"/>
    </w:p>
    <w:p>
      <w:pPr>
        <w:pStyle w:val="Footnoteheading"/>
        <w:rPr>
          <w:snapToGrid w:val="0"/>
        </w:rPr>
      </w:pPr>
      <w:r>
        <w:rPr>
          <w:snapToGrid w:val="0"/>
        </w:rPr>
        <w:tab/>
        <w:t>[Heading inserted: Gazette 13 Sep 1996 p. 4545.]</w:t>
      </w:r>
    </w:p>
    <w:p>
      <w:pPr>
        <w:pStyle w:val="Heading5"/>
        <w:spacing w:before="240"/>
        <w:rPr>
          <w:snapToGrid w:val="0"/>
        </w:rPr>
      </w:pPr>
      <w:bookmarkStart w:id="77" w:name="_Toc156559711"/>
      <w:r>
        <w:rPr>
          <w:rStyle w:val="CharSectno"/>
        </w:rPr>
        <w:t>7</w:t>
      </w:r>
      <w:r>
        <w:rPr>
          <w:snapToGrid w:val="0"/>
        </w:rPr>
        <w:t>.</w:t>
      </w:r>
      <w:r>
        <w:rPr>
          <w:snapToGrid w:val="0"/>
        </w:rPr>
        <w:tab/>
        <w:t>Commencing appeals under Act Part VII, manner of</w:t>
      </w:r>
      <w:bookmarkEnd w:id="77"/>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lastRenderedPageBreak/>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Gazette 28 Jun 2016 p. 2632.]</w:t>
      </w:r>
    </w:p>
    <w:p>
      <w:pPr>
        <w:pStyle w:val="Heading5"/>
        <w:rPr>
          <w:snapToGrid w:val="0"/>
        </w:rPr>
      </w:pPr>
      <w:bookmarkStart w:id="78" w:name="_Toc156559712"/>
      <w:r>
        <w:rPr>
          <w:rStyle w:val="CharSectno"/>
        </w:rPr>
        <w:t>8</w:t>
      </w:r>
      <w:r>
        <w:rPr>
          <w:snapToGrid w:val="0"/>
        </w:rPr>
        <w:t>.</w:t>
      </w:r>
      <w:r>
        <w:rPr>
          <w:snapToGrid w:val="0"/>
        </w:rPr>
        <w:tab/>
        <w:t>Decisions on appeals, Minister to publish</w:t>
      </w:r>
      <w:bookmarkEnd w:id="78"/>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 xml:space="preserve">in the case of an appeal lodged under section 102 of the Act in respect of a works approval or licence, the name </w:t>
      </w:r>
      <w:r>
        <w:rPr>
          <w:snapToGrid w:val="0"/>
        </w:rPr>
        <w:lastRenderedPageBreak/>
        <w:t>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Gazette 24 Jan 1992 p. 362; 11 Dec 1998 p. 6600; 28 Jun 2016 p. 2632.]</w:t>
      </w:r>
    </w:p>
    <w:p>
      <w:pPr>
        <w:pStyle w:val="Heading5"/>
        <w:rPr>
          <w:snapToGrid w:val="0"/>
        </w:rPr>
      </w:pPr>
      <w:bookmarkStart w:id="79" w:name="_Toc156559713"/>
      <w:r>
        <w:rPr>
          <w:rStyle w:val="CharSectno"/>
        </w:rPr>
        <w:t>9</w:t>
      </w:r>
      <w:r>
        <w:rPr>
          <w:snapToGrid w:val="0"/>
        </w:rPr>
        <w:t>.</w:t>
      </w:r>
      <w:r>
        <w:rPr>
          <w:snapToGrid w:val="0"/>
        </w:rPr>
        <w:tab/>
        <w:t>Decisions on appeals, persons to be notified of</w:t>
      </w:r>
      <w:bookmarkEnd w:id="79"/>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lastRenderedPageBreak/>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Gazette 28 Jun 2016 p. 2632.]</w:t>
      </w:r>
    </w:p>
    <w:p>
      <w:pPr>
        <w:pStyle w:val="Heading2"/>
      </w:pPr>
      <w:bookmarkStart w:id="80" w:name="_Toc156549299"/>
      <w:bookmarkStart w:id="81" w:name="_Toc156551278"/>
      <w:bookmarkStart w:id="82" w:name="_Toc156551411"/>
      <w:bookmarkStart w:id="83" w:name="_Toc156552202"/>
      <w:bookmarkStart w:id="84" w:name="_Toc156559714"/>
      <w:r>
        <w:rPr>
          <w:rStyle w:val="CharPartNo"/>
        </w:rPr>
        <w:lastRenderedPageBreak/>
        <w:t>Part 6</w:t>
      </w:r>
      <w:r>
        <w:rPr>
          <w:rStyle w:val="CharDivNo"/>
        </w:rPr>
        <w:t> </w:t>
      </w:r>
      <w:r>
        <w:t>—</w:t>
      </w:r>
      <w:r>
        <w:rPr>
          <w:rStyle w:val="CharDivText"/>
        </w:rPr>
        <w:t> </w:t>
      </w:r>
      <w:r>
        <w:rPr>
          <w:rStyle w:val="CharPartText"/>
        </w:rPr>
        <w:t>Tyres</w:t>
      </w:r>
      <w:bookmarkEnd w:id="80"/>
      <w:bookmarkEnd w:id="81"/>
      <w:bookmarkEnd w:id="82"/>
      <w:bookmarkEnd w:id="83"/>
      <w:bookmarkEnd w:id="84"/>
    </w:p>
    <w:p>
      <w:pPr>
        <w:pStyle w:val="Footnoteheading"/>
        <w:rPr>
          <w:snapToGrid w:val="0"/>
        </w:rPr>
      </w:pPr>
      <w:r>
        <w:rPr>
          <w:snapToGrid w:val="0"/>
        </w:rPr>
        <w:tab/>
        <w:t>[Heading inserted: Gazette 13 Sep 1996 p. 4545.]</w:t>
      </w:r>
    </w:p>
    <w:p>
      <w:pPr>
        <w:pStyle w:val="Ednotesection"/>
      </w:pPr>
      <w:r>
        <w:t>[</w:t>
      </w:r>
      <w:r>
        <w:rPr>
          <w:b/>
        </w:rPr>
        <w:t>10.</w:t>
      </w:r>
      <w:r>
        <w:tab/>
        <w:t>Deleted: Gazette 31 Dec 1993 p. 6878.]</w:t>
      </w:r>
    </w:p>
    <w:p>
      <w:pPr>
        <w:pStyle w:val="Heading5"/>
        <w:rPr>
          <w:snapToGrid w:val="0"/>
        </w:rPr>
      </w:pPr>
      <w:bookmarkStart w:id="85" w:name="_Toc156559715"/>
      <w:r>
        <w:rPr>
          <w:rStyle w:val="CharSectno"/>
        </w:rPr>
        <w:t>11</w:t>
      </w:r>
      <w:r>
        <w:rPr>
          <w:snapToGrid w:val="0"/>
        </w:rPr>
        <w:t>.</w:t>
      </w:r>
      <w:r>
        <w:rPr>
          <w:snapToGrid w:val="0"/>
        </w:rPr>
        <w:tab/>
        <w:t>Terms used; calculating quantity of used tyres</w:t>
      </w:r>
      <w:bookmarkEnd w:id="85"/>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lastRenderedPageBreak/>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Gazette 30 Aug 1991 p. 4554</w:t>
      </w:r>
      <w:r>
        <w:noBreakHyphen/>
        <w:t>5; amended: Gazette 12 Nov 1996 p. 6303; 10 Dec 1996 p. 6877; 28 Jun 2016 p. 2631</w:t>
      </w:r>
      <w:r>
        <w:noBreakHyphen/>
        <w:t>2; 10 Jan 2017 p. 197.]</w:t>
      </w:r>
    </w:p>
    <w:p>
      <w:pPr>
        <w:pStyle w:val="Heading5"/>
        <w:rPr>
          <w:snapToGrid w:val="0"/>
        </w:rPr>
      </w:pPr>
      <w:bookmarkStart w:id="86" w:name="_Toc156559716"/>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86"/>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Gazette 30 Aug 1991 p. 4555; amended: Gazette 12 Nov 1996 p. 6303</w:t>
      </w:r>
      <w:r>
        <w:noBreakHyphen/>
        <w:t>4.]</w:t>
      </w:r>
    </w:p>
    <w:p>
      <w:pPr>
        <w:pStyle w:val="Heading5"/>
        <w:rPr>
          <w:snapToGrid w:val="0"/>
        </w:rPr>
      </w:pPr>
      <w:bookmarkStart w:id="87" w:name="_Toc156559717"/>
      <w:r>
        <w:rPr>
          <w:rStyle w:val="CharSectno"/>
        </w:rPr>
        <w:t>13</w:t>
      </w:r>
      <w:r>
        <w:rPr>
          <w:snapToGrid w:val="0"/>
        </w:rPr>
        <w:t>.</w:t>
      </w:r>
      <w:r>
        <w:rPr>
          <w:snapToGrid w:val="0"/>
        </w:rPr>
        <w:tab/>
        <w:t>Transport of used tyres for reward etc., when permitted</w:t>
      </w:r>
      <w:bookmarkEnd w:id="87"/>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lastRenderedPageBreak/>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Gazette 30 Aug 1991 p. 4555; amended: Gazette 11 Dec 1998 p. 6600; 28 Jun 2016 p. 2632.]</w:t>
      </w:r>
    </w:p>
    <w:p>
      <w:pPr>
        <w:pStyle w:val="Heading5"/>
        <w:spacing w:before="200"/>
        <w:rPr>
          <w:snapToGrid w:val="0"/>
        </w:rPr>
      </w:pPr>
      <w:bookmarkStart w:id="88" w:name="_Toc156559718"/>
      <w:r>
        <w:rPr>
          <w:rStyle w:val="CharSectno"/>
        </w:rPr>
        <w:t>13A</w:t>
      </w:r>
      <w:r>
        <w:rPr>
          <w:snapToGrid w:val="0"/>
        </w:rPr>
        <w:t>.</w:t>
      </w:r>
      <w:r>
        <w:rPr>
          <w:snapToGrid w:val="0"/>
        </w:rPr>
        <w:tab/>
        <w:t>Tyre retailer not to damage used tyres</w:t>
      </w:r>
      <w:bookmarkEnd w:id="88"/>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Gazette 12 Nov 1996 p. 6304; amended: Gazette 11 Dec 1998 p. 6600; 28 Jun 2016 p. 2632.]</w:t>
      </w:r>
    </w:p>
    <w:p>
      <w:pPr>
        <w:pStyle w:val="Heading5"/>
        <w:spacing w:before="200"/>
        <w:rPr>
          <w:snapToGrid w:val="0"/>
        </w:rPr>
      </w:pPr>
      <w:bookmarkStart w:id="89" w:name="_Toc156559719"/>
      <w:r>
        <w:rPr>
          <w:rStyle w:val="CharSectno"/>
        </w:rPr>
        <w:t>14</w:t>
      </w:r>
      <w:r>
        <w:rPr>
          <w:snapToGrid w:val="0"/>
        </w:rPr>
        <w:t>.</w:t>
      </w:r>
      <w:r>
        <w:rPr>
          <w:snapToGrid w:val="0"/>
        </w:rPr>
        <w:tab/>
        <w:t>Disposal of tyres, permitted means for</w:t>
      </w:r>
      <w:bookmarkEnd w:id="89"/>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401"/>
        <w:gridCol w:w="2250"/>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lastRenderedPageBreak/>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 xml:space="preserve">in accordance with such conditions as are imposed by the Chief Executive Officer in respect of that burial for the purpose of ensuring that drainage, safety, soil erosion and soil stability at, </w:t>
      </w:r>
      <w:r>
        <w:rPr>
          <w:snapToGrid w:val="0"/>
        </w:rPr>
        <w:lastRenderedPageBreak/>
        <w:t>and in the vicinity of, the site of that burial are adequately controlled.</w:t>
      </w:r>
    </w:p>
    <w:p>
      <w:pPr>
        <w:pStyle w:val="Footnotesection"/>
      </w:pPr>
      <w:r>
        <w:tab/>
        <w:t>[Regulation 14 inserted: Gazette 30 Aug 1991 p. 4555; amended: Gazette 4 Dec 1992 p. 5889; 12 Nov 1996 p. 6304</w:t>
      </w:r>
      <w:r>
        <w:noBreakHyphen/>
        <w:t>5.]</w:t>
      </w:r>
    </w:p>
    <w:p>
      <w:pPr>
        <w:pStyle w:val="Heading5"/>
        <w:rPr>
          <w:snapToGrid w:val="0"/>
        </w:rPr>
      </w:pPr>
      <w:bookmarkStart w:id="90" w:name="_Toc156559720"/>
      <w:r>
        <w:rPr>
          <w:rStyle w:val="CharSectno"/>
        </w:rPr>
        <w:t>15</w:t>
      </w:r>
      <w:r>
        <w:rPr>
          <w:snapToGrid w:val="0"/>
        </w:rPr>
        <w:t>.</w:t>
      </w:r>
      <w:r>
        <w:rPr>
          <w:snapToGrid w:val="0"/>
        </w:rPr>
        <w:tab/>
        <w:t>Used tyres, storage of on licensed premises</w:t>
      </w:r>
      <w:bookmarkEnd w:id="90"/>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Gazette 30 Aug 1991 p. 4555; amended: Gazette 28 Jun 2016 p. 2632.]</w:t>
      </w:r>
    </w:p>
    <w:p>
      <w:pPr>
        <w:pStyle w:val="Heading2"/>
      </w:pPr>
      <w:bookmarkStart w:id="91" w:name="_Toc156549306"/>
      <w:bookmarkStart w:id="92" w:name="_Toc156551285"/>
      <w:bookmarkStart w:id="93" w:name="_Toc156551418"/>
      <w:bookmarkStart w:id="94" w:name="_Toc156552209"/>
      <w:bookmarkStart w:id="95" w:name="_Toc156559721"/>
      <w:r>
        <w:rPr>
          <w:rStyle w:val="CharPartNo"/>
        </w:rPr>
        <w:lastRenderedPageBreak/>
        <w:t>Part 7</w:t>
      </w:r>
      <w:r>
        <w:rPr>
          <w:rStyle w:val="CharDivNo"/>
        </w:rPr>
        <w:t> </w:t>
      </w:r>
      <w:r>
        <w:t>—</w:t>
      </w:r>
      <w:r>
        <w:rPr>
          <w:rStyle w:val="CharDivText"/>
        </w:rPr>
        <w:t> </w:t>
      </w:r>
      <w:r>
        <w:rPr>
          <w:rStyle w:val="CharPartText"/>
        </w:rPr>
        <w:t>Anti</w:t>
      </w:r>
      <w:r>
        <w:rPr>
          <w:rStyle w:val="CharPartText"/>
        </w:rPr>
        <w:noBreakHyphen/>
        <w:t>fouling paint</w:t>
      </w:r>
      <w:bookmarkEnd w:id="91"/>
      <w:bookmarkEnd w:id="92"/>
      <w:bookmarkEnd w:id="93"/>
      <w:bookmarkEnd w:id="94"/>
      <w:bookmarkEnd w:id="95"/>
    </w:p>
    <w:p>
      <w:pPr>
        <w:pStyle w:val="Footnoteheading"/>
        <w:rPr>
          <w:snapToGrid w:val="0"/>
        </w:rPr>
      </w:pPr>
      <w:r>
        <w:rPr>
          <w:snapToGrid w:val="0"/>
        </w:rPr>
        <w:tab/>
        <w:t>[Heading inserted: Gazette 13 Sep 1996 p. 4545.]</w:t>
      </w:r>
    </w:p>
    <w:p>
      <w:pPr>
        <w:pStyle w:val="Heading5"/>
        <w:rPr>
          <w:snapToGrid w:val="0"/>
        </w:rPr>
      </w:pPr>
      <w:bookmarkStart w:id="96" w:name="_Toc156559722"/>
      <w:r>
        <w:rPr>
          <w:rStyle w:val="CharSectno"/>
        </w:rPr>
        <w:t>16</w:t>
      </w:r>
      <w:r>
        <w:rPr>
          <w:snapToGrid w:val="0"/>
        </w:rPr>
        <w:t>.</w:t>
      </w:r>
      <w:r>
        <w:rPr>
          <w:snapToGrid w:val="0"/>
        </w:rPr>
        <w:tab/>
        <w:t>Organotin anti</w:t>
      </w:r>
      <w:r>
        <w:rPr>
          <w:snapToGrid w:val="0"/>
        </w:rPr>
        <w:noBreakHyphen/>
        <w:t>fouling paint, restrictions on use, sale etc. of</w:t>
      </w:r>
      <w:bookmarkEnd w:id="96"/>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lastRenderedPageBreak/>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Gazette 30 Aug 1991 p. 4553</w:t>
      </w:r>
      <w:r>
        <w:noBreakHyphen/>
        <w:t>4; amended: Gazette 11 Dec 1998 p. 6600; 28 Jun 2016 p. 2632.]</w:t>
      </w:r>
    </w:p>
    <w:p>
      <w:pPr>
        <w:pStyle w:val="Heading2"/>
      </w:pPr>
      <w:bookmarkStart w:id="97" w:name="_Toc156549308"/>
      <w:bookmarkStart w:id="98" w:name="_Toc156551287"/>
      <w:bookmarkStart w:id="99" w:name="_Toc156551420"/>
      <w:bookmarkStart w:id="100" w:name="_Toc156552211"/>
      <w:bookmarkStart w:id="101" w:name="_Toc156559723"/>
      <w:r>
        <w:rPr>
          <w:rStyle w:val="CharPartNo"/>
        </w:rPr>
        <w:lastRenderedPageBreak/>
        <w:t>Part 7A</w:t>
      </w:r>
      <w:r>
        <w:t> — </w:t>
      </w:r>
      <w:r>
        <w:rPr>
          <w:rStyle w:val="CharPartText"/>
        </w:rPr>
        <w:t>Burning on development sites</w:t>
      </w:r>
      <w:bookmarkEnd w:id="97"/>
      <w:bookmarkEnd w:id="98"/>
      <w:bookmarkEnd w:id="99"/>
      <w:bookmarkEnd w:id="100"/>
      <w:bookmarkEnd w:id="101"/>
    </w:p>
    <w:p>
      <w:pPr>
        <w:pStyle w:val="Footnoteheading"/>
      </w:pPr>
      <w:r>
        <w:tab/>
        <w:t>[Heading inserted: Gazette 19 Dec 2000 p. 7283.]</w:t>
      </w:r>
    </w:p>
    <w:p>
      <w:pPr>
        <w:pStyle w:val="Heading5"/>
      </w:pPr>
      <w:bookmarkStart w:id="102" w:name="_Toc156559724"/>
      <w:r>
        <w:rPr>
          <w:rStyle w:val="CharSectno"/>
        </w:rPr>
        <w:t>16A</w:t>
      </w:r>
      <w:r>
        <w:t>.</w:t>
      </w:r>
      <w:r>
        <w:tab/>
        <w:t>Terms used</w:t>
      </w:r>
      <w:bookmarkEnd w:id="102"/>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Gazette 19 Dec 2000 p. 7283; amended: Gazette 29 Sep 2006 p. 4261.]</w:t>
      </w:r>
    </w:p>
    <w:p>
      <w:pPr>
        <w:pStyle w:val="Heading5"/>
      </w:pPr>
      <w:bookmarkStart w:id="103" w:name="_Toc156559725"/>
      <w:r>
        <w:rPr>
          <w:rStyle w:val="CharSectno"/>
        </w:rPr>
        <w:t>16B</w:t>
      </w:r>
      <w:r>
        <w:t>.</w:t>
      </w:r>
      <w:r>
        <w:tab/>
        <w:t>Burning vegetation etc. on development sites in Sch. 5A areas restricted</w:t>
      </w:r>
      <w:bookmarkEnd w:id="103"/>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Gazette 19 Dec 2000 p. 7284.]</w:t>
      </w:r>
    </w:p>
    <w:p>
      <w:pPr>
        <w:pStyle w:val="Heading2"/>
      </w:pPr>
      <w:bookmarkStart w:id="104" w:name="_Toc156549311"/>
      <w:bookmarkStart w:id="105" w:name="_Toc156551290"/>
      <w:bookmarkStart w:id="106" w:name="_Toc156551423"/>
      <w:bookmarkStart w:id="107" w:name="_Toc156552214"/>
      <w:bookmarkStart w:id="108" w:name="_Toc156559726"/>
      <w:r>
        <w:rPr>
          <w:rStyle w:val="CharPartNo"/>
        </w:rPr>
        <w:lastRenderedPageBreak/>
        <w:t>Part 8</w:t>
      </w:r>
      <w:r>
        <w:t xml:space="preserve"> — </w:t>
      </w:r>
      <w:r>
        <w:rPr>
          <w:rStyle w:val="CharPartText"/>
        </w:rPr>
        <w:t>Monitoring</w:t>
      </w:r>
      <w:bookmarkEnd w:id="104"/>
      <w:bookmarkEnd w:id="105"/>
      <w:bookmarkEnd w:id="106"/>
      <w:bookmarkEnd w:id="107"/>
      <w:bookmarkEnd w:id="108"/>
    </w:p>
    <w:p>
      <w:pPr>
        <w:pStyle w:val="Footnoteheading"/>
        <w:spacing w:before="80"/>
        <w:rPr>
          <w:snapToGrid w:val="0"/>
        </w:rPr>
      </w:pPr>
      <w:r>
        <w:rPr>
          <w:snapToGrid w:val="0"/>
        </w:rPr>
        <w:tab/>
        <w:t>[Heading inserted: Gazette 5 Jan 2001 p. 115.]</w:t>
      </w:r>
    </w:p>
    <w:p>
      <w:pPr>
        <w:pStyle w:val="Heading5"/>
        <w:spacing w:before="180"/>
      </w:pPr>
      <w:bookmarkStart w:id="109" w:name="_Toc156559727"/>
      <w:r>
        <w:rPr>
          <w:rStyle w:val="CharSectno"/>
        </w:rPr>
        <w:t>17</w:t>
      </w:r>
      <w:r>
        <w:t>.</w:t>
      </w:r>
      <w:r>
        <w:tab/>
        <w:t>Terms used</w:t>
      </w:r>
      <w:bookmarkEnd w:id="109"/>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Gazette 5 Jan 2001 p. 115.]</w:t>
      </w:r>
    </w:p>
    <w:p>
      <w:pPr>
        <w:pStyle w:val="Heading5"/>
        <w:spacing w:before="180"/>
      </w:pPr>
      <w:bookmarkStart w:id="110" w:name="_Toc156559728"/>
      <w:r>
        <w:rPr>
          <w:rStyle w:val="CharSectno"/>
        </w:rPr>
        <w:t>18</w:t>
      </w:r>
      <w:r>
        <w:t>.</w:t>
      </w:r>
      <w:r>
        <w:tab/>
        <w:t>Conditions prescribed (Act s. 62(2))</w:t>
      </w:r>
      <w:bookmarkEnd w:id="110"/>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Gazette 5 Jan 2001 p. 115</w:t>
      </w:r>
      <w:r>
        <w:noBreakHyphen/>
        <w:t>16; amended: Gazette 28 Jun 2016 p. 2631.]</w:t>
      </w:r>
    </w:p>
    <w:p>
      <w:pPr>
        <w:pStyle w:val="Heading5"/>
        <w:spacing w:before="160"/>
      </w:pPr>
      <w:bookmarkStart w:id="111" w:name="_Toc156559729"/>
      <w:r>
        <w:rPr>
          <w:rStyle w:val="CharSectno"/>
        </w:rPr>
        <w:lastRenderedPageBreak/>
        <w:t>19</w:t>
      </w:r>
      <w:r>
        <w:t>.</w:t>
      </w:r>
      <w:r>
        <w:tab/>
        <w:t>Approved monitoring equipment, to be used in specified monitoring programmes</w:t>
      </w:r>
      <w:bookmarkEnd w:id="111"/>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12" w:author="Isobel Bond" w:date="2018-12-03T15:33:00Z" w:original=""/>
        </w:fldChar>
      </w:r>
      <w:r>
        <w:tab/>
        <w:t>Penalty: $5 000.</w:t>
      </w:r>
    </w:p>
    <w:p>
      <w:pPr>
        <w:pStyle w:val="Footnotesection"/>
        <w:ind w:left="890" w:hanging="890"/>
      </w:pPr>
      <w:r>
        <w:tab/>
        <w:t>[Regulation 19 inserted: Gazette 7 Jul 2000 p. 3678.]</w:t>
      </w:r>
    </w:p>
    <w:p>
      <w:pPr>
        <w:pStyle w:val="Heading5"/>
        <w:keepNext w:val="0"/>
        <w:keepLines w:val="0"/>
        <w:spacing w:before="180"/>
      </w:pPr>
      <w:bookmarkStart w:id="113" w:name="_Toc156559730"/>
      <w:r>
        <w:rPr>
          <w:rStyle w:val="CharSectno"/>
        </w:rPr>
        <w:t>20</w:t>
      </w:r>
      <w:r>
        <w:t>.</w:t>
      </w:r>
      <w:r>
        <w:tab/>
        <w:t>Approved monitoring equipment, duty to ensure accuracy of</w:t>
      </w:r>
      <w:bookmarkEnd w:id="113"/>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fldChar w:fldCharType="begin"/>
      </w:r>
      <w:r>
        <w:instrText xml:space="preserve"> LISTNUM PenaltyNumbers \l1 </w:instrText>
      </w:r>
      <w:r>
        <w:fldChar w:fldCharType="end">
          <w:numberingChange w:id="114" w:author="Isobel Bond" w:date="2018-12-03T15:33:00Z" w:original=""/>
        </w:fldChar>
      </w: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Gazette 7 Jul 2000 p. 3678</w:t>
      </w:r>
      <w:r>
        <w:noBreakHyphen/>
        <w:t>9.]</w:t>
      </w:r>
    </w:p>
    <w:p>
      <w:pPr>
        <w:pStyle w:val="Heading5"/>
        <w:spacing w:before="180"/>
      </w:pPr>
      <w:bookmarkStart w:id="115" w:name="_Toc156559731"/>
      <w:r>
        <w:rPr>
          <w:rStyle w:val="CharSectno"/>
        </w:rPr>
        <w:lastRenderedPageBreak/>
        <w:t>20A</w:t>
      </w:r>
      <w:r>
        <w:t>.</w:t>
      </w:r>
      <w:r>
        <w:tab/>
        <w:t>Approved monitoring equipment, duty to comply with conditions of approval of</w:t>
      </w:r>
      <w:bookmarkEnd w:id="115"/>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Gazette 7 Jul 2000 p. 3679.]</w:t>
      </w:r>
    </w:p>
    <w:p>
      <w:pPr>
        <w:pStyle w:val="Heading5"/>
      </w:pPr>
      <w:bookmarkStart w:id="116" w:name="_Toc156559732"/>
      <w:r>
        <w:rPr>
          <w:rStyle w:val="CharSectno"/>
        </w:rPr>
        <w:t>20B</w:t>
      </w:r>
      <w:r>
        <w:t>.</w:t>
      </w:r>
      <w:r>
        <w:tab/>
        <w:t>Approved monitoring equipment, duty to report results of to CEO</w:t>
      </w:r>
      <w:bookmarkEnd w:id="116"/>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lastRenderedPageBreak/>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Gazette 7 Jul 2000 p. 3679</w:t>
      </w:r>
      <w:r>
        <w:noBreakHyphen/>
        <w:t>80; amended: Gazette 5 Jan 2001 p. 116.]</w:t>
      </w:r>
    </w:p>
    <w:p>
      <w:pPr>
        <w:pStyle w:val="Heading5"/>
      </w:pPr>
      <w:bookmarkStart w:id="117" w:name="_Toc156559733"/>
      <w:r>
        <w:rPr>
          <w:rStyle w:val="CharSectno"/>
        </w:rPr>
        <w:t>20C</w:t>
      </w:r>
      <w:r>
        <w:t>.</w:t>
      </w:r>
      <w:r>
        <w:tab/>
        <w:t>Approved monitoring equipment, presumption of accuracy of</w:t>
      </w:r>
      <w:bookmarkEnd w:id="117"/>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Gazette 7 Jul 2000 p. 3680.]</w:t>
      </w:r>
    </w:p>
    <w:p>
      <w:pPr>
        <w:pStyle w:val="Heading5"/>
      </w:pPr>
      <w:bookmarkStart w:id="118" w:name="_Toc156559734"/>
      <w:r>
        <w:rPr>
          <w:rStyle w:val="CharSectno"/>
        </w:rPr>
        <w:t>20D</w:t>
      </w:r>
      <w:r>
        <w:t>.</w:t>
      </w:r>
      <w:r>
        <w:tab/>
        <w:t>Report of specified monitoring programme, presumption of accuracy of measurement in</w:t>
      </w:r>
      <w:bookmarkEnd w:id="118"/>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Gazette 7 Jul 2000 p. 3680.]</w:t>
      </w:r>
    </w:p>
    <w:p>
      <w:pPr>
        <w:pStyle w:val="Heading5"/>
      </w:pPr>
      <w:bookmarkStart w:id="119" w:name="_Toc156559735"/>
      <w:r>
        <w:rPr>
          <w:rStyle w:val="CharSectno"/>
        </w:rPr>
        <w:lastRenderedPageBreak/>
        <w:t>20E</w:t>
      </w:r>
      <w:r>
        <w:t>.</w:t>
      </w:r>
      <w:r>
        <w:tab/>
        <w:t>Inaccurate measurement in r. 20B report, duty to notify CEO of</w:t>
      </w:r>
      <w:bookmarkEnd w:id="119"/>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Gazette 7 Jul 2000 p. 3680.]</w:t>
      </w:r>
    </w:p>
    <w:p>
      <w:pPr>
        <w:pStyle w:val="Heading5"/>
      </w:pPr>
      <w:bookmarkStart w:id="120" w:name="_Toc156559736"/>
      <w:r>
        <w:rPr>
          <w:rStyle w:val="CharSectno"/>
        </w:rPr>
        <w:t>20F</w:t>
      </w:r>
      <w:r>
        <w:t>.</w:t>
      </w:r>
      <w:r>
        <w:tab/>
        <w:t>Monitoring equipment, approval of</w:t>
      </w:r>
      <w:bookmarkEnd w:id="120"/>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lastRenderedPageBreak/>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Gazette 5 Jan 2001 p. 116</w:t>
      </w:r>
      <w:r>
        <w:noBreakHyphen/>
        <w:t>17.]</w:t>
      </w:r>
    </w:p>
    <w:p>
      <w:pPr>
        <w:pStyle w:val="Heading5"/>
      </w:pPr>
      <w:bookmarkStart w:id="121" w:name="_Toc156559737"/>
      <w:r>
        <w:rPr>
          <w:rStyle w:val="CharSectno"/>
        </w:rPr>
        <w:lastRenderedPageBreak/>
        <w:t>20G</w:t>
      </w:r>
      <w:r>
        <w:t>.</w:t>
      </w:r>
      <w:r>
        <w:tab/>
        <w:t>Monitoring equipment, conditions of approval of</w:t>
      </w:r>
      <w:bookmarkEnd w:id="121"/>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Gazette 7 Jul 2000 p. 3681.]</w:t>
      </w:r>
    </w:p>
    <w:p>
      <w:pPr>
        <w:pStyle w:val="Heading5"/>
      </w:pPr>
      <w:bookmarkStart w:id="122" w:name="_Toc156559738"/>
      <w:r>
        <w:rPr>
          <w:rStyle w:val="CharSectno"/>
        </w:rPr>
        <w:t>20H</w:t>
      </w:r>
      <w:r>
        <w:t>.</w:t>
      </w:r>
      <w:r>
        <w:tab/>
        <w:t>Approval of monitoring equipment, revoking</w:t>
      </w:r>
      <w:bookmarkEnd w:id="122"/>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lastRenderedPageBreak/>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Gazette 7 Jul 2000 p. 3681</w:t>
      </w:r>
      <w:r>
        <w:noBreakHyphen/>
        <w:t>2; amended: Gazette 5 Jan 2001 p. 117</w:t>
      </w:r>
      <w:r>
        <w:noBreakHyphen/>
        <w:t>18.]</w:t>
      </w:r>
    </w:p>
    <w:p>
      <w:pPr>
        <w:pStyle w:val="Heading5"/>
        <w:spacing w:before="180"/>
      </w:pPr>
      <w:bookmarkStart w:id="123" w:name="_Toc156559739"/>
      <w:r>
        <w:rPr>
          <w:rStyle w:val="CharSectno"/>
        </w:rPr>
        <w:t>20I</w:t>
      </w:r>
      <w:r>
        <w:t>.</w:t>
      </w:r>
      <w:r>
        <w:tab/>
        <w:t>Appeal against r. 20F, 20G or 20H decision</w:t>
      </w:r>
      <w:bookmarkEnd w:id="123"/>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keepNext/>
      </w:pPr>
      <w:r>
        <w:tab/>
        <w:t>(2)</w:t>
      </w:r>
      <w:r>
        <w:tab/>
        <w:t xml:space="preserve">An appeal lodged under subregulation (1) is to be treated as if it were an appeal under section 102 of the Act, and for that </w:t>
      </w:r>
      <w:r>
        <w:lastRenderedPageBreak/>
        <w:t>purpose sections 106 to 110 of the Act apply as if the appeal were an appeal under section 102.</w:t>
      </w:r>
    </w:p>
    <w:p>
      <w:pPr>
        <w:pStyle w:val="Footnotesection"/>
        <w:keepLines w:val="0"/>
        <w:spacing w:before="80"/>
        <w:ind w:left="890" w:hanging="890"/>
      </w:pPr>
      <w:r>
        <w:tab/>
        <w:t>[Regulation 20I inserted: Gazette 7 Jul 2000 p. 3682.]</w:t>
      </w:r>
    </w:p>
    <w:p>
      <w:pPr>
        <w:pStyle w:val="Heading5"/>
        <w:spacing w:before="180"/>
      </w:pPr>
      <w:bookmarkStart w:id="124" w:name="_Toc156559740"/>
      <w:r>
        <w:rPr>
          <w:rStyle w:val="CharSectno"/>
        </w:rPr>
        <w:t>20J</w:t>
      </w:r>
      <w:r>
        <w:t>.</w:t>
      </w:r>
      <w:r>
        <w:tab/>
        <w:t>Revocation of approval, use of monitoring equipment pending determination of appeal against</w:t>
      </w:r>
      <w:bookmarkEnd w:id="124"/>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Gazette 7 Jul 2000 p. 3682</w:t>
      </w:r>
      <w:r>
        <w:noBreakHyphen/>
        <w:t>3.]</w:t>
      </w:r>
    </w:p>
    <w:p>
      <w:pPr>
        <w:pStyle w:val="Heading5"/>
      </w:pPr>
      <w:bookmarkStart w:id="125" w:name="_Toc156559741"/>
      <w:r>
        <w:rPr>
          <w:rStyle w:val="CharSectno"/>
        </w:rPr>
        <w:lastRenderedPageBreak/>
        <w:t>20K</w:t>
      </w:r>
      <w:r>
        <w:t>.</w:t>
      </w:r>
      <w:r>
        <w:tab/>
        <w:t>CEO’s signature, judicial notice of</w:t>
      </w:r>
      <w:bookmarkEnd w:id="125"/>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Gazette 7 Jul 2000 p. 3683; amended: Gazette 5 Jan 2001 p. 118.]</w:t>
      </w:r>
    </w:p>
    <w:p>
      <w:pPr>
        <w:pStyle w:val="Heading5"/>
      </w:pPr>
      <w:bookmarkStart w:id="126" w:name="_Toc156559742"/>
      <w:r>
        <w:rPr>
          <w:rStyle w:val="CharSectno"/>
        </w:rPr>
        <w:t>20KA</w:t>
      </w:r>
      <w:r>
        <w:t>.</w:t>
      </w:r>
      <w:r>
        <w:tab/>
        <w:t>Guidelines for performance of CEO’s functions, Minister may make etc.</w:t>
      </w:r>
      <w:bookmarkEnd w:id="126"/>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Gazette 5 Jan 2001 p. 118.]</w:t>
      </w:r>
    </w:p>
    <w:p>
      <w:pPr>
        <w:pStyle w:val="Heading5"/>
      </w:pPr>
      <w:bookmarkStart w:id="127" w:name="_Toc156559743"/>
      <w:r>
        <w:rPr>
          <w:rStyle w:val="CharSectno"/>
        </w:rPr>
        <w:t>20L</w:t>
      </w:r>
      <w:r>
        <w:t>.</w:t>
      </w:r>
      <w:r>
        <w:tab/>
        <w:t>Review of this Part</w:t>
      </w:r>
      <w:bookmarkEnd w:id="127"/>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lastRenderedPageBreak/>
        <w:tab/>
        <w:t>(3)</w:t>
      </w:r>
      <w:r>
        <w:tab/>
        <w:t>As soon as is practicable after the preparation of the report the Minister is to cause it to be laid before each House of Parliament.</w:t>
      </w:r>
    </w:p>
    <w:p>
      <w:pPr>
        <w:pStyle w:val="Footnotesection"/>
      </w:pPr>
      <w:r>
        <w:tab/>
        <w:t>[Regulation 20L inserted: Gazette 7 Jul 2000 p. 3683; amended: Gazette 5 Jan 2001 p. 118.]</w:t>
      </w:r>
    </w:p>
    <w:p>
      <w:pPr>
        <w:pStyle w:val="Heading2"/>
      </w:pPr>
      <w:bookmarkStart w:id="128" w:name="_Toc156549329"/>
      <w:bookmarkStart w:id="129" w:name="_Toc156551308"/>
      <w:bookmarkStart w:id="130" w:name="_Toc156551441"/>
      <w:bookmarkStart w:id="131" w:name="_Toc156552232"/>
      <w:bookmarkStart w:id="132" w:name="_Toc156559744"/>
      <w:r>
        <w:rPr>
          <w:rStyle w:val="CharPartNo"/>
        </w:rPr>
        <w:lastRenderedPageBreak/>
        <w:t>Part 9</w:t>
      </w:r>
      <w:r>
        <w:rPr>
          <w:rStyle w:val="CharDivNo"/>
        </w:rPr>
        <w:t> </w:t>
      </w:r>
      <w:r>
        <w:t>—</w:t>
      </w:r>
      <w:r>
        <w:rPr>
          <w:rStyle w:val="CharDivText"/>
        </w:rPr>
        <w:t> </w:t>
      </w:r>
      <w:r>
        <w:rPr>
          <w:rStyle w:val="CharPartText"/>
        </w:rPr>
        <w:t>Landfill levy</w:t>
      </w:r>
      <w:bookmarkEnd w:id="128"/>
      <w:bookmarkEnd w:id="129"/>
      <w:bookmarkEnd w:id="130"/>
      <w:bookmarkEnd w:id="131"/>
      <w:bookmarkEnd w:id="132"/>
    </w:p>
    <w:p>
      <w:pPr>
        <w:pStyle w:val="Footnoteheading"/>
        <w:rPr>
          <w:snapToGrid w:val="0"/>
        </w:rPr>
      </w:pPr>
      <w:r>
        <w:rPr>
          <w:snapToGrid w:val="0"/>
        </w:rPr>
        <w:tab/>
        <w:t>[Heading inserted: Gazette 26 Jun 1998 p. 3370.]</w:t>
      </w:r>
    </w:p>
    <w:p>
      <w:pPr>
        <w:pStyle w:val="Heading5"/>
        <w:rPr>
          <w:snapToGrid w:val="0"/>
        </w:rPr>
      </w:pPr>
      <w:bookmarkStart w:id="133" w:name="_Toc156559745"/>
      <w:r>
        <w:rPr>
          <w:rStyle w:val="CharSectno"/>
        </w:rPr>
        <w:t>21</w:t>
      </w:r>
      <w:r>
        <w:rPr>
          <w:snapToGrid w:val="0"/>
        </w:rPr>
        <w:t>.</w:t>
      </w:r>
      <w:r>
        <w:rPr>
          <w:snapToGrid w:val="0"/>
        </w:rPr>
        <w:tab/>
        <w:t>Terms used</w:t>
      </w:r>
      <w:bookmarkEnd w:id="133"/>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w:t>
      </w:r>
      <w:r>
        <w:rPr>
          <w:vertAlign w:val="superscript"/>
        </w:rPr>
        <w:t> 3</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w:t>
      </w:r>
      <w:r>
        <w:rPr>
          <w:vertAlign w:val="superscript"/>
        </w:rPr>
        <w:t> 4</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lastRenderedPageBreak/>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Gazette 26 Jun 1998 p. 3370</w:t>
      </w:r>
      <w:r>
        <w:noBreakHyphen/>
        <w:t>1; amended: Gazette 29 Sep 2006 p. 4261.]</w:t>
      </w:r>
    </w:p>
    <w:p>
      <w:pPr>
        <w:pStyle w:val="Heading5"/>
        <w:spacing w:before="260"/>
        <w:rPr>
          <w:snapToGrid w:val="0"/>
        </w:rPr>
      </w:pPr>
      <w:bookmarkStart w:id="134" w:name="_Toc156559746"/>
      <w:r>
        <w:rPr>
          <w:rStyle w:val="CharSectno"/>
        </w:rPr>
        <w:t>22</w:t>
      </w:r>
      <w:r>
        <w:rPr>
          <w:snapToGrid w:val="0"/>
        </w:rPr>
        <w:t xml:space="preserve">. </w:t>
      </w:r>
      <w:r>
        <w:rPr>
          <w:snapToGrid w:val="0"/>
        </w:rPr>
        <w:tab/>
        <w:t>Application of this Part</w:t>
      </w:r>
      <w:bookmarkEnd w:id="134"/>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Gazette 26 Jun 1998 p. 3371; amended: Gazette 20 Jun 2008 p. 2683.]</w:t>
      </w:r>
    </w:p>
    <w:p>
      <w:pPr>
        <w:pStyle w:val="Heading5"/>
        <w:keepNext w:val="0"/>
        <w:keepLines w:val="0"/>
        <w:pageBreakBefore/>
        <w:spacing w:before="0"/>
        <w:rPr>
          <w:snapToGrid w:val="0"/>
        </w:rPr>
      </w:pPr>
      <w:bookmarkStart w:id="135" w:name="_Toc156559747"/>
      <w:r>
        <w:rPr>
          <w:rStyle w:val="CharSectno"/>
        </w:rPr>
        <w:lastRenderedPageBreak/>
        <w:t>23</w:t>
      </w:r>
      <w:r>
        <w:rPr>
          <w:snapToGrid w:val="0"/>
        </w:rPr>
        <w:t>.</w:t>
      </w:r>
      <w:r>
        <w:rPr>
          <w:snapToGrid w:val="0"/>
        </w:rPr>
        <w:tab/>
        <w:t>Exemptions from this Part; refunds etc. of levy</w:t>
      </w:r>
      <w:bookmarkEnd w:id="135"/>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lastRenderedPageBreak/>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Gazette 26 Jun 1998 p. 3371; amended: Gazette 29 Sep 2006 p. 4262.]</w:t>
      </w:r>
    </w:p>
    <w:p>
      <w:pPr>
        <w:pStyle w:val="Heading5"/>
        <w:rPr>
          <w:snapToGrid w:val="0"/>
        </w:rPr>
      </w:pPr>
      <w:bookmarkStart w:id="136" w:name="_Toc156559748"/>
      <w:r>
        <w:rPr>
          <w:rStyle w:val="CharSectno"/>
        </w:rPr>
        <w:t>24</w:t>
      </w:r>
      <w:r>
        <w:rPr>
          <w:snapToGrid w:val="0"/>
        </w:rPr>
        <w:t>.</w:t>
      </w:r>
      <w:r>
        <w:rPr>
          <w:snapToGrid w:val="0"/>
        </w:rPr>
        <w:tab/>
        <w:t>Financial assurance, CEO may require from licensee with r. 23(1)(b) exemption</w:t>
      </w:r>
      <w:bookmarkEnd w:id="136"/>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keepNext/>
        <w:rPr>
          <w:snapToGrid w:val="0"/>
        </w:rPr>
      </w:pPr>
      <w:r>
        <w:rPr>
          <w:snapToGrid w:val="0"/>
        </w:rPr>
        <w:lastRenderedPageBreak/>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Gazette 26 Jun 1998 p. 3371</w:t>
      </w:r>
      <w:r>
        <w:noBreakHyphen/>
        <w:t>2; amended: Gazette 29 Sep 2006 p. 4262.]</w:t>
      </w:r>
    </w:p>
    <w:p>
      <w:pPr>
        <w:pStyle w:val="Heading5"/>
        <w:keepNext w:val="0"/>
        <w:keepLines w:val="0"/>
        <w:spacing w:before="180"/>
        <w:rPr>
          <w:snapToGrid w:val="0"/>
        </w:rPr>
      </w:pPr>
      <w:bookmarkStart w:id="137" w:name="_Toc156559749"/>
      <w:r>
        <w:rPr>
          <w:rStyle w:val="CharSectno"/>
        </w:rPr>
        <w:lastRenderedPageBreak/>
        <w:t>25</w:t>
      </w:r>
      <w:r>
        <w:rPr>
          <w:snapToGrid w:val="0"/>
        </w:rPr>
        <w:t>.</w:t>
      </w:r>
      <w:r>
        <w:rPr>
          <w:snapToGrid w:val="0"/>
        </w:rPr>
        <w:tab/>
        <w:t>Waste received at category 64 or 65 licensed landfill, calculating amount of</w:t>
      </w:r>
      <w:bookmarkEnd w:id="137"/>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Gazette 26 Jun 1998 p. 3372; amended: Gazette 29 Sep 2006 p. 4262-3.]</w:t>
      </w:r>
    </w:p>
    <w:p>
      <w:pPr>
        <w:pStyle w:val="Heading5"/>
      </w:pPr>
      <w:bookmarkStart w:id="138" w:name="_Toc156559750"/>
      <w:r>
        <w:rPr>
          <w:rStyle w:val="CharSectno"/>
        </w:rPr>
        <w:t>26</w:t>
      </w:r>
      <w:r>
        <w:t>.</w:t>
      </w:r>
      <w:r>
        <w:tab/>
        <w:t>Waste disposed of in category 63 licensed landfill, calculating amount of</w:t>
      </w:r>
      <w:bookmarkEnd w:id="138"/>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keepNext/>
      </w:pPr>
      <w:r>
        <w:lastRenderedPageBreak/>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 xml:space="preserve">The report referred to in subregulation (5) must include the surveyor’s calculation of the number of cubic metres of waste </w:t>
      </w:r>
      <w:r>
        <w:lastRenderedPageBreak/>
        <w:t>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the Institution of Surveyors, Australia; or</w:t>
      </w:r>
    </w:p>
    <w:p>
      <w:pPr>
        <w:pStyle w:val="Defsubpara"/>
      </w:pPr>
      <w:r>
        <w:tab/>
        <w:t>(ii)</w:t>
      </w:r>
      <w:r>
        <w:tab/>
        <w:t>the Spatial Sciences Institute.</w:t>
      </w:r>
    </w:p>
    <w:p>
      <w:pPr>
        <w:pStyle w:val="Footnotesection"/>
      </w:pPr>
      <w:r>
        <w:tab/>
        <w:t>[Regulation 26 inserted: Gazette 29 Sep 2006 p. 4263-4.]</w:t>
      </w:r>
    </w:p>
    <w:p>
      <w:pPr>
        <w:pStyle w:val="Heading5"/>
      </w:pPr>
      <w:bookmarkStart w:id="139" w:name="_Toc156559751"/>
      <w:r>
        <w:rPr>
          <w:rStyle w:val="CharSectno"/>
        </w:rPr>
        <w:t>26A</w:t>
      </w:r>
      <w:r>
        <w:t>.</w:t>
      </w:r>
      <w:r>
        <w:tab/>
        <w:t>Breach of r. 26, CEO may estimate amount in case of etc.</w:t>
      </w:r>
      <w:bookmarkEnd w:id="139"/>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lastRenderedPageBreak/>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Gazette 29 Sep 2006 p. 4264-5.]</w:t>
      </w:r>
    </w:p>
    <w:p>
      <w:pPr>
        <w:pStyle w:val="Heading5"/>
        <w:spacing w:before="240"/>
      </w:pPr>
      <w:bookmarkStart w:id="140" w:name="_Toc156559752"/>
      <w:r>
        <w:rPr>
          <w:rStyle w:val="CharSectno"/>
        </w:rPr>
        <w:t>27</w:t>
      </w:r>
      <w:r>
        <w:t>.</w:t>
      </w:r>
      <w:r>
        <w:tab/>
        <w:t>Levy, determining amount of</w:t>
      </w:r>
      <w:bookmarkEnd w:id="140"/>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lastRenderedPageBreak/>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Gazette 29 Sep 2006 p. 4265-6.]</w:t>
      </w:r>
    </w:p>
    <w:p>
      <w:pPr>
        <w:pStyle w:val="Heading5"/>
        <w:spacing w:before="240"/>
        <w:rPr>
          <w:snapToGrid w:val="0"/>
        </w:rPr>
      </w:pPr>
      <w:bookmarkStart w:id="141" w:name="_Toc156559753"/>
      <w:r>
        <w:rPr>
          <w:rStyle w:val="CharSectno"/>
        </w:rPr>
        <w:t>28</w:t>
      </w:r>
      <w:r>
        <w:rPr>
          <w:snapToGrid w:val="0"/>
        </w:rPr>
        <w:t>.</w:t>
      </w:r>
      <w:r>
        <w:rPr>
          <w:snapToGrid w:val="0"/>
        </w:rPr>
        <w:tab/>
        <w:t>Financial assurance, licensees to pay</w:t>
      </w:r>
      <w:bookmarkEnd w:id="141"/>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lastRenderedPageBreak/>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keepNext/>
        <w:rPr>
          <w:snapToGrid w:val="0"/>
        </w:rPr>
      </w:pPr>
      <w:r>
        <w:rPr>
          <w:snapToGrid w:val="0"/>
        </w:rPr>
        <w:lastRenderedPageBreak/>
        <w:tab/>
        <w:t>(8)</w:t>
      </w:r>
      <w:r>
        <w:rPr>
          <w:snapToGrid w:val="0"/>
        </w:rPr>
        <w:tab/>
        <w:t>A licensee is to comply with a direction given to the licensee under subregulation (7).</w:t>
      </w:r>
    </w:p>
    <w:p>
      <w:pPr>
        <w:pStyle w:val="Penstart"/>
        <w:keepNext/>
        <w:rPr>
          <w:snapToGrid w:val="0"/>
        </w:rPr>
      </w:pPr>
      <w:r>
        <w:rPr>
          <w:snapToGrid w:val="0"/>
        </w:rPr>
        <w:tab/>
        <w:t>Penalty: $5 000.</w:t>
      </w:r>
    </w:p>
    <w:p>
      <w:pPr>
        <w:pStyle w:val="Footnotesection"/>
        <w:keepLines w:val="0"/>
      </w:pPr>
      <w:r>
        <w:tab/>
        <w:t>[Regulation 28 inserted: Gazette 26 Jun 1998 p. 3373; amended: Gazette 11 Dec 1998 p. 6601; 29 Sep 2006 p. 4266.]</w:t>
      </w:r>
    </w:p>
    <w:p>
      <w:pPr>
        <w:pStyle w:val="Heading5"/>
        <w:rPr>
          <w:snapToGrid w:val="0"/>
        </w:rPr>
      </w:pPr>
      <w:bookmarkStart w:id="142" w:name="_Toc156559754"/>
      <w:r>
        <w:rPr>
          <w:rStyle w:val="CharSectno"/>
        </w:rPr>
        <w:t>29</w:t>
      </w:r>
      <w:r>
        <w:rPr>
          <w:snapToGrid w:val="0"/>
        </w:rPr>
        <w:t>.</w:t>
      </w:r>
      <w:r>
        <w:rPr>
          <w:snapToGrid w:val="0"/>
        </w:rPr>
        <w:tab/>
        <w:t>Records of waste received, licensees’ duties as to</w:t>
      </w:r>
      <w:bookmarkEnd w:id="142"/>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keepNext/>
        <w:rPr>
          <w:snapToGrid w:val="0"/>
        </w:rPr>
      </w:pPr>
      <w:r>
        <w:rPr>
          <w:snapToGrid w:val="0"/>
        </w:rPr>
        <w:lastRenderedPageBreak/>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Gazette 26 Jun 1998 p. 3373</w:t>
      </w:r>
      <w:r>
        <w:noBreakHyphen/>
        <w:t>4; amended: Gazette 11 Dec 1998 p. 6601; 29 Sep 2006 p. 4266.]</w:t>
      </w:r>
    </w:p>
    <w:p>
      <w:pPr>
        <w:pStyle w:val="Heading5"/>
        <w:rPr>
          <w:snapToGrid w:val="0"/>
        </w:rPr>
      </w:pPr>
      <w:bookmarkStart w:id="143" w:name="_Toc156559755"/>
      <w:r>
        <w:rPr>
          <w:rStyle w:val="CharSectno"/>
        </w:rPr>
        <w:t>30</w:t>
      </w:r>
      <w:r>
        <w:rPr>
          <w:snapToGrid w:val="0"/>
        </w:rPr>
        <w:t>.</w:t>
      </w:r>
      <w:r>
        <w:rPr>
          <w:snapToGrid w:val="0"/>
        </w:rPr>
        <w:tab/>
        <w:t>Levy, payment of; returns to be lodged</w:t>
      </w:r>
      <w:bookmarkEnd w:id="143"/>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Gazette 26 Jun 1998 p. 3374; amended: Gazette 29 Sep 2006 p. 4266.]</w:t>
      </w:r>
    </w:p>
    <w:p>
      <w:pPr>
        <w:pStyle w:val="Heading5"/>
        <w:rPr>
          <w:snapToGrid w:val="0"/>
        </w:rPr>
      </w:pPr>
      <w:bookmarkStart w:id="144" w:name="_Toc156559756"/>
      <w:r>
        <w:rPr>
          <w:rStyle w:val="CharSectno"/>
        </w:rPr>
        <w:t>31</w:t>
      </w:r>
      <w:r>
        <w:rPr>
          <w:snapToGrid w:val="0"/>
        </w:rPr>
        <w:t>.</w:t>
      </w:r>
      <w:r>
        <w:rPr>
          <w:snapToGrid w:val="0"/>
        </w:rPr>
        <w:tab/>
        <w:t>Audits, CEO’s powers to direct etc.</w:t>
      </w:r>
      <w:bookmarkEnd w:id="144"/>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keepNext/>
        <w:rPr>
          <w:snapToGrid w:val="0"/>
        </w:rPr>
      </w:pPr>
      <w:r>
        <w:rPr>
          <w:snapToGrid w:val="0"/>
        </w:rPr>
        <w:lastRenderedPageBreak/>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Gazette 26 Jun 1998 p. 3374; amended: Gazette 11 Dec 1998 p. 6601.]</w:t>
      </w:r>
    </w:p>
    <w:p>
      <w:pPr>
        <w:pStyle w:val="Heading5"/>
        <w:rPr>
          <w:snapToGrid w:val="0"/>
        </w:rPr>
      </w:pPr>
      <w:bookmarkStart w:id="145" w:name="_Toc156559757"/>
      <w:r>
        <w:rPr>
          <w:rStyle w:val="CharSectno"/>
        </w:rPr>
        <w:t>32</w:t>
      </w:r>
      <w:r>
        <w:rPr>
          <w:snapToGrid w:val="0"/>
        </w:rPr>
        <w:t>.</w:t>
      </w:r>
      <w:r>
        <w:rPr>
          <w:snapToGrid w:val="0"/>
        </w:rPr>
        <w:tab/>
        <w:t>CEO’s decisions, review of and appeal against</w:t>
      </w:r>
      <w:bookmarkEnd w:id="145"/>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 xml:space="preserve">If the applicant is dissatisfied with a decision under subregulation (2), the applicant may, within 14 days of notice of </w:t>
      </w:r>
      <w:r>
        <w:rPr>
          <w:snapToGrid w:val="0"/>
        </w:rPr>
        <w:lastRenderedPageBreak/>
        <w:t>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Gazette 26 Jun 1998 p. 3374.]</w:t>
      </w:r>
    </w:p>
    <w:p>
      <w:pPr>
        <w:pStyle w:val="Heading5"/>
      </w:pPr>
      <w:bookmarkStart w:id="146" w:name="_Toc156559758"/>
      <w:r>
        <w:rPr>
          <w:rStyle w:val="CharSectno"/>
        </w:rPr>
        <w:t>33</w:t>
      </w:r>
      <w:r>
        <w:t>.</w:t>
      </w:r>
      <w:r>
        <w:tab/>
        <w:t>Payment of levies is condition of licence</w:t>
      </w:r>
      <w:bookmarkEnd w:id="146"/>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Gazette 20 Jun 2008 p. 2683-4.]</w:t>
      </w:r>
    </w:p>
    <w:p>
      <w:pPr>
        <w:pStyle w:val="Heading2"/>
      </w:pPr>
      <w:bookmarkStart w:id="147" w:name="_Toc156479357"/>
      <w:bookmarkStart w:id="148" w:name="_Toc156479424"/>
      <w:bookmarkStart w:id="149" w:name="_Toc156479559"/>
      <w:bookmarkStart w:id="150" w:name="_Toc156551323"/>
      <w:bookmarkStart w:id="151" w:name="_Toc156551456"/>
      <w:bookmarkStart w:id="152" w:name="_Toc156552247"/>
      <w:bookmarkStart w:id="153" w:name="_Toc156559759"/>
      <w:r>
        <w:rPr>
          <w:rStyle w:val="CharPartNo"/>
        </w:rPr>
        <w:lastRenderedPageBreak/>
        <w:t>Part 9A</w:t>
      </w:r>
      <w:r>
        <w:t> — </w:t>
      </w:r>
      <w:r>
        <w:rPr>
          <w:rStyle w:val="CharPartText"/>
        </w:rPr>
        <w:t>Prescribed classes of relevant schemes</w:t>
      </w:r>
      <w:bookmarkEnd w:id="147"/>
      <w:bookmarkEnd w:id="148"/>
      <w:bookmarkEnd w:id="149"/>
      <w:bookmarkEnd w:id="150"/>
      <w:bookmarkEnd w:id="151"/>
      <w:bookmarkEnd w:id="152"/>
      <w:bookmarkEnd w:id="153"/>
    </w:p>
    <w:p>
      <w:pPr>
        <w:pStyle w:val="Footnoteheading"/>
      </w:pPr>
      <w:bookmarkStart w:id="154" w:name="_Toc156479358"/>
      <w:bookmarkStart w:id="155" w:name="_Toc156479560"/>
      <w:r>
        <w:rPr>
          <w:snapToGrid w:val="0"/>
        </w:rPr>
        <w:tab/>
        <w:t>[Heading inserted: SL 2024/4 r. 4.]</w:t>
      </w:r>
    </w:p>
    <w:p>
      <w:pPr>
        <w:pStyle w:val="Heading5"/>
      </w:pPr>
      <w:bookmarkStart w:id="156" w:name="_Toc156559760"/>
      <w:r>
        <w:rPr>
          <w:rStyle w:val="CharSectno"/>
        </w:rPr>
        <w:t>33A</w:t>
      </w:r>
      <w:r>
        <w:t>.</w:t>
      </w:r>
      <w:r>
        <w:tab/>
        <w:t>Terms used</w:t>
      </w:r>
      <w:bookmarkEnd w:id="154"/>
      <w:bookmarkEnd w:id="155"/>
      <w:bookmarkEnd w:id="156"/>
    </w:p>
    <w:p>
      <w:pPr>
        <w:pStyle w:val="Subsection"/>
      </w:pPr>
      <w:r>
        <w:tab/>
      </w:r>
      <w:r>
        <w:tab/>
        <w:t xml:space="preserve">In this Part — </w:t>
      </w:r>
    </w:p>
    <w:p>
      <w:pPr>
        <w:pStyle w:val="Defstart"/>
      </w:pPr>
      <w:r>
        <w:tab/>
      </w:r>
      <w:r>
        <w:rPr>
          <w:rStyle w:val="CharDefText"/>
        </w:rPr>
        <w:t>approved redevelopment scheme</w:t>
      </w:r>
      <w:r>
        <w:t xml:space="preserve"> has the meaning given in the </w:t>
      </w:r>
      <w:r>
        <w:rPr>
          <w:i/>
        </w:rPr>
        <w:t>Metropolitan Redevelopment Authority Act 2011</w:t>
      </w:r>
      <w:r>
        <w:t xml:space="preserve"> section 3.</w:t>
      </w:r>
    </w:p>
    <w:p>
      <w:pPr>
        <w:pStyle w:val="Footnotesection"/>
      </w:pPr>
      <w:bookmarkStart w:id="157" w:name="_Toc156479359"/>
      <w:bookmarkStart w:id="158" w:name="_Toc156479561"/>
      <w:r>
        <w:tab/>
        <w:t>[Regulation 33A inserted: SL 2024/4 r. 4.]</w:t>
      </w:r>
    </w:p>
    <w:p>
      <w:pPr>
        <w:pStyle w:val="Heading5"/>
      </w:pPr>
      <w:bookmarkStart w:id="159" w:name="_Toc156559761"/>
      <w:r>
        <w:rPr>
          <w:rStyle w:val="CharSectno"/>
        </w:rPr>
        <w:t>33B</w:t>
      </w:r>
      <w:r>
        <w:t>.</w:t>
      </w:r>
      <w:r>
        <w:tab/>
        <w:t>Prescribed classes of amendments to region planning schemes (Act s. 48AAA(2))</w:t>
      </w:r>
      <w:bookmarkEnd w:id="157"/>
      <w:bookmarkEnd w:id="158"/>
      <w:bookmarkEnd w:id="159"/>
    </w:p>
    <w:p>
      <w:pPr>
        <w:pStyle w:val="Subsection"/>
      </w:pPr>
      <w:r>
        <w:tab/>
        <w:t>(1)</w:t>
      </w:r>
      <w:r>
        <w:tab/>
        <w:t xml:space="preserve">In this regulation — </w:t>
      </w:r>
    </w:p>
    <w:p>
      <w:pPr>
        <w:pStyle w:val="Defstart"/>
      </w:pPr>
      <w:r>
        <w:tab/>
      </w:r>
      <w:r>
        <w:rPr>
          <w:rStyle w:val="CharDefText"/>
        </w:rPr>
        <w:t>regional road</w:t>
      </w:r>
      <w:r>
        <w:t xml:space="preserve"> means a road that is on land reserved under a region planning scheme for the purpose of — </w:t>
      </w:r>
    </w:p>
    <w:p>
      <w:pPr>
        <w:pStyle w:val="Defpara"/>
      </w:pPr>
      <w:r>
        <w:tab/>
        <w:t>(a)</w:t>
      </w:r>
      <w:r>
        <w:tab/>
        <w:t>primary regional road; or</w:t>
      </w:r>
    </w:p>
    <w:p>
      <w:pPr>
        <w:pStyle w:val="Defpara"/>
        <w:rPr>
          <w:rStyle w:val="DraftersNotes"/>
          <w:b w:val="0"/>
          <w:i w:val="0"/>
        </w:rPr>
      </w:pPr>
      <w:r>
        <w:tab/>
        <w:t>(b)</w:t>
      </w:r>
      <w:r>
        <w:tab/>
        <w:t>other regional road.</w:t>
      </w:r>
    </w:p>
    <w:p>
      <w:pPr>
        <w:pStyle w:val="Subsection"/>
      </w:pPr>
      <w:r>
        <w:tab/>
        <w:t>(2)</w:t>
      </w:r>
      <w:r>
        <w:tab/>
        <w:t xml:space="preserve">For the purposes of section 48AAA(2) of the Act, the following classes of amendments to a region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tab/>
        <w:t>(ii)</w:t>
      </w:r>
      <w:r>
        <w:tab/>
        <w:t>the correction does not alter the zoning or classification of land;</w:t>
      </w:r>
    </w:p>
    <w:p>
      <w:pPr>
        <w:pStyle w:val="Indenta"/>
      </w:pPr>
      <w:r>
        <w:tab/>
        <w:t>(c)</w:t>
      </w:r>
      <w:r>
        <w:tab/>
        <w:t>an amendment to classify an area of land as a reserve for the purpose of —</w:t>
      </w:r>
    </w:p>
    <w:p>
      <w:pPr>
        <w:pStyle w:val="Indenti"/>
      </w:pPr>
      <w:r>
        <w:tab/>
        <w:t>(i)</w:t>
      </w:r>
      <w:r>
        <w:tab/>
        <w:t>parks and recreation; or</w:t>
      </w:r>
    </w:p>
    <w:p>
      <w:pPr>
        <w:pStyle w:val="Indenti"/>
      </w:pPr>
      <w:r>
        <w:tab/>
        <w:t>(ii)</w:t>
      </w:r>
      <w:r>
        <w:tab/>
        <w:t>regional open space;</w:t>
      </w:r>
    </w:p>
    <w:p>
      <w:pPr>
        <w:pStyle w:val="Indenta"/>
      </w:pPr>
      <w:r>
        <w:lastRenderedPageBreak/>
        <w:tab/>
        <w:t>(d)</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in accordance with the approved redevelopment scheme;</w:t>
      </w:r>
    </w:p>
    <w:p>
      <w:pPr>
        <w:pStyle w:val="Indenta"/>
      </w:pPr>
      <w:r>
        <w:tab/>
        <w:t>(e)</w:t>
      </w:r>
      <w:r>
        <w:tab/>
        <w:t xml:space="preserve">an amendment to create, alter or remove the road reserve of a regional road if — </w:t>
      </w:r>
    </w:p>
    <w:p>
      <w:pPr>
        <w:pStyle w:val="Indenti"/>
      </w:pPr>
      <w:r>
        <w:tab/>
        <w:t>(i)</w:t>
      </w:r>
      <w:r>
        <w:tab/>
        <w:t>a clearing permit has been granted under Part V Division 2 of the Act for an area of land that will be, or that will form part of, the road reserve of the regional road; or</w:t>
      </w:r>
    </w:p>
    <w:p>
      <w:pPr>
        <w:pStyle w:val="Indenti"/>
      </w:pPr>
      <w:r>
        <w:tab/>
        <w:t>(ii)</w:t>
      </w:r>
      <w:r>
        <w:tab/>
        <w:t>in relation to the proposed construction of a regional road, the area of land proposed for the construction of the regional road and the impact of construction on the road reserve has been assessed under Part IV of the Act and a decision has been made that the proposal may be implemented;</w:t>
      </w:r>
    </w:p>
    <w:p>
      <w:pPr>
        <w:pStyle w:val="Indenta"/>
        <w:rPr>
          <w:rStyle w:val="DraftersNotes"/>
          <w:b w:val="0"/>
          <w:i w:val="0"/>
        </w:rPr>
      </w:pPr>
      <w:r>
        <w:tab/>
        <w:t>(f)</w:t>
      </w:r>
      <w:r>
        <w:tab/>
        <w:t>an amendment to alter or repeal a definition in the planning scheme if the Western Australian Planning Commission considers that amendment would not materially impact the operation of the planning scheme;</w:t>
      </w:r>
    </w:p>
    <w:p>
      <w:pPr>
        <w:pStyle w:val="Indenta"/>
      </w:pPr>
      <w:r>
        <w:tab/>
        <w:t>(g)</w:t>
      </w:r>
      <w:r>
        <w:tab/>
        <w:t>an amendment to correct or update a name, title, designation or other description if the Western Australian Planning Commission considers that the amendment would not materially impact the operation of the planning scheme.</w:t>
      </w:r>
      <w:bookmarkStart w:id="160" w:name="_Toc156479360"/>
      <w:bookmarkStart w:id="161" w:name="_Toc156479562"/>
    </w:p>
    <w:p>
      <w:pPr>
        <w:pStyle w:val="Footnotesection"/>
      </w:pPr>
      <w:r>
        <w:tab/>
        <w:t>[Regulation 33B inserted: SL 2024/4 r. 4.]</w:t>
      </w:r>
    </w:p>
    <w:p>
      <w:pPr>
        <w:pStyle w:val="Heading5"/>
        <w:keepNext w:val="0"/>
      </w:pPr>
      <w:bookmarkStart w:id="162" w:name="_Toc156559762"/>
      <w:r>
        <w:rPr>
          <w:rStyle w:val="CharSectno"/>
        </w:rPr>
        <w:lastRenderedPageBreak/>
        <w:t>33C</w:t>
      </w:r>
      <w:r>
        <w:t>.</w:t>
      </w:r>
      <w:r>
        <w:tab/>
        <w:t>Prescribed classes of amendments to local planning schemes (Act s. 48AAA(2))</w:t>
      </w:r>
      <w:bookmarkEnd w:id="160"/>
      <w:bookmarkEnd w:id="161"/>
      <w:bookmarkEnd w:id="162"/>
    </w:p>
    <w:p>
      <w:pPr>
        <w:pStyle w:val="Subsection"/>
      </w:pPr>
      <w:r>
        <w:tab/>
        <w:t>(1)</w:t>
      </w:r>
      <w:r>
        <w:tab/>
        <w:t xml:space="preserve">In this regulation — </w:t>
      </w:r>
    </w:p>
    <w:p>
      <w:pPr>
        <w:pStyle w:val="Defstart"/>
      </w:pPr>
      <w:r>
        <w:tab/>
      </w:r>
      <w:r>
        <w:rPr>
          <w:rStyle w:val="CharDefText"/>
        </w:rPr>
        <w:t>building envelope</w:t>
      </w:r>
      <w:r>
        <w:t xml:space="preserve"> has the meaning given in the </w:t>
      </w:r>
      <w:r>
        <w:rPr>
          <w:i/>
        </w:rPr>
        <w:t>Planning and Development (Local Planning Schemes) Regulations 2015</w:t>
      </w:r>
      <w:r>
        <w:t xml:space="preserve"> Schedule 1 clause 37(1);</w:t>
      </w:r>
    </w:p>
    <w:p>
      <w:pPr>
        <w:pStyle w:val="Defstart"/>
      </w:pPr>
      <w:r>
        <w:tab/>
      </w:r>
      <w:r>
        <w:rPr>
          <w:rStyle w:val="CharDefText"/>
        </w:rPr>
        <w:t>cultural place</w:t>
      </w:r>
      <w:r>
        <w:t xml:space="preserve"> means a place as defined in the </w:t>
      </w:r>
      <w:r>
        <w:rPr>
          <w:i/>
        </w:rPr>
        <w:t>Heritage Act 2018</w:t>
      </w:r>
      <w:r>
        <w:t xml:space="preserve"> section 7 that has cultural heritage significance as defined in section 5 of that Act;</w:t>
      </w:r>
    </w:p>
    <w:p>
      <w:pPr>
        <w:pStyle w:val="Defstart"/>
      </w:pPr>
      <w:r>
        <w:tab/>
      </w:r>
      <w:r>
        <w:rPr>
          <w:rStyle w:val="CharDefText"/>
        </w:rPr>
        <w:t>design requirement</w:t>
      </w:r>
      <w:r>
        <w:t xml:space="preserve"> — </w:t>
      </w:r>
    </w:p>
    <w:p>
      <w:pPr>
        <w:pStyle w:val="Defpara"/>
      </w:pPr>
      <w:r>
        <w:tab/>
        <w:t>(a)</w:t>
      </w:r>
      <w:r>
        <w:tab/>
        <w:t>means a development requirement that relates to the design of a development; and</w:t>
      </w:r>
    </w:p>
    <w:p>
      <w:pPr>
        <w:pStyle w:val="Defpara"/>
      </w:pPr>
      <w:r>
        <w:tab/>
        <w:t>(b)</w:t>
      </w:r>
      <w:r>
        <w:tab/>
        <w:t>includes a development requirement relating to setbacks, building height, vehicle parking, signage or plot ratio;</w:t>
      </w:r>
    </w:p>
    <w:p>
      <w:pPr>
        <w:pStyle w:val="Defstart"/>
      </w:pPr>
      <w:r>
        <w:tab/>
      </w:r>
      <w:r>
        <w:rPr>
          <w:rStyle w:val="CharDefText"/>
        </w:rPr>
        <w:t>development requirement</w:t>
      </w:r>
      <w:r>
        <w:t xml:space="preserve"> has the same meaning as in the </w:t>
      </w:r>
      <w:r>
        <w:rPr>
          <w:i/>
        </w:rPr>
        <w:t>Planning and Development (Local Planning Schemes) Regulations 2015</w:t>
      </w:r>
      <w:r>
        <w:t xml:space="preserve"> Schedule 1;</w:t>
      </w:r>
    </w:p>
    <w:p>
      <w:pPr>
        <w:pStyle w:val="Defstart"/>
      </w:pPr>
      <w:r>
        <w:tab/>
      </w:r>
      <w:r>
        <w:rPr>
          <w:rStyle w:val="CharDefText"/>
        </w:rPr>
        <w:t>land use category</w:t>
      </w:r>
      <w:r>
        <w:t xml:space="preserve"> means a category of land use referred to in a local planning scheme;</w:t>
      </w:r>
    </w:p>
    <w:p>
      <w:pPr>
        <w:pStyle w:val="Defstart"/>
      </w:pPr>
      <w:r>
        <w:tab/>
      </w:r>
      <w:r>
        <w:rPr>
          <w:rStyle w:val="CharDefText"/>
        </w:rPr>
        <w:t>native vegetation</w:t>
      </w:r>
      <w:r>
        <w:t xml:space="preserve"> has the meaning given in section 51A of the Act;</w:t>
      </w:r>
    </w:p>
    <w:p>
      <w:pPr>
        <w:pStyle w:val="Defstart"/>
        <w:rPr>
          <w:rFonts w:cstheme="minorHAnsi"/>
          <w:snapToGrid/>
          <w:highlight w:val="yellow"/>
        </w:rPr>
      </w:pPr>
      <w:r>
        <w:tab/>
      </w:r>
      <w:r>
        <w:rPr>
          <w:rStyle w:val="CharDefText"/>
        </w:rPr>
        <w:t>R</w:t>
      </w:r>
      <w:r>
        <w:rPr>
          <w:rStyle w:val="CharDefText"/>
        </w:rPr>
        <w:noBreakHyphen/>
        <w:t>Codes</w:t>
      </w:r>
      <w:r>
        <w:t xml:space="preserve"> </w:t>
      </w:r>
      <w:r>
        <w:rPr>
          <w:rFonts w:cstheme="minorHAnsi"/>
          <w:snapToGrid/>
        </w:rPr>
        <w:t xml:space="preserve">has the meaning given in the </w:t>
      </w:r>
      <w:r>
        <w:rPr>
          <w:rFonts w:cstheme="minorHAnsi"/>
          <w:i/>
          <w:snapToGrid/>
        </w:rPr>
        <w:t>Planning and Development (Local Planning Scheme) Regulations 2015</w:t>
      </w:r>
      <w:r>
        <w:rPr>
          <w:rFonts w:cstheme="minorHAnsi"/>
          <w:snapToGrid/>
        </w:rPr>
        <w:t xml:space="preserve"> Schedule 2 clause 1.</w:t>
      </w:r>
    </w:p>
    <w:p>
      <w:pPr>
        <w:pStyle w:val="Subsection"/>
      </w:pPr>
      <w:r>
        <w:tab/>
        <w:t>(2)</w:t>
      </w:r>
      <w:r>
        <w:tab/>
        <w:t xml:space="preserve">For the purposes of section 48AAA(2) of the Act, the following classes of amendments to a local planning scheme are prescribed — </w:t>
      </w:r>
    </w:p>
    <w:p>
      <w:pPr>
        <w:pStyle w:val="Indenta"/>
      </w:pPr>
      <w:r>
        <w:tab/>
        <w:t>(a)</w:t>
      </w:r>
      <w:r>
        <w:tab/>
        <w:t xml:space="preserve">an amendment </w:t>
      </w:r>
      <w:r>
        <w:rPr>
          <w:rFonts w:cstheme="minorHAnsi"/>
        </w:rPr>
        <w:t>to correct an administrative or minor error</w:t>
      </w:r>
      <w:r>
        <w:t>;</w:t>
      </w:r>
    </w:p>
    <w:p>
      <w:pPr>
        <w:pStyle w:val="Indenta"/>
        <w:rPr>
          <w:rFonts w:cstheme="minorHAnsi"/>
        </w:rPr>
      </w:pPr>
      <w:r>
        <w:tab/>
        <w:t>(b)</w:t>
      </w:r>
      <w:r>
        <w:tab/>
      </w:r>
      <w:r>
        <w:rPr>
          <w:rFonts w:cstheme="minorHAnsi"/>
        </w:rPr>
        <w:t xml:space="preserve">an amendment </w:t>
      </w:r>
      <w:r>
        <w:t>to correct an error if </w:t>
      </w:r>
      <w:r>
        <w:rPr>
          <w:rFonts w:cstheme="minorHAnsi"/>
        </w:rPr>
        <w:t xml:space="preserve">— </w:t>
      </w:r>
    </w:p>
    <w:p>
      <w:pPr>
        <w:pStyle w:val="Indenti"/>
      </w:pPr>
      <w:r>
        <w:tab/>
        <w:t>(i)</w:t>
      </w:r>
      <w:r>
        <w:tab/>
        <w:t>the error is in, or otherwise relates to, a map, plan or diagram included in the scheme; and</w:t>
      </w:r>
    </w:p>
    <w:p>
      <w:pPr>
        <w:pStyle w:val="Indenti"/>
      </w:pPr>
      <w:r>
        <w:lastRenderedPageBreak/>
        <w:tab/>
        <w:t>(ii)</w:t>
      </w:r>
      <w:r>
        <w:tab/>
        <w:t>the correction does not alter the zoning or classification of land;</w:t>
      </w:r>
    </w:p>
    <w:p>
      <w:pPr>
        <w:pStyle w:val="Indenta"/>
      </w:pPr>
      <w:r>
        <w:tab/>
        <w:t>(c)</w:t>
      </w:r>
      <w:r>
        <w:tab/>
        <w:t xml:space="preserve">an amendment to make the planning scheme consistent with the model provisions set out in the </w:t>
      </w:r>
      <w:r>
        <w:rPr>
          <w:i/>
        </w:rPr>
        <w:t>Planning and Development (Local Planning Schemes) Regulations 2015</w:t>
      </w:r>
      <w:r>
        <w:t xml:space="preserve"> Schedule 1;</w:t>
      </w:r>
    </w:p>
    <w:p>
      <w:pPr>
        <w:pStyle w:val="Indenta"/>
      </w:pPr>
      <w:r>
        <w:tab/>
        <w:t>(d)</w:t>
      </w:r>
      <w:r>
        <w:tab/>
        <w:t>an amendment to include or alter a definition of a land use category if the Western Australian Planning Commission considers that the amendment would not materially impact the operation of the planning scheme;</w:t>
      </w:r>
    </w:p>
    <w:p>
      <w:pPr>
        <w:pStyle w:val="Indenta"/>
      </w:pPr>
      <w:r>
        <w:tab/>
        <w:t>(e)</w:t>
      </w:r>
      <w:r>
        <w:tab/>
        <w:t>an amendment to zone an area of land, or to classify an area of land as a reserve, for the purpose of conserving a cultural place;</w:t>
      </w:r>
    </w:p>
    <w:p>
      <w:pPr>
        <w:pStyle w:val="Indenta"/>
      </w:pPr>
      <w:r>
        <w:tab/>
        <w:t>(f)</w:t>
      </w:r>
      <w:r>
        <w:tab/>
        <w:t xml:space="preserve">an amendment to alter or repeal a design requirement that relates only to signage and facade treatments on land that is not — </w:t>
      </w:r>
    </w:p>
    <w:p>
      <w:pPr>
        <w:pStyle w:val="Indenti"/>
      </w:pPr>
      <w:r>
        <w:tab/>
        <w:t>(i)</w:t>
      </w:r>
      <w:r>
        <w:tab/>
        <w:t>zoned environmental conservation; or</w:t>
      </w:r>
    </w:p>
    <w:p>
      <w:pPr>
        <w:pStyle w:val="Indenti"/>
      </w:pPr>
      <w:r>
        <w:tab/>
        <w:t>(ii)</w:t>
      </w:r>
      <w:r>
        <w:tab/>
        <w:t>classified as a reserve for environmental conservation; or</w:t>
      </w:r>
    </w:p>
    <w:p>
      <w:pPr>
        <w:pStyle w:val="Indenti"/>
      </w:pPr>
      <w:r>
        <w:tab/>
        <w:t>(iii)</w:t>
      </w:r>
      <w:r>
        <w:tab/>
        <w:t xml:space="preserve">designated as special control area </w:t>
      </w:r>
      <w:r>
        <w:noBreakHyphen/>
        <w:t xml:space="preserve"> environment;</w:t>
      </w:r>
    </w:p>
    <w:p>
      <w:pPr>
        <w:pStyle w:val="Indenta"/>
      </w:pPr>
      <w:r>
        <w:tab/>
        <w:t>(g)</w:t>
      </w:r>
      <w:r>
        <w:tab/>
        <w:t xml:space="preserve">an amendment to zone land (except land zoned environmental conservation) if the zoning allows the land to be used for a purpose that — </w:t>
      </w:r>
    </w:p>
    <w:p>
      <w:pPr>
        <w:pStyle w:val="Indenti"/>
      </w:pPr>
      <w:r>
        <w:tab/>
        <w:t>(i)</w:t>
      </w:r>
      <w:r>
        <w:tab/>
        <w:t>involves replacing or redeveloping an existing building within the existing building envelope; and</w:t>
      </w:r>
    </w:p>
    <w:p>
      <w:pPr>
        <w:pStyle w:val="Indenti"/>
      </w:pPr>
      <w:r>
        <w:tab/>
        <w:t>(ii)</w:t>
      </w:r>
      <w:r>
        <w:tab/>
        <w:t>is not a light industry, general industry, industrial development or strategic industry purpose;</w:t>
      </w:r>
    </w:p>
    <w:p>
      <w:pPr>
        <w:pStyle w:val="Indenta"/>
        <w:keepNext/>
      </w:pPr>
      <w:r>
        <w:tab/>
        <w:t>(h)</w:t>
      </w:r>
      <w:r>
        <w:tab/>
        <w:t xml:space="preserve">an amendment to increase the residential density code and decrease the minimum site area per dwelling as set </w:t>
      </w:r>
      <w:r>
        <w:lastRenderedPageBreak/>
        <w:t>out in the R</w:t>
      </w:r>
      <w:r>
        <w:noBreakHyphen/>
        <w:t xml:space="preserve">Codes Table 1 for an area of land from R12.5 or higher if the area of land — </w:t>
      </w:r>
    </w:p>
    <w:p>
      <w:pPr>
        <w:pStyle w:val="Indenti"/>
      </w:pPr>
      <w:r>
        <w:tab/>
        <w:t>(i)</w:t>
      </w:r>
      <w:r>
        <w:tab/>
        <w:t>is already developed in accordance with the existing R</w:t>
      </w:r>
      <w:r>
        <w:noBreakHyphen/>
        <w:t xml:space="preserve">Codes; and </w:t>
      </w:r>
    </w:p>
    <w:p>
      <w:pPr>
        <w:pStyle w:val="Indenti"/>
      </w:pPr>
      <w:r>
        <w:tab/>
        <w:t>(ii)</w:t>
      </w:r>
      <w:r>
        <w:tab/>
        <w:t>does not abut land that is an area of native vegetation;</w:t>
      </w:r>
    </w:p>
    <w:p>
      <w:pPr>
        <w:pStyle w:val="Indenta"/>
      </w:pPr>
      <w:r>
        <w:tab/>
        <w:t>(i)</w:t>
      </w:r>
      <w:r>
        <w:tab/>
        <w:t xml:space="preserve">an amendment to include a new provision or alter an existing provision regarding the administration and enforcement of the planning scheme; </w:t>
      </w:r>
    </w:p>
    <w:p>
      <w:pPr>
        <w:pStyle w:val="Indenta"/>
      </w:pPr>
      <w:r>
        <w:tab/>
        <w:t>(j)</w:t>
      </w:r>
      <w:r>
        <w:tab/>
        <w:t xml:space="preserve">an amendment to zone an area of land, or to classify an area of land as a reserve, if — </w:t>
      </w:r>
    </w:p>
    <w:p>
      <w:pPr>
        <w:pStyle w:val="Indenti"/>
      </w:pPr>
      <w:r>
        <w:tab/>
        <w:t>(i)</w:t>
      </w:r>
      <w:r>
        <w:tab/>
        <w:t>the area of land has been subdivided and developed to the extent permitted by an approved redevelopment scheme; and</w:t>
      </w:r>
    </w:p>
    <w:p>
      <w:pPr>
        <w:pStyle w:val="Indenti"/>
      </w:pPr>
      <w:r>
        <w:tab/>
        <w:t>(ii)</w:t>
      </w:r>
      <w:r>
        <w:tab/>
        <w:t>the approved redevelopment scheme for that area of land ceases to apply; and</w:t>
      </w:r>
    </w:p>
    <w:p>
      <w:pPr>
        <w:pStyle w:val="Indenti"/>
      </w:pPr>
      <w:r>
        <w:tab/>
        <w:t>(iii)</w:t>
      </w:r>
      <w:r>
        <w:tab/>
        <w:t>the amendment is required to reflect a zone or reserve created under the approved redevelopment scheme;</w:t>
      </w:r>
    </w:p>
    <w:p>
      <w:pPr>
        <w:pStyle w:val="Indenta"/>
      </w:pPr>
      <w:r>
        <w:tab/>
        <w:t>(k)</w:t>
      </w:r>
      <w:r>
        <w:tab/>
        <w:t xml:space="preserve">an amendment to identify or alter an area of land within the scheme area as a development contribution area because of a determination made under the </w:t>
      </w:r>
      <w:r>
        <w:rPr>
          <w:i/>
        </w:rPr>
        <w:t>Planning and Development (Local Planning Schemes) Regulations 2015</w:t>
      </w:r>
      <w:r>
        <w:t xml:space="preserve"> regulation 70(1);</w:t>
      </w:r>
    </w:p>
    <w:p>
      <w:pPr>
        <w:pStyle w:val="Indenta"/>
      </w:pPr>
      <w:r>
        <w:tab/>
        <w:t>(l)</w:t>
      </w:r>
      <w:r>
        <w:tab/>
        <w:t>an amendment to alter the term for which a development contribution plan is to have effect;</w:t>
      </w:r>
    </w:p>
    <w:p>
      <w:pPr>
        <w:pStyle w:val="Indenta"/>
      </w:pPr>
      <w:r>
        <w:tab/>
        <w:t>(m)</w:t>
      </w:r>
      <w:r>
        <w:tab/>
        <w:t>an amendment to the text of Part 1 of the planning scheme if the amendment does not permit a change in land use.</w:t>
      </w:r>
    </w:p>
    <w:p>
      <w:pPr>
        <w:pStyle w:val="Footnotesection"/>
      </w:pPr>
      <w:r>
        <w:tab/>
        <w:t>[Regulation 33C inserted: SL 2024/4 r. 4.]</w:t>
      </w:r>
    </w:p>
    <w:p>
      <w:pPr>
        <w:pStyle w:val="Heading2"/>
      </w:pPr>
      <w:bookmarkStart w:id="163" w:name="_Toc156549344"/>
      <w:bookmarkStart w:id="164" w:name="_Toc156551327"/>
      <w:bookmarkStart w:id="165" w:name="_Toc156551460"/>
      <w:bookmarkStart w:id="166" w:name="_Toc156552251"/>
      <w:bookmarkStart w:id="167" w:name="_Toc156559763"/>
      <w:r>
        <w:rPr>
          <w:rStyle w:val="CharPartNo"/>
        </w:rPr>
        <w:lastRenderedPageBreak/>
        <w:t>Part 10</w:t>
      </w:r>
      <w:r>
        <w:t xml:space="preserve"> — </w:t>
      </w:r>
      <w:r>
        <w:rPr>
          <w:rStyle w:val="CharPartText"/>
        </w:rPr>
        <w:t>Things seized or forfeited</w:t>
      </w:r>
      <w:bookmarkEnd w:id="163"/>
      <w:bookmarkEnd w:id="164"/>
      <w:bookmarkEnd w:id="165"/>
      <w:bookmarkEnd w:id="166"/>
      <w:bookmarkEnd w:id="167"/>
    </w:p>
    <w:p>
      <w:pPr>
        <w:pStyle w:val="Footnoteheading"/>
      </w:pPr>
      <w:r>
        <w:tab/>
        <w:t>[Heading inserted: Gazette 11 Dec 1998 p. 6601.]</w:t>
      </w:r>
    </w:p>
    <w:p>
      <w:pPr>
        <w:pStyle w:val="Heading5"/>
      </w:pPr>
      <w:bookmarkStart w:id="168" w:name="_Toc156559764"/>
      <w:r>
        <w:rPr>
          <w:rStyle w:val="CharSectno"/>
        </w:rPr>
        <w:t>34</w:t>
      </w:r>
      <w:r>
        <w:t>.</w:t>
      </w:r>
      <w:r>
        <w:tab/>
        <w:t>Ways prescribed of dealing with seized things (Act s. 92B(1))</w:t>
      </w:r>
      <w:bookmarkEnd w:id="168"/>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Gazette 11 Dec 1998 p. 6601</w:t>
      </w:r>
      <w:r>
        <w:noBreakHyphen/>
        <w:t>2.]</w:t>
      </w:r>
    </w:p>
    <w:p>
      <w:pPr>
        <w:pStyle w:val="Heading5"/>
      </w:pPr>
      <w:bookmarkStart w:id="169" w:name="_Toc156559765"/>
      <w:r>
        <w:rPr>
          <w:rStyle w:val="CharSectno"/>
        </w:rPr>
        <w:t>35</w:t>
      </w:r>
      <w:r>
        <w:t>.</w:t>
      </w:r>
      <w:r>
        <w:tab/>
        <w:t>Manner of giving notice prescribed (Act s. 92D)</w:t>
      </w:r>
      <w:bookmarkEnd w:id="169"/>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lastRenderedPageBreak/>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Gazette 11 Dec 1998 p. 6602.]</w:t>
      </w:r>
    </w:p>
    <w:p>
      <w:pPr>
        <w:pStyle w:val="Heading5"/>
      </w:pPr>
      <w:bookmarkStart w:id="170" w:name="_Toc156559766"/>
      <w:r>
        <w:rPr>
          <w:rStyle w:val="CharSectno"/>
        </w:rPr>
        <w:t>36</w:t>
      </w:r>
      <w:r>
        <w:t>.</w:t>
      </w:r>
      <w:r>
        <w:tab/>
        <w:t>Ways prescribed of disposing of thing forfeited to Crown</w:t>
      </w:r>
      <w:r>
        <w:rPr>
          <w:snapToGrid w:val="0"/>
        </w:rPr>
        <w:t xml:space="preserve"> (Act s. 99W(1))</w:t>
      </w:r>
      <w:bookmarkEnd w:id="170"/>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Gazette 11 Dec 1998 p. 6602</w:t>
      </w:r>
      <w:r>
        <w:noBreakHyphen/>
        <w:t>3.]</w:t>
      </w:r>
    </w:p>
    <w:p>
      <w:pPr>
        <w:pStyle w:val="Heading2"/>
      </w:pPr>
      <w:bookmarkStart w:id="171" w:name="_Toc156549348"/>
      <w:bookmarkStart w:id="172" w:name="_Toc156551331"/>
      <w:bookmarkStart w:id="173" w:name="_Toc156551464"/>
      <w:bookmarkStart w:id="174" w:name="_Toc156552255"/>
      <w:bookmarkStart w:id="175" w:name="_Toc156559767"/>
      <w:r>
        <w:rPr>
          <w:rStyle w:val="CharPartNo"/>
        </w:rPr>
        <w:lastRenderedPageBreak/>
        <w:t>Part 11</w:t>
      </w:r>
      <w:r>
        <w:t xml:space="preserve"> — </w:t>
      </w:r>
      <w:r>
        <w:rPr>
          <w:rStyle w:val="CharPartText"/>
        </w:rPr>
        <w:t>Modified penalties and Tier 2 offences</w:t>
      </w:r>
      <w:bookmarkEnd w:id="171"/>
      <w:bookmarkEnd w:id="172"/>
      <w:bookmarkEnd w:id="173"/>
      <w:bookmarkEnd w:id="174"/>
      <w:bookmarkEnd w:id="175"/>
    </w:p>
    <w:p>
      <w:pPr>
        <w:pStyle w:val="Footnoteheading"/>
      </w:pPr>
      <w:r>
        <w:tab/>
        <w:t>[Heading inserted: Gazette 11 Dec 1998 p. 6603.]</w:t>
      </w:r>
    </w:p>
    <w:p>
      <w:pPr>
        <w:pStyle w:val="Heading5"/>
        <w:spacing w:before="180"/>
      </w:pPr>
      <w:bookmarkStart w:id="176" w:name="_Toc156559768"/>
      <w:r>
        <w:rPr>
          <w:rStyle w:val="CharSectno"/>
        </w:rPr>
        <w:t>37</w:t>
      </w:r>
      <w:r>
        <w:t>.</w:t>
      </w:r>
      <w:r>
        <w:tab/>
        <w:t>Form of modified penalty notice prescribed (Act s. 99B(1))</w:t>
      </w:r>
      <w:bookmarkEnd w:id="176"/>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Gazette 11 Dec 1998 p. 6603.]</w:t>
      </w:r>
    </w:p>
    <w:p>
      <w:pPr>
        <w:pStyle w:val="Heading5"/>
        <w:spacing w:before="180"/>
      </w:pPr>
      <w:bookmarkStart w:id="177" w:name="_Toc156559769"/>
      <w:r>
        <w:rPr>
          <w:rStyle w:val="CharSectno"/>
        </w:rPr>
        <w:t>38</w:t>
      </w:r>
      <w:r>
        <w:t>.</w:t>
      </w:r>
      <w:r>
        <w:tab/>
        <w:t>Form of notice of withdrawal prescribed (Act s. 99D(1))</w:t>
      </w:r>
      <w:bookmarkEnd w:id="177"/>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Gazette 11 Dec 1998 p. 6603.]</w:t>
      </w:r>
    </w:p>
    <w:p>
      <w:pPr>
        <w:pStyle w:val="Heading5"/>
        <w:spacing w:before="180"/>
      </w:pPr>
      <w:bookmarkStart w:id="178" w:name="_Toc156559770"/>
      <w:r>
        <w:rPr>
          <w:rStyle w:val="CharSectno"/>
        </w:rPr>
        <w:t>39</w:t>
      </w:r>
      <w:r>
        <w:t>.</w:t>
      </w:r>
      <w:r>
        <w:tab/>
        <w:t>Particulars prescribed (Act s. 99E(3))</w:t>
      </w:r>
      <w:bookmarkEnd w:id="178"/>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Gazette 11 Dec 1998 p. 6603.]</w:t>
      </w:r>
    </w:p>
    <w:p>
      <w:pPr>
        <w:pStyle w:val="Heading5"/>
        <w:spacing w:before="180"/>
      </w:pPr>
      <w:bookmarkStart w:id="179" w:name="_Toc156559771"/>
      <w:r>
        <w:rPr>
          <w:rStyle w:val="CharSectno"/>
        </w:rPr>
        <w:lastRenderedPageBreak/>
        <w:t>40</w:t>
      </w:r>
      <w:r>
        <w:t>.</w:t>
      </w:r>
      <w:r>
        <w:tab/>
        <w:t>Where and when public may inspect register (Act s. 99F(2))</w:t>
      </w:r>
      <w:bookmarkEnd w:id="179"/>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Gazette 11 Dec 1998 p. 6603; amended: Gazette 29 Sep 2006 p. 4261; 28 Jun 2016 p. 2631.]</w:t>
      </w:r>
    </w:p>
    <w:p>
      <w:pPr>
        <w:pStyle w:val="Heading2"/>
      </w:pPr>
      <w:bookmarkStart w:id="180" w:name="_Toc156549353"/>
      <w:bookmarkStart w:id="181" w:name="_Toc156551336"/>
      <w:bookmarkStart w:id="182" w:name="_Toc156551469"/>
      <w:bookmarkStart w:id="183" w:name="_Toc156552260"/>
      <w:bookmarkStart w:id="184" w:name="_Toc156559772"/>
      <w:r>
        <w:rPr>
          <w:rStyle w:val="CharPartNo"/>
        </w:rPr>
        <w:lastRenderedPageBreak/>
        <w:t>Part 12</w:t>
      </w:r>
      <w:r>
        <w:t xml:space="preserve"> — </w:t>
      </w:r>
      <w:r>
        <w:rPr>
          <w:rStyle w:val="CharPartText"/>
        </w:rPr>
        <w:t>Infringement notices and offences</w:t>
      </w:r>
      <w:bookmarkEnd w:id="180"/>
      <w:bookmarkEnd w:id="181"/>
      <w:bookmarkEnd w:id="182"/>
      <w:bookmarkEnd w:id="183"/>
      <w:bookmarkEnd w:id="184"/>
    </w:p>
    <w:p>
      <w:pPr>
        <w:pStyle w:val="Footnoteheading"/>
      </w:pPr>
      <w:r>
        <w:tab/>
        <w:t>[Heading inserted: Gazette 11 Dec 1998 p. 6603.]</w:t>
      </w:r>
    </w:p>
    <w:p>
      <w:pPr>
        <w:pStyle w:val="Heading5"/>
      </w:pPr>
      <w:bookmarkStart w:id="185" w:name="_Toc156559773"/>
      <w:r>
        <w:rPr>
          <w:rStyle w:val="CharSectno"/>
        </w:rPr>
        <w:t>41</w:t>
      </w:r>
      <w:r>
        <w:t>.</w:t>
      </w:r>
      <w:r>
        <w:tab/>
        <w:t>Infringement notice offences and modified penalties prescribed (Act s. 99H and 99K)</w:t>
      </w:r>
      <w:bookmarkEnd w:id="185"/>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lastRenderedPageBreak/>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Gazette 11 Dec 1998 p. 6603</w:t>
      </w:r>
      <w:r>
        <w:noBreakHyphen/>
        <w:t>4.]</w:t>
      </w:r>
    </w:p>
    <w:p>
      <w:pPr>
        <w:pStyle w:val="Heading5"/>
      </w:pPr>
      <w:bookmarkStart w:id="186" w:name="_Toc156559774"/>
      <w:r>
        <w:rPr>
          <w:rStyle w:val="CharSectno"/>
        </w:rPr>
        <w:t>42</w:t>
      </w:r>
      <w:r>
        <w:t>.</w:t>
      </w:r>
      <w:r>
        <w:tab/>
        <w:t>Form of infringement notice prescribed (Act s. 99K(1))</w:t>
      </w:r>
      <w:bookmarkEnd w:id="186"/>
    </w:p>
    <w:p>
      <w:pPr>
        <w:pStyle w:val="Subsection"/>
      </w:pPr>
      <w:r>
        <w:tab/>
      </w:r>
      <w:r>
        <w:tab/>
        <w:t>Form 3 in Schedule 7 is prescribed, under section 99K(1) of the Act, as the form of infringement notice.</w:t>
      </w:r>
    </w:p>
    <w:p>
      <w:pPr>
        <w:pStyle w:val="Footnotesection"/>
      </w:pPr>
      <w:r>
        <w:tab/>
        <w:t>[Regulation 42 inserted: Gazette 11 Dec 1998 p. 6604.]</w:t>
      </w:r>
    </w:p>
    <w:p>
      <w:pPr>
        <w:pStyle w:val="Heading5"/>
      </w:pPr>
      <w:bookmarkStart w:id="187" w:name="_Toc156559775"/>
      <w:r>
        <w:rPr>
          <w:rStyle w:val="CharSectno"/>
        </w:rPr>
        <w:t>43</w:t>
      </w:r>
      <w:r>
        <w:t>.</w:t>
      </w:r>
      <w:r>
        <w:tab/>
        <w:t>Form of notice of withdrawal prescribed (Act s. 99N(1))</w:t>
      </w:r>
      <w:bookmarkEnd w:id="187"/>
    </w:p>
    <w:p>
      <w:pPr>
        <w:pStyle w:val="Subsection"/>
      </w:pPr>
      <w:r>
        <w:tab/>
      </w:r>
      <w:r>
        <w:tab/>
        <w:t>Form 4 in Schedule 7 is prescribed, under section 99N(1) of the Act, as the form of withdrawal of infringement notice.</w:t>
      </w:r>
    </w:p>
    <w:p>
      <w:pPr>
        <w:pStyle w:val="Footnotesection"/>
      </w:pPr>
      <w:r>
        <w:tab/>
        <w:t>[Regulation 43 inserted: Gazette 11 Dec 1998 p. 6604.]</w:t>
      </w:r>
    </w:p>
    <w:p>
      <w:pPr>
        <w:pStyle w:val="Heading2"/>
      </w:pPr>
      <w:bookmarkStart w:id="188" w:name="_Toc156549357"/>
      <w:bookmarkStart w:id="189" w:name="_Toc156551340"/>
      <w:bookmarkStart w:id="190" w:name="_Toc156551473"/>
      <w:bookmarkStart w:id="191" w:name="_Toc156552264"/>
      <w:bookmarkStart w:id="192" w:name="_Toc156559776"/>
      <w:r>
        <w:rPr>
          <w:rStyle w:val="CharPartNo"/>
        </w:rPr>
        <w:lastRenderedPageBreak/>
        <w:t>Part 13</w:t>
      </w:r>
      <w:r>
        <w:t xml:space="preserve"> — </w:t>
      </w:r>
      <w:r>
        <w:rPr>
          <w:rStyle w:val="CharPartText"/>
        </w:rPr>
        <w:t>Miscellaneous</w:t>
      </w:r>
      <w:bookmarkEnd w:id="188"/>
      <w:bookmarkEnd w:id="189"/>
      <w:bookmarkEnd w:id="190"/>
      <w:bookmarkEnd w:id="191"/>
      <w:bookmarkEnd w:id="192"/>
    </w:p>
    <w:p>
      <w:pPr>
        <w:pStyle w:val="Footnoteheading"/>
      </w:pPr>
      <w:r>
        <w:tab/>
        <w:t>[Heading inserted: Gazette 11 Dec 1998 p. 6604.]</w:t>
      </w:r>
    </w:p>
    <w:p>
      <w:pPr>
        <w:pStyle w:val="Heading5"/>
      </w:pPr>
      <w:bookmarkStart w:id="193" w:name="_Toc156559777"/>
      <w:r>
        <w:rPr>
          <w:rStyle w:val="CharSectno"/>
        </w:rPr>
        <w:t>44</w:t>
      </w:r>
      <w:r>
        <w:t>.</w:t>
      </w:r>
      <w:r>
        <w:tab/>
        <w:t>Maximum amount prescribed (Act s. 99Y(1))</w:t>
      </w:r>
      <w:bookmarkEnd w:id="193"/>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Gazette 11 Dec 1998 p. 6604</w:t>
      </w:r>
      <w:r>
        <w:noBreakHyphen/>
        <w:t>5.]</w:t>
      </w:r>
    </w:p>
    <w:p>
      <w:pPr>
        <w:pStyle w:val="Heading5"/>
      </w:pPr>
      <w:bookmarkStart w:id="194" w:name="_Toc156559778"/>
      <w:r>
        <w:rPr>
          <w:rStyle w:val="CharSectno"/>
        </w:rPr>
        <w:t>45</w:t>
      </w:r>
      <w:r>
        <w:t>.</w:t>
      </w:r>
      <w:r>
        <w:tab/>
        <w:t>Image data sources (Act s. 116B(1))</w:t>
      </w:r>
      <w:bookmarkEnd w:id="194"/>
    </w:p>
    <w:p>
      <w:pPr>
        <w:pStyle w:val="Subsection"/>
      </w:pPr>
      <w:r>
        <w:tab/>
      </w:r>
      <w:r>
        <w:tab/>
        <w:t xml:space="preserve">For the purposes of paragraph (b) of the definition of </w:t>
      </w:r>
      <w:r>
        <w:rPr>
          <w:b/>
          <w:i/>
        </w:rPr>
        <w:t>image data source</w:t>
      </w:r>
      <w:r>
        <w:t xml:space="preserve"> in section 116B(1) of the Act, each of the following is declared —</w:t>
      </w:r>
    </w:p>
    <w:p>
      <w:pPr>
        <w:pStyle w:val="Indenta"/>
      </w:pPr>
      <w:r>
        <w:tab/>
        <w:t>(a)</w:t>
      </w:r>
      <w:r>
        <w:tab/>
        <w:t>a database maintained by Aerometrex Ltd (ACN 153 103 925);</w:t>
      </w:r>
    </w:p>
    <w:p>
      <w:pPr>
        <w:pStyle w:val="Indenta"/>
      </w:pPr>
      <w:r>
        <w:lastRenderedPageBreak/>
        <w:tab/>
        <w:t>(b)</w:t>
      </w:r>
      <w:r>
        <w:tab/>
        <w:t>a database maintained by LatConnect 60 Limited (ACN 635 426 149);</w:t>
      </w:r>
    </w:p>
    <w:p>
      <w:pPr>
        <w:pStyle w:val="Indenta"/>
      </w:pPr>
      <w:r>
        <w:tab/>
        <w:t>(c)</w:t>
      </w:r>
      <w:r>
        <w:tab/>
        <w:t>a database maintained by Nearmap Australia Pty Ltd (ACN 120 677 250);</w:t>
      </w:r>
    </w:p>
    <w:p>
      <w:pPr>
        <w:pStyle w:val="Indenta"/>
      </w:pPr>
      <w:r>
        <w:tab/>
        <w:t>(d)</w:t>
      </w:r>
      <w:r>
        <w:tab/>
        <w:t xml:space="preserve">a database maintained by the Western Australian Land Information Authority established by the </w:t>
      </w:r>
      <w:r>
        <w:rPr>
          <w:i/>
        </w:rPr>
        <w:t xml:space="preserve">Land Information Authority Act 2006 </w:t>
      </w:r>
      <w:r>
        <w:t>section 5;</w:t>
      </w:r>
    </w:p>
    <w:p>
      <w:pPr>
        <w:pStyle w:val="Indenta"/>
      </w:pPr>
      <w:r>
        <w:tab/>
        <w:t>(e)</w:t>
      </w:r>
      <w:r>
        <w:tab/>
        <w:t>a database maintained by Airbus SE (EUID: NLNHR.24288945);</w:t>
      </w:r>
    </w:p>
    <w:p>
      <w:pPr>
        <w:pStyle w:val="Indenta"/>
      </w:pPr>
      <w:r>
        <w:tab/>
        <w:t>(f)</w:t>
      </w:r>
      <w:r>
        <w:tab/>
        <w:t>a database maintained by the European Space Agency established under Article I of the Convention for the establishment of a European Space Agency concluded at Paris on 30 May 1975;</w:t>
      </w:r>
    </w:p>
    <w:p>
      <w:pPr>
        <w:pStyle w:val="Indenta"/>
      </w:pPr>
      <w:r>
        <w:tab/>
        <w:t>(g)</w:t>
      </w:r>
      <w:r>
        <w:tab/>
        <w:t>a database maintained by Maxar Technologies Inc. (CIK 0001121142);</w:t>
      </w:r>
    </w:p>
    <w:p>
      <w:pPr>
        <w:pStyle w:val="Indenta"/>
      </w:pPr>
      <w:r>
        <w:tab/>
        <w:t>(h)</w:t>
      </w:r>
      <w:r>
        <w:tab/>
        <w:t>a database maintained by Planet Labs PBC (CIK 0001836833);</w:t>
      </w:r>
    </w:p>
    <w:p>
      <w:pPr>
        <w:pStyle w:val="Indenta"/>
      </w:pPr>
      <w:r>
        <w:tab/>
        <w:t>(i)</w:t>
      </w:r>
      <w:r>
        <w:tab/>
        <w:t>a database maintained by Scorpius Labs d.o.o. (Slovenian Business Register identification number 9375287000);</w:t>
      </w:r>
    </w:p>
    <w:p>
      <w:pPr>
        <w:pStyle w:val="Indenta"/>
      </w:pPr>
      <w:r>
        <w:tab/>
        <w:t>(j)</w:t>
      </w:r>
      <w:r>
        <w:tab/>
        <w:t>a database maintained by Sentinel Hub GmbH (FN 476519p);</w:t>
      </w:r>
    </w:p>
    <w:p>
      <w:pPr>
        <w:pStyle w:val="Indenta"/>
      </w:pPr>
      <w:r>
        <w:tab/>
        <w:t>(k)</w:t>
      </w:r>
      <w:r>
        <w:tab/>
        <w:t>a database maintained by Centre National d’Etudes Spatiales (SIREN 775665912);</w:t>
      </w:r>
    </w:p>
    <w:p>
      <w:pPr>
        <w:pStyle w:val="Indenta"/>
      </w:pPr>
      <w:r>
        <w:tab/>
        <w:t>(l)</w:t>
      </w:r>
      <w:r>
        <w:tab/>
        <w:t>a database maintained by UP42 GmbH (HRB 204574);</w:t>
      </w:r>
    </w:p>
    <w:p>
      <w:pPr>
        <w:pStyle w:val="Indenta"/>
      </w:pPr>
      <w:r>
        <w:tab/>
        <w:t>(m)</w:t>
      </w:r>
      <w:r>
        <w:tab/>
        <w:t>a database maintained by the United States Geological Survey established under 43 USC section 31 (2018).</w:t>
      </w:r>
    </w:p>
    <w:p>
      <w:pPr>
        <w:pStyle w:val="Footnotesection"/>
      </w:pPr>
      <w:r>
        <w:tab/>
        <w:t>[Regulation 45 inserted: SL 2023/142 r. 4]</w:t>
      </w:r>
    </w:p>
    <w:p>
      <w:pPr>
        <w:pStyle w:val="Footnotesection"/>
      </w:pPr>
    </w:p>
    <w:p>
      <w:pPr>
        <w:pStyle w:val="Defpara"/>
        <w:sectPr>
          <w:headerReference w:type="even" r:id="rId23"/>
          <w:headerReference w:type="default" r:id="rId24"/>
          <w:headerReference w:type="first" r:id="rId25"/>
          <w:pgSz w:w="11907" w:h="16840" w:code="9"/>
          <w:pgMar w:top="2376" w:right="2405" w:bottom="3542" w:left="2405" w:header="706" w:footer="3544" w:gutter="0"/>
          <w:pgNumType w:start="1"/>
          <w:cols w:space="720"/>
          <w:noEndnote/>
          <w:titlePg/>
          <w:docGrid w:linePitch="326"/>
        </w:sectPr>
      </w:pPr>
    </w:p>
    <w:p>
      <w:pPr>
        <w:pStyle w:val="yScheduleHeading"/>
      </w:pPr>
      <w:bookmarkStart w:id="195" w:name="_Toc156549360"/>
      <w:bookmarkStart w:id="196" w:name="_Toc156551343"/>
      <w:bookmarkStart w:id="197" w:name="_Toc156551476"/>
      <w:bookmarkStart w:id="198" w:name="_Toc156552267"/>
      <w:bookmarkStart w:id="199" w:name="_Toc156559779"/>
      <w:r>
        <w:rPr>
          <w:rStyle w:val="CharSchNo"/>
        </w:rPr>
        <w:lastRenderedPageBreak/>
        <w:t>Schedule 1</w:t>
      </w:r>
      <w:r>
        <w:t> — </w:t>
      </w:r>
      <w:r>
        <w:rPr>
          <w:rStyle w:val="CharSchText"/>
        </w:rPr>
        <w:t>Prescribed premises</w:t>
      </w:r>
      <w:bookmarkEnd w:id="195"/>
      <w:bookmarkEnd w:id="196"/>
      <w:bookmarkEnd w:id="197"/>
      <w:bookmarkEnd w:id="198"/>
      <w:bookmarkEnd w:id="199"/>
    </w:p>
    <w:p>
      <w:pPr>
        <w:pStyle w:val="yShoulderClause"/>
        <w:rPr>
          <w:snapToGrid w:val="0"/>
        </w:rPr>
      </w:pPr>
      <w:r>
        <w:rPr>
          <w:snapToGrid w:val="0"/>
        </w:rPr>
        <w:t>[r. 5]</w:t>
      </w:r>
    </w:p>
    <w:p>
      <w:pPr>
        <w:pStyle w:val="yFootnoteheading"/>
      </w:pPr>
      <w:r>
        <w:tab/>
        <w:t>[Heading inserted: Gazette 13 Sep 1996 p. 4549.]</w:t>
      </w:r>
    </w:p>
    <w:p>
      <w:pPr>
        <w:pStyle w:val="yMiscellaneousHeading"/>
        <w:spacing w:after="80"/>
        <w:outlineLvl w:val="2"/>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lastRenderedPageBreak/>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lastRenderedPageBreak/>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lastRenderedPageBreak/>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lastRenderedPageBreak/>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lastRenderedPageBreak/>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lastRenderedPageBreak/>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lastRenderedPageBreak/>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noWrap/>
          </w:tcPr>
          <w:p>
            <w:pPr>
              <w:pStyle w:val="yTableNAm"/>
            </w:pPr>
            <w:r>
              <w:t>62</w:t>
            </w:r>
          </w:p>
        </w:tc>
        <w:tc>
          <w:tcPr>
            <w:tcW w:w="4449" w:type="dxa"/>
            <w:noWrap/>
          </w:tcPr>
          <w:p>
            <w:pPr>
              <w:pStyle w:val="yTableNAm"/>
            </w:pPr>
            <w:r>
              <w:t>Solid waste depot: premises on which waste is stored or sorted, pending final disposal or re</w:t>
            </w:r>
            <w:r>
              <w:noBreakHyphen/>
              <w:t>use, other than in the course of operating —</w:t>
            </w:r>
          </w:p>
        </w:tc>
        <w:tc>
          <w:tcPr>
            <w:tcW w:w="1701" w:type="dxa"/>
            <w:vMerge w:val="restart"/>
            <w:noWrap/>
          </w:tcPr>
          <w:p>
            <w:pPr>
              <w:pStyle w:val="yTableNAm"/>
            </w:pPr>
            <w:r>
              <w:t>500 tonnes or more per year (not including any waste stored or sorted only in the course of operating a refund point or aggregation point)</w:t>
            </w:r>
          </w:p>
        </w:tc>
      </w:tr>
      <w:tr>
        <w:trPr>
          <w:cantSplit/>
        </w:trPr>
        <w:tc>
          <w:tcPr>
            <w:tcW w:w="1080" w:type="dxa"/>
            <w:noWrap/>
          </w:tcPr>
          <w:p>
            <w:pPr>
              <w:pStyle w:val="yTableNAm"/>
            </w:pPr>
          </w:p>
        </w:tc>
        <w:tc>
          <w:tcPr>
            <w:tcW w:w="4449" w:type="dxa"/>
            <w:noWrap/>
          </w:tcPr>
          <w:p>
            <w:pPr>
              <w:pStyle w:val="yTableNAm"/>
              <w:ind w:left="425" w:hanging="425"/>
            </w:pPr>
            <w:r>
              <w:t>(a)</w:t>
            </w:r>
            <w:r>
              <w:tab/>
              <w:t xml:space="preserve">a refund point (as defined in the </w:t>
            </w:r>
            <w:r>
              <w:rPr>
                <w:i/>
              </w:rPr>
              <w:t>Waste Avoidance and Resource Recovery Act 2007</w:t>
            </w:r>
            <w:r>
              <w:t xml:space="preserve"> section 47C(1)) (a </w:t>
            </w:r>
            <w:r>
              <w:rPr>
                <w:rStyle w:val="CharDefText"/>
              </w:rPr>
              <w:t>refund point</w:t>
            </w:r>
            <w:r>
              <w:t>); or</w:t>
            </w:r>
          </w:p>
        </w:tc>
        <w:tc>
          <w:tcPr>
            <w:tcW w:w="1701" w:type="dxa"/>
            <w:vMerge/>
            <w:noWrap/>
          </w:tcPr>
          <w:p>
            <w:pPr>
              <w:pStyle w:val="yTableNAm"/>
            </w:pPr>
          </w:p>
        </w:tc>
      </w:tr>
      <w:tr>
        <w:trPr>
          <w:cantSplit/>
        </w:trPr>
        <w:tc>
          <w:tcPr>
            <w:tcW w:w="1080" w:type="dxa"/>
            <w:noWrap/>
          </w:tcPr>
          <w:p>
            <w:pPr>
              <w:pStyle w:val="yTableNAm"/>
            </w:pPr>
          </w:p>
        </w:tc>
        <w:tc>
          <w:tcPr>
            <w:tcW w:w="4449" w:type="dxa"/>
            <w:noWrap/>
          </w:tcPr>
          <w:p>
            <w:pPr>
              <w:pStyle w:val="yTableNAm"/>
              <w:ind w:left="425" w:hanging="425"/>
            </w:pPr>
            <w:r>
              <w:t>(b)</w:t>
            </w:r>
            <w:r>
              <w:tab/>
              <w:t xml:space="preserve">a facility or other place (an </w:t>
            </w:r>
            <w:r>
              <w:rPr>
                <w:rStyle w:val="CharDefText"/>
              </w:rPr>
              <w:t>aggregation point</w:t>
            </w:r>
            <w:r>
              <w:t>) for the aggregation of containers that have been returned to refund points until those containers are accepted for processing or disposal.</w:t>
            </w:r>
          </w:p>
        </w:tc>
        <w:tc>
          <w:tcPr>
            <w:tcW w:w="1701" w:type="dxa"/>
            <w:vMerge/>
            <w:noWrap/>
          </w:tcPr>
          <w:p>
            <w:pPr>
              <w:pStyle w:val="yTableNAm"/>
            </w:pP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lastRenderedPageBreak/>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lastRenderedPageBreak/>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Gazette 13 Sep 1996 p. 4549</w:t>
      </w:r>
      <w:r>
        <w:noBreakHyphen/>
        <w:t>59; amended: Gazette 10 Dec 1996 p. 6877; 12 Sep 1997 p. 5151; 15 Aug 2000 p. 4715</w:t>
      </w:r>
      <w:r>
        <w:noBreakHyphen/>
        <w:t>17;14 Jun 2002 p. 2293</w:t>
      </w:r>
      <w:r>
        <w:noBreakHyphen/>
        <w:t>4; 13 Dec 2005 p. 5983; 22 Jun 2007 p. 2843, 30 Oct 2007 p. 5877; 23 Jul 2010 p. 3401; 20 Aug 2013 p. 3856; 27 Apr 2018 p. 1390; SL 2020/134 r. 4.]</w:t>
      </w:r>
    </w:p>
    <w:p>
      <w:pPr>
        <w:pStyle w:val="yMiscellaneousHeading"/>
        <w:keepNext w:val="0"/>
        <w:spacing w:before="220" w:after="80"/>
        <w:outlineLvl w:val="2"/>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keepNext/>
              <w:spacing w:before="80"/>
            </w:pPr>
            <w:r>
              <w:lastRenderedPageBreak/>
              <w:t>72</w:t>
            </w:r>
          </w:p>
        </w:tc>
        <w:tc>
          <w:tcPr>
            <w:tcW w:w="4440" w:type="dxa"/>
          </w:tcPr>
          <w:p>
            <w:pPr>
              <w:pStyle w:val="yTableNAm"/>
              <w:keepNext/>
              <w:spacing w:before="80"/>
            </w:pPr>
            <w:r>
              <w:t>Chemical manufacturing:  premises on which chemical products are manufactured by a chemical process.</w:t>
            </w:r>
          </w:p>
        </w:tc>
        <w:tc>
          <w:tcPr>
            <w:tcW w:w="1680" w:type="dxa"/>
          </w:tcPr>
          <w:p>
            <w:pPr>
              <w:pStyle w:val="yTableNAm"/>
              <w:keepNext/>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keepNext/>
              <w:spacing w:before="80"/>
            </w:pPr>
            <w:r>
              <w:lastRenderedPageBreak/>
              <w:t>78</w:t>
            </w:r>
          </w:p>
        </w:tc>
        <w:tc>
          <w:tcPr>
            <w:tcW w:w="4440" w:type="dxa"/>
          </w:tcPr>
          <w:p>
            <w:pPr>
              <w:pStyle w:val="yTableNAm"/>
              <w:keepNext/>
              <w:spacing w:before="80"/>
            </w:pPr>
            <w:r>
              <w:t>Plaster manufacturing:  premises on which plaster, plaster board, gyprock or other products comprised wholly or primarily of gypsum are manufactured.</w:t>
            </w:r>
          </w:p>
        </w:tc>
        <w:tc>
          <w:tcPr>
            <w:tcW w:w="1680" w:type="dxa"/>
          </w:tcPr>
          <w:p>
            <w:pPr>
              <w:pStyle w:val="yTableNAm"/>
              <w:keepNext/>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keepNext/>
            </w:pPr>
            <w:r>
              <w:lastRenderedPageBreak/>
              <w:t>85</w:t>
            </w:r>
          </w:p>
        </w:tc>
        <w:tc>
          <w:tcPr>
            <w:tcW w:w="4440" w:type="dxa"/>
          </w:tcPr>
          <w:p>
            <w:pPr>
              <w:pStyle w:val="yTableNAm"/>
              <w:keepNext/>
            </w:pPr>
            <w:r>
              <w:t>Sewage facility: premises —</w:t>
            </w:r>
          </w:p>
          <w:p>
            <w:pPr>
              <w:pStyle w:val="yTableNAm"/>
              <w:keepNext/>
              <w:ind w:left="567" w:hanging="567"/>
            </w:pPr>
            <w:r>
              <w:t>(a)</w:t>
            </w:r>
            <w:r>
              <w:tab/>
              <w:t>on which sewage is treated (excluding septic tanks); or</w:t>
            </w:r>
          </w:p>
          <w:p>
            <w:pPr>
              <w:pStyle w:val="yTableNAm"/>
              <w:keepNext/>
              <w:ind w:left="567" w:hanging="567"/>
            </w:pPr>
            <w:r>
              <w:t>(b)</w:t>
            </w:r>
            <w:r>
              <w:tab/>
              <w:t>from which treated sewage is discharged onto land or into waters.</w:t>
            </w:r>
          </w:p>
        </w:tc>
        <w:tc>
          <w:tcPr>
            <w:tcW w:w="1680" w:type="dxa"/>
          </w:tcPr>
          <w:p>
            <w:pPr>
              <w:pStyle w:val="yTableNAm"/>
              <w:keepNext/>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keepNext/>
            </w:pPr>
            <w:r>
              <w:lastRenderedPageBreak/>
              <w:t>89</w:t>
            </w:r>
          </w:p>
        </w:tc>
        <w:tc>
          <w:tcPr>
            <w:tcW w:w="4440" w:type="dxa"/>
          </w:tcPr>
          <w:p>
            <w:pPr>
              <w:pStyle w:val="yTableNAm"/>
              <w:keepNext/>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keepNext/>
            </w:pPr>
            <w:r>
              <w:rPr>
                <w:szCs w:val="22"/>
              </w:rPr>
              <w:t>More than 20 but less than 5 000 tonnes per year</w:t>
            </w:r>
          </w:p>
        </w:tc>
      </w:tr>
    </w:tbl>
    <w:p>
      <w:pPr>
        <w:pStyle w:val="yFootnotesection"/>
      </w:pPr>
      <w:r>
        <w:tab/>
        <w:t>[Part 2 inserted: Gazette 13 Sep 1996 p. 4557</w:t>
      </w:r>
      <w:r>
        <w:noBreakHyphen/>
        <w:t>59; amended: Gazette 10 Dec 1996 p. 6877; 15 Aug 2000 p. 4716-17; 13 Dec 2005 p. 5983; 20 Aug 2013 p. 3856</w:t>
      </w:r>
      <w:r>
        <w:noBreakHyphen/>
        <w:t>7; 27 Apr 2018 p. 1390.]</w:t>
      </w:r>
    </w:p>
    <w:p>
      <w:pPr>
        <w:pStyle w:val="yEdnoteschedule"/>
      </w:pPr>
      <w:r>
        <w:t>[Schedule 2 deleted: Gazette 8 May 2012 p. 1893.]</w:t>
      </w:r>
    </w:p>
    <w:p>
      <w:pPr>
        <w:pStyle w:val="yScheduleHeading"/>
      </w:pPr>
      <w:bookmarkStart w:id="200" w:name="_Toc156549361"/>
      <w:bookmarkStart w:id="201" w:name="_Toc156551344"/>
      <w:bookmarkStart w:id="202" w:name="_Toc156551477"/>
      <w:bookmarkStart w:id="203" w:name="_Toc156552268"/>
      <w:bookmarkStart w:id="204" w:name="_Toc156559780"/>
      <w:r>
        <w:rPr>
          <w:rStyle w:val="CharSchNo"/>
        </w:rPr>
        <w:lastRenderedPageBreak/>
        <w:t>Schedule 3</w:t>
      </w:r>
      <w:r>
        <w:rPr>
          <w:rStyle w:val="CharSDivNo"/>
        </w:rPr>
        <w:t> </w:t>
      </w:r>
      <w:r>
        <w:t>— </w:t>
      </w:r>
      <w:r>
        <w:rPr>
          <w:rStyle w:val="CharSchText"/>
        </w:rPr>
        <w:t>Works approval fee</w:t>
      </w:r>
      <w:bookmarkEnd w:id="200"/>
      <w:bookmarkEnd w:id="201"/>
      <w:bookmarkEnd w:id="202"/>
      <w:bookmarkEnd w:id="203"/>
      <w:bookmarkEnd w:id="204"/>
    </w:p>
    <w:p>
      <w:pPr>
        <w:pStyle w:val="yShoulderClause"/>
        <w:rPr>
          <w:snapToGrid w:val="0"/>
        </w:rPr>
      </w:pPr>
      <w:r>
        <w:rPr>
          <w:szCs w:val="22"/>
        </w:rPr>
        <w:t>[r. 5BA(1)]</w:t>
      </w:r>
    </w:p>
    <w:p>
      <w:pPr>
        <w:pStyle w:val="yFootnoteheading"/>
        <w:rPr>
          <w:snapToGrid w:val="0"/>
        </w:rPr>
      </w:pPr>
      <w:r>
        <w:rPr>
          <w:snapToGrid w:val="0"/>
        </w:rPr>
        <w:tab/>
        <w:t>[Heading amended: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Gazette 13 Sep 1996 p. 4559</w:t>
      </w:r>
      <w:r>
        <w:noBreakHyphen/>
        <w:t>60; amended: Gazette 12 Jun 2018 p. 1889.]</w:t>
      </w:r>
    </w:p>
    <w:p>
      <w:pPr>
        <w:pStyle w:val="yScheduleHeading"/>
      </w:pPr>
      <w:bookmarkStart w:id="205" w:name="_Toc156549362"/>
      <w:bookmarkStart w:id="206" w:name="_Toc156551345"/>
      <w:bookmarkStart w:id="207" w:name="_Toc156551478"/>
      <w:bookmarkStart w:id="208" w:name="_Toc156552269"/>
      <w:bookmarkStart w:id="209" w:name="_Toc156559781"/>
      <w:r>
        <w:rPr>
          <w:rStyle w:val="CharSchNo"/>
        </w:rPr>
        <w:lastRenderedPageBreak/>
        <w:t>Schedule 4</w:t>
      </w:r>
      <w:r>
        <w:t> — </w:t>
      </w:r>
      <w:r>
        <w:rPr>
          <w:rStyle w:val="CharSchText"/>
        </w:rPr>
        <w:t>Licence fee</w:t>
      </w:r>
      <w:bookmarkEnd w:id="205"/>
      <w:bookmarkEnd w:id="206"/>
      <w:bookmarkEnd w:id="207"/>
      <w:bookmarkEnd w:id="208"/>
      <w:bookmarkEnd w:id="209"/>
    </w:p>
    <w:p>
      <w:pPr>
        <w:pStyle w:val="yShoulderClause"/>
        <w:rPr>
          <w:snapToGrid w:val="0"/>
        </w:rPr>
      </w:pPr>
      <w:r>
        <w:rPr>
          <w:snapToGrid w:val="0"/>
        </w:rPr>
        <w:t>[r. 5D]</w:t>
      </w:r>
    </w:p>
    <w:p>
      <w:pPr>
        <w:pStyle w:val="yFootnoteheading"/>
      </w:pPr>
      <w:r>
        <w:tab/>
        <w:t>[Heading inserted: Gazette 13 Sep 1996 p. 4560.]</w:t>
      </w:r>
    </w:p>
    <w:p>
      <w:pPr>
        <w:pStyle w:val="yHeading3"/>
      </w:pPr>
      <w:bookmarkStart w:id="210" w:name="_Toc156549363"/>
      <w:bookmarkStart w:id="211" w:name="_Toc156551346"/>
      <w:bookmarkStart w:id="212" w:name="_Toc156551479"/>
      <w:bookmarkStart w:id="213" w:name="_Toc156552270"/>
      <w:bookmarkStart w:id="214" w:name="_Toc156559782"/>
      <w:r>
        <w:rPr>
          <w:rStyle w:val="CharSDivNo"/>
          <w:sz w:val="28"/>
        </w:rPr>
        <w:t>Part 1</w:t>
      </w:r>
      <w:r>
        <w:t> — </w:t>
      </w:r>
      <w:r>
        <w:rPr>
          <w:rStyle w:val="CharSDivText"/>
          <w:sz w:val="28"/>
        </w:rPr>
        <w:t>Premises component</w:t>
      </w:r>
      <w:bookmarkEnd w:id="210"/>
      <w:bookmarkEnd w:id="211"/>
      <w:bookmarkEnd w:id="212"/>
      <w:bookmarkEnd w:id="213"/>
      <w:bookmarkEnd w:id="214"/>
    </w:p>
    <w:p>
      <w:pPr>
        <w:pStyle w:val="yFootnoteheading"/>
        <w:spacing w:after="60"/>
      </w:pPr>
      <w:r>
        <w:tab/>
        <w:t>[Heading inserted: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lastRenderedPageBreak/>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lastRenderedPageBreak/>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lastRenderedPageBreak/>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lastRenderedPageBreak/>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lastRenderedPageBreak/>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lastRenderedPageBreak/>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keepLines w:val="0"/>
      </w:pPr>
      <w:r>
        <w:tab/>
        <w:t>[Part 1 inserted: Gazette 13 Sep 1996 p. 4560</w:t>
      </w:r>
      <w:r>
        <w:noBreakHyphen/>
        <w:t>7; amended: Gazette 10 Dec 1996 p. 6878; 15 Aug 2000 p. 4717</w:t>
      </w:r>
      <w:r>
        <w:noBreakHyphen/>
        <w:t xml:space="preserve">18; 14 Jun 2002 p. 2794; </w:t>
      </w:r>
      <w:r>
        <w:lastRenderedPageBreak/>
        <w:t>13 Dec 2005 p. 5983; 22 Jun 2007 p. 2844; 30 Oct 2007 p. 5878; 23 Jul 2010 p. 3401.]</w:t>
      </w:r>
    </w:p>
    <w:p>
      <w:pPr>
        <w:pStyle w:val="yHeading3"/>
      </w:pPr>
      <w:bookmarkStart w:id="215" w:name="_Toc156549364"/>
      <w:bookmarkStart w:id="216" w:name="_Toc156551347"/>
      <w:bookmarkStart w:id="217" w:name="_Toc156551480"/>
      <w:bookmarkStart w:id="218" w:name="_Toc156552271"/>
      <w:bookmarkStart w:id="219" w:name="_Toc156559783"/>
      <w:r>
        <w:rPr>
          <w:rStyle w:val="CharSDivNo"/>
          <w:sz w:val="28"/>
        </w:rPr>
        <w:t>Part 2</w:t>
      </w:r>
      <w:r>
        <w:t> — </w:t>
      </w:r>
      <w:r>
        <w:rPr>
          <w:rStyle w:val="CharSDivText"/>
          <w:sz w:val="28"/>
        </w:rPr>
        <w:t>Part 2 waste</w:t>
      </w:r>
      <w:bookmarkEnd w:id="215"/>
      <w:bookmarkEnd w:id="216"/>
      <w:bookmarkEnd w:id="217"/>
      <w:bookmarkEnd w:id="218"/>
      <w:bookmarkEnd w:id="219"/>
    </w:p>
    <w:p>
      <w:pPr>
        <w:pStyle w:val="yFootnotesection"/>
        <w:keepNext/>
      </w:pPr>
      <w:r>
        <w:tab/>
        <w:t>[Heading inserted: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Gazette 13 Sep 1996 p. 4565.]</w:t>
      </w:r>
    </w:p>
    <w:p>
      <w:pPr>
        <w:pStyle w:val="yHeading3"/>
      </w:pPr>
      <w:bookmarkStart w:id="220" w:name="_Toc156549365"/>
      <w:bookmarkStart w:id="221" w:name="_Toc156551348"/>
      <w:bookmarkStart w:id="222" w:name="_Toc156551481"/>
      <w:bookmarkStart w:id="223" w:name="_Toc156552272"/>
      <w:bookmarkStart w:id="224" w:name="_Toc156559784"/>
      <w:r>
        <w:rPr>
          <w:rStyle w:val="CharSDivNo"/>
          <w:sz w:val="28"/>
        </w:rPr>
        <w:t>Part 3</w:t>
      </w:r>
      <w:r>
        <w:t> — </w:t>
      </w:r>
      <w:r>
        <w:rPr>
          <w:rStyle w:val="CharSDivText"/>
          <w:sz w:val="28"/>
        </w:rPr>
        <w:t>Discharge component</w:t>
      </w:r>
      <w:bookmarkEnd w:id="220"/>
      <w:bookmarkEnd w:id="221"/>
      <w:bookmarkEnd w:id="222"/>
      <w:bookmarkEnd w:id="223"/>
      <w:bookmarkEnd w:id="224"/>
    </w:p>
    <w:p>
      <w:pPr>
        <w:pStyle w:val="yFootnoteheading"/>
        <w:keepNext/>
      </w:pPr>
      <w:r>
        <w:tab/>
        <w:t>[Heading inserted: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keepNext/>
              <w:spacing w:before="80"/>
              <w:ind w:left="567" w:hanging="567"/>
            </w:pPr>
            <w:r>
              <w:lastRenderedPageBreak/>
              <w:t>3.</w:t>
            </w:r>
            <w:r>
              <w:tab/>
              <w:t>Volatile organic compounds (being compounds not specified elsewhere in this Table that participate in atmospheric photochemical reactions) — </w:t>
            </w:r>
          </w:p>
        </w:tc>
        <w:tc>
          <w:tcPr>
            <w:tcW w:w="1616" w:type="dxa"/>
          </w:tcPr>
          <w:p>
            <w:pPr>
              <w:pStyle w:val="yTableNAm"/>
              <w:keepNext/>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lastRenderedPageBreak/>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lastRenderedPageBreak/>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Gazette 13 Sep 1996 p. 4565</w:t>
      </w:r>
      <w:r>
        <w:noBreakHyphen/>
        <w:t>7; amended: Gazette 10 Dec 1996 p. 6878; 15 Aug 2000 p. 4718; 29 Sep 2006 p. 4266; 22 Jun 2007 p. 2844; 28 Jun 2016 p. 2631.]</w:t>
      </w:r>
    </w:p>
    <w:p>
      <w:pPr>
        <w:pStyle w:val="yScheduleHeading"/>
      </w:pPr>
      <w:bookmarkStart w:id="225" w:name="_Toc156549366"/>
      <w:bookmarkStart w:id="226" w:name="_Toc156551349"/>
      <w:bookmarkStart w:id="227" w:name="_Toc156551482"/>
      <w:bookmarkStart w:id="228" w:name="_Toc156552273"/>
      <w:bookmarkStart w:id="229" w:name="_Toc156559785"/>
      <w:r>
        <w:rPr>
          <w:rStyle w:val="CharSchNo"/>
        </w:rPr>
        <w:lastRenderedPageBreak/>
        <w:t>Schedule 5</w:t>
      </w:r>
      <w:r>
        <w:t xml:space="preserve"> — </w:t>
      </w:r>
      <w:r>
        <w:rPr>
          <w:rStyle w:val="CharSchText"/>
        </w:rPr>
        <w:t>Tyre landfill exclusion zone</w:t>
      </w:r>
      <w:bookmarkEnd w:id="225"/>
      <w:bookmarkEnd w:id="226"/>
      <w:bookmarkEnd w:id="227"/>
      <w:bookmarkEnd w:id="228"/>
      <w:bookmarkEnd w:id="229"/>
    </w:p>
    <w:p>
      <w:pPr>
        <w:pStyle w:val="yShoulderClause"/>
        <w:rPr>
          <w:snapToGrid w:val="0"/>
        </w:rPr>
      </w:pPr>
      <w:r>
        <w:rPr>
          <w:snapToGrid w:val="0"/>
        </w:rPr>
        <w:t>[r. 11(1)]</w:t>
      </w:r>
    </w:p>
    <w:p>
      <w:pPr>
        <w:pStyle w:val="yFootnoteheading"/>
      </w:pPr>
      <w:r>
        <w:tab/>
        <w:t>[Heading inserted: Gazette 10 Dec 1996 p. 6879.]</w:t>
      </w:r>
    </w:p>
    <w:p>
      <w:pPr>
        <w:pStyle w:val="yHeading3"/>
      </w:pPr>
      <w:bookmarkStart w:id="230" w:name="_Toc156549367"/>
      <w:bookmarkStart w:id="231" w:name="_Toc156551350"/>
      <w:bookmarkStart w:id="232" w:name="_Toc156551483"/>
      <w:bookmarkStart w:id="233" w:name="_Toc156552274"/>
      <w:bookmarkStart w:id="234" w:name="_Toc156559786"/>
      <w:r>
        <w:rPr>
          <w:rStyle w:val="CharSDivNo"/>
          <w:sz w:val="28"/>
        </w:rPr>
        <w:t>Part 1</w:t>
      </w:r>
      <w:r>
        <w:t> — </w:t>
      </w:r>
      <w:r>
        <w:rPr>
          <w:rStyle w:val="CharSDivText"/>
          <w:sz w:val="28"/>
        </w:rPr>
        <w:t>Metropolitan</w:t>
      </w:r>
      <w:bookmarkEnd w:id="230"/>
      <w:bookmarkEnd w:id="231"/>
      <w:bookmarkEnd w:id="232"/>
      <w:bookmarkEnd w:id="233"/>
      <w:bookmarkEnd w:id="23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Gazette 10 Dec 1996 p. 6879.]</w:t>
      </w:r>
    </w:p>
    <w:p>
      <w:pPr>
        <w:pStyle w:val="yTable"/>
      </w:pPr>
    </w:p>
    <w:p>
      <w:pPr>
        <w:pStyle w:val="yHeading3"/>
      </w:pPr>
      <w:bookmarkStart w:id="235" w:name="_Toc156549368"/>
      <w:bookmarkStart w:id="236" w:name="_Toc156551351"/>
      <w:bookmarkStart w:id="237" w:name="_Toc156551484"/>
      <w:bookmarkStart w:id="238" w:name="_Toc156552275"/>
      <w:bookmarkStart w:id="239" w:name="_Toc156559787"/>
      <w:r>
        <w:rPr>
          <w:rStyle w:val="CharSDivNo"/>
          <w:sz w:val="28"/>
        </w:rPr>
        <w:t>Part 2</w:t>
      </w:r>
      <w:r>
        <w:t> — </w:t>
      </w:r>
      <w:r>
        <w:rPr>
          <w:rStyle w:val="CharSDivText"/>
          <w:sz w:val="28"/>
        </w:rPr>
        <w:t>Country</w:t>
      </w:r>
      <w:bookmarkEnd w:id="235"/>
      <w:bookmarkEnd w:id="236"/>
      <w:bookmarkEnd w:id="237"/>
      <w:bookmarkEnd w:id="238"/>
      <w:bookmarkEnd w:id="239"/>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r>
              <w:t>Murray</w:t>
            </w:r>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r>
              <w:t>York</w:t>
            </w:r>
          </w:p>
        </w:tc>
      </w:tr>
    </w:tbl>
    <w:p>
      <w:pPr>
        <w:pStyle w:val="yFootnotesection"/>
      </w:pPr>
      <w:r>
        <w:tab/>
        <w:t>[Part 2 inserted: Gazette 10 Dec 1996 p. 6879.]</w:t>
      </w:r>
    </w:p>
    <w:p>
      <w:pPr>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241" w:name="_Toc156549369"/>
      <w:bookmarkStart w:id="242" w:name="_Toc156551352"/>
      <w:bookmarkStart w:id="243" w:name="_Toc156551485"/>
      <w:bookmarkStart w:id="244" w:name="_Toc156552276"/>
      <w:bookmarkStart w:id="245" w:name="_Toc156559788"/>
      <w:r>
        <w:rPr>
          <w:rStyle w:val="CharSchNo"/>
        </w:rPr>
        <w:lastRenderedPageBreak/>
        <w:t>Schedule 5A</w:t>
      </w:r>
      <w:r>
        <w:rPr>
          <w:rStyle w:val="CharSDivNo"/>
        </w:rPr>
        <w:t> </w:t>
      </w:r>
      <w:r>
        <w:t>—</w:t>
      </w:r>
      <w:r>
        <w:rPr>
          <w:rStyle w:val="CharSDivText"/>
        </w:rPr>
        <w:t> </w:t>
      </w:r>
      <w:r>
        <w:rPr>
          <w:rStyle w:val="CharSchText"/>
        </w:rPr>
        <w:t>Areas where burning matter on or from development sites is prohibited</w:t>
      </w:r>
      <w:bookmarkEnd w:id="241"/>
      <w:bookmarkEnd w:id="242"/>
      <w:bookmarkEnd w:id="243"/>
      <w:bookmarkEnd w:id="244"/>
      <w:bookmarkEnd w:id="245"/>
    </w:p>
    <w:p>
      <w:pPr>
        <w:pStyle w:val="yShoulderClause"/>
      </w:pPr>
      <w:r>
        <w:t>[r. 16B]</w:t>
      </w:r>
    </w:p>
    <w:p>
      <w:pPr>
        <w:pStyle w:val="yFootnoteheading"/>
      </w:pPr>
      <w:r>
        <w:tab/>
        <w:t>[Heading inserted: Gazette 19 Dec 2000 p. 7284.]</w:t>
      </w:r>
    </w:p>
    <w:p>
      <w:pPr>
        <w:pStyle w:val="yHeading5"/>
        <w:outlineLvl w:val="9"/>
      </w:pPr>
      <w:bookmarkStart w:id="246" w:name="_Toc156559789"/>
      <w:r>
        <w:rPr>
          <w:rStyle w:val="CharSClsNo"/>
        </w:rPr>
        <w:t>1</w:t>
      </w:r>
      <w:r>
        <w:t>.</w:t>
      </w:r>
      <w:r>
        <w:tab/>
        <w:t>Perth metropolitan area</w:t>
      </w:r>
      <w:bookmarkEnd w:id="246"/>
    </w:p>
    <w:p>
      <w:pPr>
        <w:pStyle w:val="ySubsection"/>
      </w:pPr>
      <w:r>
        <w:tab/>
      </w:r>
      <w:r>
        <w:tab/>
        <w:t>The area comprising the area bound by the coastline and the local government district boundaries of the City of Wanneroo, the City of Swan, the Shire of Mundaring, the Shire of Kalamunda, the City of Armadale, the Shire of Serpentine</w:t>
      </w:r>
      <w:r>
        <w:noBreakHyphen/>
        <w:t>Jarrahdale and the City of Rockingham.</w:t>
      </w:r>
    </w:p>
    <w:p>
      <w:pPr>
        <w:pStyle w:val="yFootnotesection"/>
      </w:pPr>
      <w:r>
        <w:tab/>
        <w:t>[Clause 1 inserted: Gazette 19 Dec 2000 p. 7284.]</w:t>
      </w:r>
    </w:p>
    <w:p>
      <w:pPr>
        <w:pStyle w:val="yHeading5"/>
        <w:outlineLvl w:val="9"/>
      </w:pPr>
      <w:bookmarkStart w:id="247" w:name="_Toc156559790"/>
      <w:r>
        <w:rPr>
          <w:rStyle w:val="CharSClsNo"/>
        </w:rPr>
        <w:t>2</w:t>
      </w:r>
      <w:r>
        <w:t>.</w:t>
      </w:r>
      <w:r>
        <w:tab/>
        <w:t>Mandurah area</w:t>
      </w:r>
      <w:bookmarkEnd w:id="247"/>
    </w:p>
    <w:p>
      <w:pPr>
        <w:pStyle w:val="ySubsection"/>
      </w:pPr>
      <w:r>
        <w:tab/>
      </w:r>
      <w:r>
        <w:tab/>
        <w:t>The area comprising the local government district of the City of Mandurah.</w:t>
      </w:r>
    </w:p>
    <w:p>
      <w:pPr>
        <w:pStyle w:val="yFootnotesection"/>
      </w:pPr>
      <w:r>
        <w:tab/>
        <w:t>[Clause 2 inserted: Gazette 19 Dec 2000 p. 7284.]</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248" w:name="_Toc156549372"/>
      <w:bookmarkStart w:id="249" w:name="_Toc156551355"/>
      <w:bookmarkStart w:id="250" w:name="_Toc156551488"/>
      <w:bookmarkStart w:id="251" w:name="_Toc156552279"/>
      <w:bookmarkStart w:id="252" w:name="_Toc156559791"/>
      <w:r>
        <w:rPr>
          <w:rStyle w:val="CharSchNo"/>
        </w:rPr>
        <w:lastRenderedPageBreak/>
        <w:t>Schedule 6</w:t>
      </w:r>
      <w:r>
        <w:t xml:space="preserve"> — </w:t>
      </w:r>
      <w:r>
        <w:rPr>
          <w:rStyle w:val="CharSchText"/>
        </w:rPr>
        <w:t>Infringement notice offences</w:t>
      </w:r>
      <w:bookmarkEnd w:id="248"/>
      <w:bookmarkEnd w:id="249"/>
      <w:bookmarkEnd w:id="250"/>
      <w:bookmarkEnd w:id="251"/>
      <w:bookmarkEnd w:id="252"/>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cantSplit/>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rPr>
          <w:cantSplit/>
        </w:trP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rPr>
          <w:cantSplit/>
        </w:trP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rPr>
          <w:cantSplit/>
        </w:trP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lastRenderedPageBreak/>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rPr>
          <w:cantSplit/>
        </w:trP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rPr>
                <w:i/>
                <w:iCs/>
              </w:rPr>
            </w:pPr>
            <w:r>
              <w:rPr>
                <w:i/>
                <w:iCs/>
              </w:rPr>
              <w:lastRenderedPageBreak/>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rPr>
          <w:cantSplit/>
        </w:trP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rPr>
          <w:cantSplit/>
        </w:trP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keepLines/>
              <w:rPr>
                <w:i/>
                <w:iCs/>
              </w:rPr>
            </w:pPr>
            <w:r>
              <w:rPr>
                <w:i/>
                <w:iCs/>
              </w:rPr>
              <w:lastRenderedPageBreak/>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rPr>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rPr>
          <w:cantSplit/>
        </w:trP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cantSplit/>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rPr>
          <w:cantSplit/>
        </w:trP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rPr>
          <w:cantSplit/>
        </w:trPr>
        <w:tc>
          <w:tcPr>
            <w:tcW w:w="2968" w:type="dxa"/>
          </w:tcPr>
          <w:p>
            <w:pPr>
              <w:pStyle w:val="yTableNAm"/>
              <w:spacing w:before="100"/>
            </w:pPr>
            <w:r>
              <w:lastRenderedPageBreak/>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cantSplit/>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cantSplit/>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rPr>
          <w:cantSplit/>
        </w:trPr>
        <w:tc>
          <w:tcPr>
            <w:tcW w:w="2968" w:type="dxa"/>
          </w:tcPr>
          <w:p>
            <w:pPr>
              <w:pStyle w:val="yTableNAm"/>
            </w:pPr>
            <w:r>
              <w:rPr>
                <w:i/>
              </w:rPr>
              <w:t>Environmental Protection (Solid Fuel Heater and Firewood) Regulations 2018</w:t>
            </w:r>
          </w:p>
        </w:tc>
        <w:tc>
          <w:tcPr>
            <w:tcW w:w="1837" w:type="dxa"/>
          </w:tcPr>
          <w:p>
            <w:pPr>
              <w:pStyle w:val="yTableNAm"/>
              <w:jc w:val="center"/>
            </w:pPr>
          </w:p>
        </w:tc>
        <w:tc>
          <w:tcPr>
            <w:tcW w:w="2425" w:type="dxa"/>
            <w:gridSpan w:val="2"/>
          </w:tcPr>
          <w:p>
            <w:pPr>
              <w:pStyle w:val="yTableNAm"/>
              <w:jc w:val="center"/>
            </w:pPr>
          </w:p>
        </w:tc>
      </w:tr>
      <w:tr>
        <w:trPr>
          <w:cantSplit/>
        </w:trP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lastRenderedPageBreak/>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rPr>
          <w:cantSplit/>
        </w:trP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cantSplit/>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cantSplit/>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cantSplit/>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(NEPM-UPM) Regulations 2007</w:t>
            </w:r>
            <w:r>
              <w:rPr>
                <w:snapToGrid w:val="0"/>
                <w:vertAlign w:val="superscript"/>
              </w:rPr>
              <w:t> 5</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cantSplit/>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lastRenderedPageBreak/>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cantSplit/>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rPr>
                <w:i/>
              </w:rPr>
            </w:pPr>
            <w:r>
              <w:rPr>
                <w:i/>
              </w:rPr>
              <w:lastRenderedPageBreak/>
              <w:t>Environmental Protection (Prohibited Plastics and Balloons) Regulations 2018</w:t>
            </w:r>
          </w:p>
        </w:tc>
        <w:tc>
          <w:tcPr>
            <w:tcW w:w="1837" w:type="dxa"/>
            <w:noWrap/>
          </w:tcPr>
          <w:p>
            <w:pPr>
              <w:pStyle w:val="yTableNAm"/>
              <w:jc w:val="center"/>
            </w:pPr>
          </w:p>
        </w:tc>
        <w:tc>
          <w:tcPr>
            <w:tcW w:w="2402" w:type="dxa"/>
            <w:noWrap/>
          </w:tcPr>
          <w:p>
            <w:pPr>
              <w:pStyle w:val="yTableNAm"/>
              <w:jc w:val="center"/>
            </w:pPr>
          </w:p>
        </w:tc>
      </w:tr>
      <w:tr>
        <w:tblPrEx>
          <w:tblCellMar>
            <w:left w:w="108" w:type="dxa"/>
            <w:right w:w="108" w:type="dxa"/>
          </w:tblCellMar>
        </w:tblPrEx>
        <w:trPr>
          <w:gridAfter w:val="1"/>
          <w:wAfter w:w="23" w:type="dxa"/>
          <w:cantSplit/>
        </w:trPr>
        <w:tc>
          <w:tcPr>
            <w:tcW w:w="2968" w:type="dxa"/>
            <w:noWrap/>
          </w:tcPr>
          <w:p>
            <w:pPr>
              <w:pStyle w:val="yTableNAm"/>
            </w:pPr>
            <w:r>
              <w:t>1.</w:t>
            </w:r>
            <w:r>
              <w:tab/>
              <w:t>regulation 4</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2.</w:t>
            </w:r>
            <w:r>
              <w:tab/>
              <w:t>regulation 5</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3.</w:t>
            </w:r>
            <w:r>
              <w:tab/>
              <w:t>regulation 7(1)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4.</w:t>
            </w:r>
            <w:r>
              <w:tab/>
              <w:t>regulation 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5.</w:t>
            </w:r>
            <w:r>
              <w:tab/>
              <w:t>regulation 16</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6.</w:t>
            </w:r>
            <w:r>
              <w:tab/>
              <w:t>regulation 17</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7.</w:t>
            </w:r>
            <w:r>
              <w:tab/>
              <w:t>regulation 17B</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8.</w:t>
            </w:r>
            <w:r>
              <w:tab/>
              <w:t>regulation 17C</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9.</w:t>
            </w:r>
            <w:r>
              <w:tab/>
              <w:t>regulation 17E</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10.</w:t>
            </w:r>
            <w:r>
              <w:tab/>
              <w:t>regulation 17F(1)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11.</w:t>
            </w:r>
            <w:r>
              <w:tab/>
              <w:t>regulation 17I</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pPr>
            <w:r>
              <w:t>12.</w:t>
            </w:r>
            <w:r>
              <w:tab/>
              <w:t>regulation 18(1)</w:t>
            </w:r>
          </w:p>
        </w:tc>
        <w:tc>
          <w:tcPr>
            <w:tcW w:w="1837" w:type="dxa"/>
            <w:noWrap/>
          </w:tcPr>
          <w:p>
            <w:pPr>
              <w:pStyle w:val="yTableNAm"/>
              <w:jc w:val="center"/>
            </w:pPr>
            <w:r>
              <w:t>250</w:t>
            </w:r>
          </w:p>
        </w:tc>
        <w:tc>
          <w:tcPr>
            <w:tcW w:w="2402" w:type="dxa"/>
            <w:noWrap/>
          </w:tcPr>
          <w:p>
            <w:pPr>
              <w:pStyle w:val="yTableNAm"/>
              <w:jc w:val="center"/>
            </w:pPr>
            <w:r>
              <w:t>500</w:t>
            </w:r>
          </w:p>
        </w:tc>
      </w:tr>
      <w:tr>
        <w:tblPrEx>
          <w:tblCellMar>
            <w:left w:w="108" w:type="dxa"/>
            <w:right w:w="108" w:type="dxa"/>
          </w:tblCellMar>
        </w:tblPrEx>
        <w:trPr>
          <w:gridAfter w:val="1"/>
          <w:wAfter w:w="23" w:type="dxa"/>
          <w:cantSplit/>
        </w:trPr>
        <w:tc>
          <w:tcPr>
            <w:tcW w:w="2968" w:type="dxa"/>
            <w:noWrap/>
          </w:tcPr>
          <w:p>
            <w:pPr>
              <w:pStyle w:val="yTableNAm"/>
              <w:keepNext/>
            </w:pPr>
            <w:r>
              <w:t>13.</w:t>
            </w:r>
            <w:r>
              <w:tab/>
              <w:t>regulation 18(2)</w:t>
            </w:r>
          </w:p>
        </w:tc>
        <w:tc>
          <w:tcPr>
            <w:tcW w:w="1837" w:type="dxa"/>
            <w:noWrap/>
          </w:tcPr>
          <w:p>
            <w:pPr>
              <w:pStyle w:val="yTableNAm"/>
              <w:keepNext/>
              <w:jc w:val="center"/>
            </w:pPr>
            <w:r>
              <w:t>250</w:t>
            </w:r>
          </w:p>
        </w:tc>
        <w:tc>
          <w:tcPr>
            <w:tcW w:w="2402" w:type="dxa"/>
            <w:noWrap/>
          </w:tcPr>
          <w:p>
            <w:pPr>
              <w:pStyle w:val="yTableNAm"/>
              <w:keepNext/>
              <w:jc w:val="center"/>
            </w:pPr>
            <w:r>
              <w:t>500</w:t>
            </w:r>
          </w:p>
        </w:tc>
      </w:tr>
    </w:tbl>
    <w:p>
      <w:pPr>
        <w:pStyle w:val="yFootnotesection"/>
      </w:pPr>
      <w:r>
        <w:tab/>
        <w:t>[Schedule 6 inserted: Gazette 11 Dec 1998 p. 6605</w:t>
      </w:r>
      <w:r>
        <w:noBreakHyphen/>
        <w:t>8; amended: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 16 Oct 2018 p. 4093; SL 2021/215 r. 10; SL 2022/64 r. 17; SL 2023/13 r. 20.]</w:t>
      </w:r>
    </w:p>
    <w:p>
      <w:pPr>
        <w:pStyle w:val="yFootnotesection"/>
        <w:keepLines w:val="0"/>
        <w:rPr>
          <w:i w:val="0"/>
        </w:r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yScheduleHeading"/>
      </w:pPr>
      <w:bookmarkStart w:id="253" w:name="_Toc156549373"/>
      <w:bookmarkStart w:id="254" w:name="_Toc156551356"/>
      <w:bookmarkStart w:id="255" w:name="_Toc156551489"/>
      <w:bookmarkStart w:id="256" w:name="_Toc156552280"/>
      <w:bookmarkStart w:id="257" w:name="_Toc156559792"/>
      <w:r>
        <w:rPr>
          <w:rStyle w:val="CharSchNo"/>
        </w:rPr>
        <w:lastRenderedPageBreak/>
        <w:t>Schedule 7</w:t>
      </w:r>
      <w:r>
        <w:t xml:space="preserve"> — </w:t>
      </w:r>
      <w:r>
        <w:rPr>
          <w:rStyle w:val="CharSchText"/>
        </w:rPr>
        <w:t>Forms</w:t>
      </w:r>
      <w:bookmarkEnd w:id="253"/>
      <w:bookmarkEnd w:id="254"/>
      <w:bookmarkEnd w:id="255"/>
      <w:bookmarkEnd w:id="256"/>
      <w:bookmarkEnd w:id="257"/>
    </w:p>
    <w:p>
      <w:pPr>
        <w:pStyle w:val="yShoulderClause"/>
      </w:pPr>
      <w:r>
        <w:t>[r. 37, 38, 42, 43]</w:t>
      </w:r>
    </w:p>
    <w:p>
      <w:pPr>
        <w:pStyle w:val="yFootnoteheading"/>
      </w:pPr>
      <w:r>
        <w:tab/>
        <w:t>[Heading inserted: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2</w:t>
      </w:r>
      <w:r>
        <w:rPr>
          <w:b/>
          <w:spacing w:val="-4"/>
        </w:rPr>
        <w:t>, this Modified Penalty Notice may be withdrawn and other action taken.</w:t>
      </w:r>
    </w:p>
    <w:p>
      <w:pPr>
        <w:pStyle w:val="yTable"/>
        <w:keepNext/>
        <w:keepLines/>
        <w:spacing w:before="120"/>
        <w:rPr>
          <w:sz w:val="18"/>
        </w:rPr>
      </w:pPr>
      <w:r>
        <w:rPr>
          <w:sz w:val="18"/>
        </w:rPr>
        <w:lastRenderedPageBreak/>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2</w:t>
      </w:r>
    </w:p>
    <w:p>
      <w:pPr>
        <w:pStyle w:val="yTable"/>
        <w:keepNext/>
        <w:tabs>
          <w:tab w:val="left" w:pos="567"/>
        </w:tabs>
        <w:spacing w:before="20"/>
        <w:rPr>
          <w:sz w:val="18"/>
        </w:rPr>
      </w:pPr>
      <w:r>
        <w:rPr>
          <w:sz w:val="18"/>
        </w:rPr>
        <w:tab/>
        <w:t>GPO Box K822</w:t>
      </w:r>
    </w:p>
    <w:p>
      <w:pPr>
        <w:pStyle w:val="yTable"/>
        <w:tabs>
          <w:tab w:val="left" w:pos="567"/>
        </w:tabs>
        <w:spacing w:before="20"/>
        <w:rPr>
          <w:sz w:val="18"/>
        </w:rPr>
      </w:pPr>
      <w:r>
        <w:rPr>
          <w:sz w:val="18"/>
        </w:rPr>
        <w:tab/>
        <w:t>PERTH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Gazette 11 Dec 1998 p. 6608</w:t>
      </w:r>
      <w:r>
        <w:noBreakHyphen/>
        <w:t>9; amended: Gazette 21 Aug 2015 p. 3336.]</w:t>
      </w:r>
    </w:p>
    <w:p>
      <w:pPr>
        <w:pStyle w:val="yTable"/>
        <w:pageBreakBefore/>
        <w:spacing w:after="120"/>
        <w:jc w:val="center"/>
        <w:rPr>
          <w:b/>
        </w:rPr>
      </w:pPr>
      <w:r>
        <w:rPr>
          <w:rStyle w:val="CharSClsNo"/>
          <w:b/>
        </w:rPr>
        <w:lastRenderedPageBreak/>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Gazette 11 Dec 1998 p. 6609; amended: Gazette 21 Aug 2015 p. 3336.]</w:t>
      </w:r>
    </w:p>
    <w:p>
      <w:pPr>
        <w:pStyle w:val="yTable"/>
        <w:pageBreakBefore/>
        <w:spacing w:after="120"/>
        <w:jc w:val="center"/>
        <w:rPr>
          <w:b/>
        </w:rPr>
      </w:pPr>
      <w:r>
        <w:rPr>
          <w:rStyle w:val="CharSClsNo"/>
          <w:b/>
        </w:rPr>
        <w:lastRenderedPageBreak/>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w:t>
      </w:r>
      <w:r>
        <w:rPr>
          <w:b/>
          <w:vertAlign w:val="superscript"/>
        </w:rPr>
        <w:t> </w:t>
      </w:r>
      <w:r>
        <w:rPr>
          <w:vertAlign w:val="superscript"/>
        </w:rPr>
        <w:t>2</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2</w:t>
      </w:r>
    </w:p>
    <w:p>
      <w:pPr>
        <w:pStyle w:val="yTable"/>
        <w:tabs>
          <w:tab w:val="left" w:pos="567"/>
        </w:tabs>
        <w:rPr>
          <w:sz w:val="18"/>
        </w:rPr>
      </w:pPr>
      <w:r>
        <w:rPr>
          <w:sz w:val="18"/>
        </w:rPr>
        <w:tab/>
        <w:t>GPO Box K822</w:t>
      </w:r>
    </w:p>
    <w:p>
      <w:pPr>
        <w:pStyle w:val="yTable"/>
        <w:tabs>
          <w:tab w:val="left" w:pos="567"/>
        </w:tabs>
        <w:rPr>
          <w:sz w:val="18"/>
        </w:rPr>
      </w:pPr>
      <w:r>
        <w:rPr>
          <w:sz w:val="18"/>
        </w:rPr>
        <w:lastRenderedPageBreak/>
        <w:tab/>
        <w:t>PERTH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2</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Gazette 11 Dec 1998 p. 6610</w:t>
      </w:r>
      <w:r>
        <w:noBreakHyphen/>
        <w:t>11; amended: Gazette 20 Aug 2013 p. 3857; 21 Aug 2015 p. 3336; SL 2020/166 r. 8.]</w:t>
      </w:r>
    </w:p>
    <w:p>
      <w:pPr>
        <w:pStyle w:val="yTable"/>
        <w:pageBreakBefore/>
        <w:spacing w:after="120"/>
        <w:jc w:val="center"/>
        <w:rPr>
          <w:b/>
        </w:rPr>
      </w:pPr>
      <w:r>
        <w:rPr>
          <w:rStyle w:val="CharSClsNo"/>
          <w:b/>
        </w:rPr>
        <w:lastRenderedPageBreak/>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Gazette 11 Dec 1998 p. 6611; amended: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258" w:name="_Toc156549374"/>
      <w:bookmarkStart w:id="259" w:name="_Toc156551357"/>
      <w:bookmarkStart w:id="260" w:name="_Toc156551490"/>
      <w:bookmarkStart w:id="261" w:name="_Toc156552281"/>
      <w:bookmarkStart w:id="262" w:name="_Toc156559793"/>
      <w:r>
        <w:lastRenderedPageBreak/>
        <w:t>Notes</w:t>
      </w:r>
      <w:bookmarkEnd w:id="258"/>
      <w:bookmarkEnd w:id="259"/>
      <w:bookmarkEnd w:id="260"/>
      <w:bookmarkEnd w:id="261"/>
      <w:bookmarkEnd w:id="262"/>
    </w:p>
    <w:p>
      <w:pPr>
        <w:pStyle w:val="nStatement"/>
      </w:pPr>
      <w:r>
        <w:t xml:space="preserve">This is a compilation of the </w:t>
      </w:r>
      <w:r>
        <w:rPr>
          <w:i/>
          <w:noProof/>
        </w:rPr>
        <w:t>Environmental Protection Regulations 1987</w:t>
      </w:r>
      <w:r>
        <w:t xml:space="preserve"> and includes amendments made by other written laws. For provisions that have come into operation, and for information about any reprints, see the compilation table. </w:t>
      </w:r>
    </w:p>
    <w:p>
      <w:pPr>
        <w:pStyle w:val="nHeading3"/>
      </w:pPr>
      <w:bookmarkStart w:id="263" w:name="_Toc156559794"/>
      <w:r>
        <w:t>Compilation table</w:t>
      </w:r>
      <w:bookmarkEnd w:id="26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1996</w:t>
            </w:r>
            <w:r>
              <w:rPr>
                <w:vertAlign w:val="superscript"/>
              </w:rPr>
              <w:t> 6</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lastRenderedPageBreak/>
              <w:t>Environmental Protection Amendment Regulations (No. 5) 2000</w:t>
            </w:r>
            <w:r>
              <w:rPr>
                <w:vertAlign w:val="superscript"/>
              </w:rPr>
              <w:t> 7</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lastRenderedPageBreak/>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bCs/>
                <w:snapToGrid w:val="0"/>
                <w:spacing w:val="-2"/>
              </w:rPr>
              <w:t>r. 1 and 2: 1 Aug 2014 (see r. 2(a));</w:t>
            </w:r>
            <w:r>
              <w:rPr>
                <w:bCs/>
                <w:snapToGrid w:val="0"/>
                <w:spacing w:val="-2"/>
              </w:rPr>
              <w:br/>
              <w:t>Regulations other than r. 1 and 2: 2 Aug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bCs/>
                <w:snapToGrid w:val="0"/>
                <w:spacing w:val="-2"/>
              </w:rPr>
              <w:t>r. 1 and 2: 21 Aug 2015 (see r. 2(a));</w:t>
            </w:r>
            <w:r>
              <w:rPr>
                <w:bCs/>
                <w:snapToGrid w:val="0"/>
                <w:spacing w:val="-2"/>
              </w:rPr>
              <w:br/>
              <w:t>Regulations other than r. 1 and 2: 22 Aug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bCs/>
                <w:snapToGrid w:val="0"/>
                <w:spacing w:val="-2"/>
              </w:rPr>
            </w:pPr>
            <w:r>
              <w:rPr>
                <w:bCs/>
                <w:snapToGrid w:val="0"/>
                <w:spacing w:val="-2"/>
              </w:rPr>
              <w:t>r. 1 and 2: 28 Jun 2016 (see r. 2(a));</w:t>
            </w:r>
            <w:r>
              <w:rPr>
                <w:bCs/>
                <w:snapToGrid w:val="0"/>
                <w:spacing w:val="-2"/>
              </w:rPr>
              <w:br/>
              <w:t>Regulations other than r. 1 and 2: 1 Jul 2016 (see r. 2(b))</w:t>
            </w:r>
          </w:p>
        </w:tc>
      </w:tr>
      <w:tr>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bCs/>
                <w:snapToGrid w:val="0"/>
                <w:spacing w:val="-2"/>
              </w:rPr>
              <w:t>r. 1 and 2: 27 Apr 2018 (see r. 2(a));</w:t>
            </w:r>
            <w:r>
              <w:rPr>
                <w:bCs/>
                <w:snapToGrid w:val="0"/>
                <w:spacing w:val="-2"/>
              </w:rPr>
              <w:br/>
              <w:t>Regulations other than r. 1 and 2: 28 Apr 2018 (see r. 2(b))</w:t>
            </w:r>
          </w:p>
        </w:tc>
      </w:tr>
      <w:tr>
        <w:trPr>
          <w:cantSplit/>
        </w:trPr>
        <w:tc>
          <w:tcPr>
            <w:tcW w:w="3118" w:type="dxa"/>
            <w:tcBorders>
              <w:top w:val="nil"/>
              <w:bottom w:val="nil"/>
            </w:tcBorders>
          </w:tcPr>
          <w:p>
            <w:pPr>
              <w:pStyle w:val="nTable"/>
              <w:spacing w:after="40"/>
            </w:pPr>
            <w:r>
              <w:rPr>
                <w:i/>
              </w:rPr>
              <w:lastRenderedPageBreak/>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bCs/>
                <w:snapToGrid w:val="0"/>
                <w:spacing w:val="-2"/>
              </w:rPr>
              <w:t>r. 1 and 2: 12 Jun 2018 (see r. 2(a));</w:t>
            </w:r>
            <w:r>
              <w:rPr>
                <w:bCs/>
                <w:snapToGrid w:val="0"/>
                <w:spacing w:val="-2"/>
              </w:rPr>
              <w:br/>
              <w:t xml:space="preserve">Regulations other than r. 1 and 2: </w:t>
            </w:r>
            <w:r>
              <w:t>1 Jul 2018 (see r. 2(b))</w:t>
            </w:r>
          </w:p>
        </w:tc>
      </w:tr>
      <w:tr>
        <w:tc>
          <w:tcPr>
            <w:tcW w:w="3118" w:type="dxa"/>
            <w:tcBorders>
              <w:top w:val="nil"/>
              <w:bottom w:val="nil"/>
            </w:tcBorders>
          </w:tcPr>
          <w:p>
            <w:pPr>
              <w:pStyle w:val="nTable"/>
              <w:spacing w:after="40"/>
            </w:pPr>
            <w:r>
              <w:rPr>
                <w:i/>
              </w:rPr>
              <w:t>Environmental Protection (Plastic Bags) Regulations 2018</w:t>
            </w:r>
            <w:r>
              <w:t xml:space="preserve"> Pt. 3</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Pt. 3 (other than r. 7(2)): 1 Jul 2018 (see r. 2(c));</w:t>
            </w:r>
            <w:r>
              <w:br/>
              <w:t>r. 7(2): 1 Jan 2019 (see r. 2(b))</w:t>
            </w:r>
          </w:p>
        </w:tc>
      </w:tr>
      <w:tr>
        <w:tc>
          <w:tcPr>
            <w:tcW w:w="3118" w:type="dxa"/>
            <w:tcBorders>
              <w:top w:val="nil"/>
              <w:bottom w:val="nil"/>
            </w:tcBorders>
          </w:tcPr>
          <w:p>
            <w:pPr>
              <w:pStyle w:val="nTable"/>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spacing w:after="40"/>
            </w:pPr>
            <w:r>
              <w:t>31 Aug 2018 p. 3093-107</w:t>
            </w:r>
          </w:p>
        </w:tc>
        <w:tc>
          <w:tcPr>
            <w:tcW w:w="2693" w:type="dxa"/>
            <w:tcBorders>
              <w:top w:val="nil"/>
              <w:bottom w:val="nil"/>
            </w:tcBorders>
          </w:tcPr>
          <w:p>
            <w:pPr>
              <w:pStyle w:val="nTable"/>
              <w:spacing w:after="40"/>
            </w:pPr>
            <w:r>
              <w:t>1 Sep 2018 (see r. 2(b))</w:t>
            </w:r>
          </w:p>
        </w:tc>
      </w:tr>
      <w:tr>
        <w:tc>
          <w:tcPr>
            <w:tcW w:w="3118" w:type="dxa"/>
            <w:tcBorders>
              <w:top w:val="nil"/>
              <w:bottom w:val="nil"/>
            </w:tcBorders>
          </w:tcPr>
          <w:p>
            <w:pPr>
              <w:pStyle w:val="nTable"/>
              <w:spacing w:after="40"/>
              <w:rPr>
                <w:i/>
              </w:rPr>
            </w:pPr>
            <w:r>
              <w:rPr>
                <w:i/>
              </w:rPr>
              <w:t>Environmental Protection Amendment Regulations (No. 3) 2018</w:t>
            </w:r>
          </w:p>
        </w:tc>
        <w:tc>
          <w:tcPr>
            <w:tcW w:w="1276" w:type="dxa"/>
            <w:tcBorders>
              <w:top w:val="nil"/>
              <w:bottom w:val="nil"/>
            </w:tcBorders>
          </w:tcPr>
          <w:p>
            <w:pPr>
              <w:pStyle w:val="nTable"/>
              <w:spacing w:after="40"/>
            </w:pPr>
            <w:r>
              <w:t>16 Oct 2018 p. 4093</w:t>
            </w:r>
          </w:p>
        </w:tc>
        <w:tc>
          <w:tcPr>
            <w:tcW w:w="2693" w:type="dxa"/>
            <w:tcBorders>
              <w:top w:val="nil"/>
              <w:bottom w:val="nil"/>
            </w:tcBorders>
          </w:tcPr>
          <w:p>
            <w:pPr>
              <w:pStyle w:val="nTable"/>
              <w:spacing w:after="40"/>
            </w:pPr>
            <w:r>
              <w:t>r. 1 and 2: 16 Oct 2018 (see r. 2(a));</w:t>
            </w:r>
            <w:r>
              <w:br/>
              <w:t>Regulations other than r. 1 and 2: 17 Oct 2018 (see r. 2(b))</w:t>
            </w:r>
          </w:p>
        </w:tc>
      </w:tr>
      <w:tr>
        <w:tc>
          <w:tcPr>
            <w:tcW w:w="3118" w:type="dxa"/>
            <w:tcBorders>
              <w:top w:val="nil"/>
              <w:bottom w:val="nil"/>
            </w:tcBorders>
          </w:tcPr>
          <w:p>
            <w:pPr>
              <w:pStyle w:val="nTable"/>
              <w:spacing w:after="40"/>
              <w:rPr>
                <w:i/>
              </w:rPr>
            </w:pPr>
            <w:r>
              <w:rPr>
                <w:i/>
              </w:rPr>
              <w:t>Environmental Protection Amendment Regulations (No. 2) 2020</w:t>
            </w:r>
          </w:p>
        </w:tc>
        <w:tc>
          <w:tcPr>
            <w:tcW w:w="1276" w:type="dxa"/>
            <w:tcBorders>
              <w:top w:val="nil"/>
              <w:bottom w:val="nil"/>
            </w:tcBorders>
          </w:tcPr>
          <w:p>
            <w:pPr>
              <w:pStyle w:val="nTable"/>
              <w:spacing w:after="40"/>
            </w:pPr>
            <w:r>
              <w:t>SL 2020/114 7 Jul 2020</w:t>
            </w:r>
          </w:p>
        </w:tc>
        <w:tc>
          <w:tcPr>
            <w:tcW w:w="2693" w:type="dxa"/>
            <w:tcBorders>
              <w:top w:val="nil"/>
              <w:bottom w:val="nil"/>
            </w:tcBorders>
          </w:tcPr>
          <w:p>
            <w:pPr>
              <w:pStyle w:val="nTable"/>
              <w:spacing w:after="40"/>
            </w:pPr>
            <w:r>
              <w:t>r. 1 and 2: 7 Jul 2020 (see r. 2(a));</w:t>
            </w:r>
            <w:r>
              <w:br/>
              <w:t>Regulations other than r. 1 and 2: 8 Jul 2020 (see r. 2(b))</w:t>
            </w:r>
          </w:p>
        </w:tc>
      </w:tr>
      <w:tr>
        <w:tc>
          <w:tcPr>
            <w:tcW w:w="3118" w:type="dxa"/>
            <w:tcBorders>
              <w:top w:val="nil"/>
              <w:bottom w:val="nil"/>
            </w:tcBorders>
          </w:tcPr>
          <w:p>
            <w:pPr>
              <w:pStyle w:val="nTable"/>
              <w:spacing w:after="40"/>
              <w:rPr>
                <w:i/>
              </w:rPr>
            </w:pPr>
            <w:r>
              <w:rPr>
                <w:i/>
              </w:rPr>
              <w:t>Environmental Protection Amendment Regulations 2020</w:t>
            </w:r>
          </w:p>
        </w:tc>
        <w:tc>
          <w:tcPr>
            <w:tcW w:w="1276" w:type="dxa"/>
            <w:tcBorders>
              <w:top w:val="nil"/>
              <w:bottom w:val="nil"/>
            </w:tcBorders>
          </w:tcPr>
          <w:p>
            <w:pPr>
              <w:pStyle w:val="nTable"/>
              <w:spacing w:after="40"/>
            </w:pPr>
            <w:r>
              <w:t>SL 2020/134 14 Aug 2020</w:t>
            </w:r>
          </w:p>
        </w:tc>
        <w:tc>
          <w:tcPr>
            <w:tcW w:w="2693" w:type="dxa"/>
            <w:tcBorders>
              <w:top w:val="nil"/>
              <w:bottom w:val="nil"/>
            </w:tcBorders>
          </w:tcPr>
          <w:p>
            <w:pPr>
              <w:pStyle w:val="nTable"/>
              <w:spacing w:after="40"/>
            </w:pPr>
            <w:r>
              <w:t>r. 1 and 2: 14 Aug 2020 (see r. 2(a));</w:t>
            </w:r>
            <w:r>
              <w:br/>
              <w:t>Regulations other than r. 1 and 2: 15 Aug 2020 (see r. 2(b))</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4</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pPr>
            <w:r>
              <w:rPr>
                <w:snapToGrid w:val="0"/>
                <w:spacing w:val="-2"/>
              </w:rPr>
              <w:t>29 Sep 2020 (see r. 2(b) and SL 2020/159 cl. 2(a))</w:t>
            </w:r>
          </w:p>
        </w:tc>
      </w:tr>
      <w:tr>
        <w:tc>
          <w:tcPr>
            <w:tcW w:w="3118" w:type="dxa"/>
            <w:tcBorders>
              <w:top w:val="nil"/>
              <w:bottom w:val="nil"/>
            </w:tcBorders>
          </w:tcPr>
          <w:p>
            <w:pPr>
              <w:pStyle w:val="nTable"/>
              <w:spacing w:after="40"/>
            </w:pPr>
            <w:r>
              <w:rPr>
                <w:i/>
              </w:rPr>
              <w:t>Environmental Protection Regulations Amendment (Publication and Confidentiality) Regulations 2021</w:t>
            </w:r>
            <w:r>
              <w:t xml:space="preserve"> Pt. 3</w:t>
            </w:r>
          </w:p>
        </w:tc>
        <w:tc>
          <w:tcPr>
            <w:tcW w:w="1276" w:type="dxa"/>
            <w:tcBorders>
              <w:top w:val="nil"/>
              <w:bottom w:val="nil"/>
            </w:tcBorders>
          </w:tcPr>
          <w:p>
            <w:pPr>
              <w:pStyle w:val="nTable"/>
              <w:spacing w:after="40"/>
            </w:pPr>
            <w:r>
              <w:t>SL 2021/178 22 Oct 2021</w:t>
            </w:r>
          </w:p>
        </w:tc>
        <w:tc>
          <w:tcPr>
            <w:tcW w:w="2693" w:type="dxa"/>
            <w:tcBorders>
              <w:top w:val="nil"/>
              <w:bottom w:val="nil"/>
            </w:tcBorders>
          </w:tcPr>
          <w:p>
            <w:pPr>
              <w:pStyle w:val="nTable"/>
              <w:spacing w:after="40"/>
              <w:rPr>
                <w:snapToGrid w:val="0"/>
                <w:spacing w:val="-2"/>
              </w:rPr>
            </w:pPr>
            <w:r>
              <w:rPr>
                <w:snapToGrid w:val="0"/>
                <w:spacing w:val="-2"/>
              </w:rPr>
              <w:t>23 Oct 2021 (see r. 2(c) and SL 2021/176 cl. 2)</w:t>
            </w:r>
          </w:p>
        </w:tc>
      </w:tr>
      <w:tr>
        <w:tc>
          <w:tcPr>
            <w:tcW w:w="3118" w:type="dxa"/>
            <w:tcBorders>
              <w:top w:val="nil"/>
              <w:bottom w:val="nil"/>
            </w:tcBorders>
          </w:tcPr>
          <w:p>
            <w:pPr>
              <w:pStyle w:val="nTable"/>
              <w:spacing w:after="40"/>
              <w:rPr>
                <w:i/>
              </w:rPr>
            </w:pPr>
            <w:r>
              <w:rPr>
                <w:i/>
              </w:rPr>
              <w:t>Environmental Protection Amendment Regulations (No. 2) 2021</w:t>
            </w:r>
          </w:p>
        </w:tc>
        <w:tc>
          <w:tcPr>
            <w:tcW w:w="1276" w:type="dxa"/>
            <w:tcBorders>
              <w:top w:val="nil"/>
              <w:bottom w:val="nil"/>
            </w:tcBorders>
          </w:tcPr>
          <w:p>
            <w:pPr>
              <w:pStyle w:val="nTable"/>
              <w:spacing w:after="40"/>
            </w:pPr>
            <w:r>
              <w:t>SL 2021/190 19 Nov 2021</w:t>
            </w:r>
          </w:p>
        </w:tc>
        <w:tc>
          <w:tcPr>
            <w:tcW w:w="2693" w:type="dxa"/>
            <w:tcBorders>
              <w:top w:val="nil"/>
              <w:bottom w:val="nil"/>
            </w:tcBorders>
          </w:tcPr>
          <w:p>
            <w:pPr>
              <w:pStyle w:val="nTable"/>
              <w:spacing w:after="40"/>
              <w:rPr>
                <w:snapToGrid w:val="0"/>
                <w:spacing w:val="-2"/>
              </w:rPr>
            </w:pPr>
            <w:r>
              <w:rPr>
                <w:snapToGrid w:val="0"/>
                <w:spacing w:val="-2"/>
              </w:rPr>
              <w:t>r. 1 and 2: 19 Nov 2021 (see r. 2(a));</w:t>
            </w:r>
            <w:r>
              <w:rPr>
                <w:snapToGrid w:val="0"/>
                <w:spacing w:val="-2"/>
              </w:rPr>
              <w:br/>
              <w:t>Regulations other than r. 1 and 2: 20 Nov 2021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2021</w:t>
            </w:r>
            <w:r>
              <w:t xml:space="preserve"> Pt. 2 Div. 2</w:t>
            </w:r>
            <w:r>
              <w:rPr>
                <w:vertAlign w:val="superscript"/>
              </w:rPr>
              <w:t> 8</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rPr>
                <w:snapToGrid w:val="0"/>
                <w:spacing w:val="-2"/>
              </w:rPr>
            </w:pPr>
            <w:r>
              <w:t>1 Jan 2022 (see r. 2(b))</w:t>
            </w:r>
          </w:p>
        </w:tc>
      </w:tr>
      <w:tr>
        <w:tc>
          <w:tcPr>
            <w:tcW w:w="3118" w:type="dxa"/>
            <w:tcBorders>
              <w:top w:val="nil"/>
              <w:bottom w:val="nil"/>
            </w:tcBorders>
          </w:tcPr>
          <w:p>
            <w:pPr>
              <w:pStyle w:val="nTable"/>
              <w:spacing w:after="40"/>
              <w:rPr>
                <w:i/>
              </w:rPr>
            </w:pPr>
            <w:r>
              <w:rPr>
                <w:i/>
              </w:rPr>
              <w:t xml:space="preserve">Environmental Protection Regulations Amendment (Prohibited Plastics and Balloons) Regulations 2022 </w:t>
            </w:r>
            <w:r>
              <w:t>Pt. 3 Div. 2</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lastRenderedPageBreak/>
              <w:t>Environmental Protection Amendment Regulations 2022</w:t>
            </w:r>
          </w:p>
        </w:tc>
        <w:tc>
          <w:tcPr>
            <w:tcW w:w="1276" w:type="dxa"/>
            <w:tcBorders>
              <w:top w:val="nil"/>
              <w:bottom w:val="nil"/>
            </w:tcBorders>
          </w:tcPr>
          <w:p>
            <w:pPr>
              <w:pStyle w:val="nTable"/>
              <w:spacing w:after="40"/>
            </w:pPr>
            <w:r>
              <w:t>SL 2022/68 3 Jun 2022</w:t>
            </w:r>
          </w:p>
        </w:tc>
        <w:tc>
          <w:tcPr>
            <w:tcW w:w="2693" w:type="dxa"/>
            <w:tcBorders>
              <w:top w:val="nil"/>
              <w:bottom w:val="nil"/>
            </w:tcBorders>
          </w:tcPr>
          <w:p>
            <w:pPr>
              <w:pStyle w:val="nTable"/>
              <w:spacing w:after="40"/>
            </w:pPr>
            <w:r>
              <w:t>r. 1 and 2: 3 Jun 2022 (see r. 2(a));</w:t>
            </w:r>
            <w:r>
              <w:br/>
              <w:t>Regulations other than r. 1 and 2: 1 Jul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3</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bottom w:val="nil"/>
            </w:tcBorders>
          </w:tcPr>
          <w:p>
            <w:pPr>
              <w:pStyle w:val="nTable"/>
              <w:spacing w:after="40"/>
              <w:rPr>
                <w:i/>
              </w:rPr>
            </w:pPr>
            <w:r>
              <w:rPr>
                <w:i/>
              </w:rPr>
              <w:t>Environment Regulations Amendment (Aboriginal Cultural Heritage) Regulations 2023</w:t>
            </w:r>
            <w:r>
              <w:t xml:space="preserve"> Pt. 4</w:t>
            </w:r>
          </w:p>
        </w:tc>
        <w:tc>
          <w:tcPr>
            <w:tcW w:w="1276" w:type="dxa"/>
            <w:tcBorders>
              <w:top w:val="nil"/>
              <w:bottom w:val="nil"/>
            </w:tcBorders>
          </w:tcPr>
          <w:p>
            <w:pPr>
              <w:pStyle w:val="nTable"/>
              <w:spacing w:after="40"/>
            </w:pPr>
            <w:r>
              <w:t>SL 2023/50 19 May 2023</w:t>
            </w:r>
          </w:p>
        </w:tc>
        <w:tc>
          <w:tcPr>
            <w:tcW w:w="2693" w:type="dxa"/>
            <w:tcBorders>
              <w:top w:val="nil"/>
              <w:bottom w:val="nil"/>
            </w:tcBorders>
          </w:tcPr>
          <w:p>
            <w:pPr>
              <w:pStyle w:val="nTable"/>
              <w:spacing w:after="40"/>
            </w:pPr>
            <w:r>
              <w:t>1 Jul 2023 (see r. 2(b))</w:t>
            </w:r>
          </w:p>
        </w:tc>
      </w:tr>
      <w:tr>
        <w:tc>
          <w:tcPr>
            <w:tcW w:w="3118" w:type="dxa"/>
            <w:tcBorders>
              <w:top w:val="nil"/>
              <w:bottom w:val="nil"/>
            </w:tcBorders>
          </w:tcPr>
          <w:p>
            <w:pPr>
              <w:pStyle w:val="nTable"/>
              <w:spacing w:after="40"/>
            </w:pPr>
            <w:r>
              <w:rPr>
                <w:i/>
              </w:rPr>
              <w:t>Environmental Protection Amendment Regulations (No. 2) 2023</w:t>
            </w:r>
          </w:p>
        </w:tc>
        <w:tc>
          <w:tcPr>
            <w:tcW w:w="1276" w:type="dxa"/>
            <w:tcBorders>
              <w:top w:val="nil"/>
              <w:bottom w:val="nil"/>
            </w:tcBorders>
          </w:tcPr>
          <w:p>
            <w:pPr>
              <w:pStyle w:val="nTable"/>
              <w:spacing w:after="40"/>
            </w:pPr>
            <w:r>
              <w:t>SL 2023/142 6 Sep 2023</w:t>
            </w:r>
          </w:p>
        </w:tc>
        <w:tc>
          <w:tcPr>
            <w:tcW w:w="2693" w:type="dxa"/>
            <w:tcBorders>
              <w:top w:val="nil"/>
              <w:bottom w:val="nil"/>
            </w:tcBorders>
          </w:tcPr>
          <w:p>
            <w:pPr>
              <w:pStyle w:val="nTable"/>
              <w:spacing w:after="40"/>
            </w:pPr>
            <w:r>
              <w:t>r. 1 and 2: 6 Sep 2023 (see r. 2(a));</w:t>
            </w:r>
            <w:r>
              <w:br/>
              <w:t>Regulations other than r. 1 and 2: 7 Sep 2023 (see r. 2(b))</w:t>
            </w:r>
          </w:p>
        </w:tc>
      </w:tr>
      <w:tr>
        <w:tc>
          <w:tcPr>
            <w:tcW w:w="3118" w:type="dxa"/>
            <w:tcBorders>
              <w:top w:val="nil"/>
              <w:bottom w:val="nil"/>
            </w:tcBorders>
          </w:tcPr>
          <w:p>
            <w:pPr>
              <w:pStyle w:val="nTable"/>
              <w:spacing w:after="40"/>
              <w:rPr>
                <w:iCs/>
              </w:rPr>
            </w:pPr>
            <w:r>
              <w:rPr>
                <w:i/>
              </w:rPr>
              <w:t>Environment Regulations Amendment (Aboriginal Heritage) Regulations 2023</w:t>
            </w:r>
            <w:r>
              <w:rPr>
                <w:iCs/>
              </w:rPr>
              <w:t xml:space="preserve"> Pt. 4</w:t>
            </w:r>
          </w:p>
        </w:tc>
        <w:tc>
          <w:tcPr>
            <w:tcW w:w="1276" w:type="dxa"/>
            <w:tcBorders>
              <w:top w:val="nil"/>
              <w:bottom w:val="nil"/>
            </w:tcBorders>
          </w:tcPr>
          <w:p>
            <w:pPr>
              <w:pStyle w:val="nTable"/>
              <w:spacing w:after="40"/>
            </w:pPr>
            <w:r>
              <w:t>SL 2023/170 1 Nov 2023</w:t>
            </w:r>
          </w:p>
        </w:tc>
        <w:tc>
          <w:tcPr>
            <w:tcW w:w="2693" w:type="dxa"/>
            <w:tcBorders>
              <w:top w:val="nil"/>
              <w:bottom w:val="nil"/>
            </w:tcBorders>
          </w:tcPr>
          <w:p>
            <w:pPr>
              <w:pStyle w:val="nTable"/>
              <w:spacing w:after="40"/>
            </w:pPr>
            <w:r>
              <w:t>15 Nov 2023 (see r. 2(b) and SL 2023/161 cl. 2)</w:t>
            </w:r>
          </w:p>
        </w:tc>
      </w:tr>
      <w:tr>
        <w:tc>
          <w:tcPr>
            <w:tcW w:w="3118" w:type="dxa"/>
            <w:tcBorders>
              <w:top w:val="nil"/>
              <w:bottom w:val="single" w:sz="4" w:space="0" w:color="auto"/>
            </w:tcBorders>
          </w:tcPr>
          <w:p>
            <w:pPr>
              <w:pStyle w:val="nTable"/>
              <w:spacing w:after="40"/>
              <w:rPr>
                <w:i/>
              </w:rPr>
            </w:pPr>
            <w:r>
              <w:rPr>
                <w:i/>
              </w:rPr>
              <w:t>Environmental Protection Amendment Regulations 2024</w:t>
            </w:r>
          </w:p>
        </w:tc>
        <w:tc>
          <w:tcPr>
            <w:tcW w:w="1276" w:type="dxa"/>
            <w:tcBorders>
              <w:top w:val="nil"/>
              <w:bottom w:val="single" w:sz="4" w:space="0" w:color="auto"/>
            </w:tcBorders>
          </w:tcPr>
          <w:p>
            <w:pPr>
              <w:pStyle w:val="nTable"/>
              <w:spacing w:after="40"/>
            </w:pPr>
            <w:r>
              <w:t>SL 2024/4 24 Jan 2024</w:t>
            </w:r>
          </w:p>
        </w:tc>
        <w:tc>
          <w:tcPr>
            <w:tcW w:w="2693" w:type="dxa"/>
            <w:tcBorders>
              <w:top w:val="nil"/>
              <w:bottom w:val="single" w:sz="4" w:space="0" w:color="auto"/>
            </w:tcBorders>
          </w:tcPr>
          <w:p>
            <w:pPr>
              <w:pStyle w:val="nTable"/>
              <w:spacing w:after="40"/>
            </w:pPr>
            <w:r>
              <w:t>r. 1 and 2: 24 Jan 2024 (see r. 2(a));</w:t>
            </w:r>
            <w:r>
              <w:br/>
              <w:t>Regulations other than r. 1 and 2: 25 Jan 2024 (see r. 2(b))</w:t>
            </w:r>
          </w:p>
        </w:tc>
      </w:tr>
    </w:tbl>
    <w:p>
      <w:pPr>
        <w:pStyle w:val="nHeading3"/>
      </w:pPr>
      <w:bookmarkStart w:id="264" w:name="_Toc156559795"/>
      <w:r>
        <w:t>Other notes</w:t>
      </w:r>
      <w:bookmarkEnd w:id="264"/>
    </w:p>
    <w:p>
      <w:pPr>
        <w:pStyle w:val="nNote"/>
        <w:spacing w:before="160"/>
        <w:rPr>
          <w:snapToGrid w:val="0"/>
        </w:rPr>
      </w:pPr>
      <w:r>
        <w:rPr>
          <w:snapToGrid w:val="0"/>
          <w:vertAlign w:val="superscript"/>
        </w:rPr>
        <w:t>1</w:t>
      </w:r>
      <w:r>
        <w:rPr>
          <w:snapToGrid w:val="0"/>
        </w:rPr>
        <w:tab/>
        <w:t xml:space="preserve">Published by </w:t>
      </w:r>
      <w:r>
        <w:rPr>
          <w:i/>
          <w:snapToGrid w:val="0"/>
        </w:rPr>
        <w:t>Gazette</w:t>
      </w:r>
      <w:r>
        <w:rPr>
          <w:snapToGrid w:val="0"/>
        </w:rPr>
        <w:t xml:space="preserve"> 18 December 1992 p. 6099.</w:t>
      </w:r>
    </w:p>
    <w:p>
      <w:pPr>
        <w:pStyle w:val="nNote"/>
        <w:rPr>
          <w:snapToGrid w:val="0"/>
        </w:rPr>
      </w:pPr>
      <w:r>
        <w:rPr>
          <w:snapToGrid w:val="0"/>
          <w:vertAlign w:val="superscript"/>
        </w:rPr>
        <w:t>2</w:t>
      </w:r>
      <w:r>
        <w:rPr>
          <w:snapToGrid w:val="0"/>
        </w:rPr>
        <w:tab/>
        <w:t xml:space="preserve">Under the </w:t>
      </w:r>
      <w:r>
        <w:rPr>
          <w:i/>
          <w:iCs/>
          <w:snapToGrid w:val="0"/>
        </w:rPr>
        <w:t>Alteration of Statutory Designations Order 2017</w:t>
      </w:r>
      <w:r>
        <w:rPr>
          <w:snapToGrid w:val="0"/>
        </w:rPr>
        <w:t xml:space="preserve"> a reference in a written law to the Department of Environmental Protection or Department of Environment is, unless the context requires otherwise, to be read and construed as a reference to the Department of Water and Environmental Regulation.</w:t>
      </w:r>
    </w:p>
    <w:p>
      <w:pPr>
        <w:pStyle w:val="nNote"/>
        <w:rPr>
          <w:snapToGrid w:val="0"/>
        </w:rPr>
      </w:pPr>
      <w:r>
        <w:rPr>
          <w:snapToGrid w:val="0"/>
          <w:vertAlign w:val="superscript"/>
        </w:rPr>
        <w:t>3</w:t>
      </w:r>
      <w:r>
        <w:rPr>
          <w:snapToGrid w:val="0"/>
        </w:rPr>
        <w:tab/>
        <w:t xml:space="preserve">Proclaimed 1 July 1998 by </w:t>
      </w:r>
      <w:r>
        <w:rPr>
          <w:i/>
          <w:snapToGrid w:val="0"/>
        </w:rPr>
        <w:t xml:space="preserve">Gazette </w:t>
      </w:r>
      <w:r>
        <w:rPr>
          <w:snapToGrid w:val="0"/>
        </w:rPr>
        <w:t>26 June 1998 p. 3369.</w:t>
      </w:r>
    </w:p>
    <w:p>
      <w:pPr>
        <w:pStyle w:val="nNote"/>
        <w:rPr>
          <w:snapToGrid w:val="0"/>
        </w:rPr>
      </w:pPr>
      <w:r>
        <w:rPr>
          <w:snapToGrid w:val="0"/>
          <w:vertAlign w:val="superscript"/>
        </w:rPr>
        <w:t>4</w:t>
      </w:r>
      <w:r>
        <w:rPr>
          <w:snapToGrid w:val="0"/>
        </w:rPr>
        <w:tab/>
      </w:r>
      <w:r>
        <w:rPr>
          <w:color w:val="000000"/>
        </w:rPr>
        <w:t>At the time of this compilation section 110H of the Act provides for the establishment of an account called the Waste Management and Recycling Account.</w:t>
      </w:r>
    </w:p>
    <w:p>
      <w:pPr>
        <w:pStyle w:val="nNote"/>
        <w:rPr>
          <w:snapToGrid w:val="0"/>
        </w:rPr>
      </w:pPr>
      <w:r>
        <w:rPr>
          <w:snapToGrid w:val="0"/>
          <w:vertAlign w:val="superscript"/>
        </w:rPr>
        <w:t>5</w:t>
      </w:r>
      <w:r>
        <w:rPr>
          <w:snapToGrid w:val="0"/>
        </w:rPr>
        <w:tab/>
        <w:t xml:space="preserve">Expired </w:t>
      </w:r>
      <w:r>
        <w:rPr>
          <w:spacing w:val="-2"/>
        </w:rPr>
        <w:t>30 June 2012</w:t>
      </w:r>
      <w:r>
        <w:rPr>
          <w:snapToGrid w:val="0"/>
        </w:rPr>
        <w:t>.</w:t>
      </w:r>
    </w:p>
    <w:p>
      <w:pPr>
        <w:pStyle w:val="nNote"/>
        <w:rPr>
          <w:snapToGrid w:val="0"/>
        </w:rPr>
      </w:pPr>
      <w:r>
        <w:rPr>
          <w:snapToGrid w:val="0"/>
          <w:vertAlign w:val="superscript"/>
        </w:rPr>
        <w:t>6</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Note"/>
      </w:pPr>
      <w:r>
        <w:rPr>
          <w:vertAlign w:val="superscript"/>
        </w:rPr>
        <w:lastRenderedPageBreak/>
        <w:t>7</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by </w:t>
      </w:r>
      <w:r>
        <w:rPr>
          <w:i/>
        </w:rPr>
        <w:t xml:space="preserve">Gazette </w:t>
      </w:r>
      <w:r>
        <w:t>19 December 2000 p. 7284.</w:t>
      </w:r>
    </w:p>
    <w:p>
      <w:pPr>
        <w:pStyle w:val="nNote"/>
      </w:pPr>
      <w:r>
        <w:rPr>
          <w:vertAlign w:val="superscript"/>
        </w:rPr>
        <w:t>8</w:t>
      </w:r>
      <w:r>
        <w:rPr>
          <w:vertAlign w:val="superscript"/>
        </w:rPr>
        <w:tab/>
      </w:r>
      <w:r>
        <w:t xml:space="preserve">The </w:t>
      </w:r>
      <w:r>
        <w:rPr>
          <w:i/>
        </w:rPr>
        <w:t>Environmental Protection Regulations Amendment (Prohibited Plastics and Balloons) Regulations 2021</w:t>
      </w:r>
      <w:r>
        <w:t xml:space="preserve"> Pt. 3 Div. 2 (SL 2021/215) was deleted before it could come into operation (see the </w:t>
      </w:r>
      <w:r>
        <w:rPr>
          <w:i/>
        </w:rPr>
        <w:t>Environmental Protection Regulations Amendment (Prohibited Plastics and Balloons) Regulations 2022</w:t>
      </w:r>
      <w:r>
        <w:t xml:space="preserve"> r. 5 (SL 2022/64)).</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266" w:name="_Toc156559796"/>
      <w:r>
        <w:rPr>
          <w:sz w:val="28"/>
        </w:rPr>
        <w:lastRenderedPageBreak/>
        <w:t>Defined terms</w:t>
      </w:r>
      <w:bookmarkEnd w:id="2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site</w:t>
      </w:r>
      <w:r>
        <w:tab/>
        <w:t>3D(1)</w:t>
      </w:r>
    </w:p>
    <w:p>
      <w:pPr>
        <w:pStyle w:val="DefinedTerms"/>
      </w:pPr>
      <w:r>
        <w:t>actual discharge</w:t>
      </w:r>
      <w:r>
        <w:tab/>
        <w:t>5H(2)</w:t>
      </w:r>
    </w:p>
    <w:p>
      <w:pPr>
        <w:pStyle w:val="DefinedTerms"/>
      </w:pPr>
      <w:r>
        <w:t>aggregation point</w:t>
      </w:r>
      <w:r>
        <w:tab/>
        <w:t>Sch. 1</w:t>
      </w:r>
    </w:p>
    <w:p>
      <w:pPr>
        <w:pStyle w:val="DefinedTerms"/>
      </w:pPr>
      <w:r>
        <w:t>approved</w:t>
      </w:r>
      <w:r>
        <w:tab/>
        <w:t>21(1)</w:t>
      </w:r>
    </w:p>
    <w:p>
      <w:pPr>
        <w:pStyle w:val="DefinedTerms"/>
      </w:pPr>
      <w:r>
        <w:t>approved monitoring equipment</w:t>
      </w:r>
      <w:r>
        <w:tab/>
        <w:t>17</w:t>
      </w:r>
    </w:p>
    <w:p>
      <w:pPr>
        <w:pStyle w:val="DefinedTerms"/>
      </w:pPr>
      <w:r>
        <w:t>approved redevelopment scheme</w:t>
      </w:r>
      <w:r>
        <w:tab/>
        <w:t>33A</w:t>
      </w:r>
    </w:p>
    <w:p>
      <w:pPr>
        <w:pStyle w:val="DefinedTerms"/>
      </w:pPr>
      <w:r>
        <w:t>approved site</w:t>
      </w:r>
      <w:r>
        <w:tab/>
        <w:t>11(1)</w:t>
      </w:r>
    </w:p>
    <w:p>
      <w:pPr>
        <w:pStyle w:val="DefinedTerms"/>
      </w:pPr>
      <w:r>
        <w:t>baseline report</w:t>
      </w:r>
      <w:r>
        <w:tab/>
        <w:t>26(1)</w:t>
      </w:r>
    </w:p>
    <w:p>
      <w:pPr>
        <w:pStyle w:val="DefinedTerms"/>
      </w:pPr>
      <w:r>
        <w:t>baseline survey</w:t>
      </w:r>
      <w:r>
        <w:tab/>
        <w:t>26(1)</w:t>
      </w:r>
    </w:p>
    <w:p>
      <w:pPr>
        <w:pStyle w:val="DefinedTerms"/>
      </w:pPr>
      <w:r>
        <w:t>best practice criteria</w:t>
      </w:r>
      <w:r>
        <w:tab/>
        <w:t>4(1)</w:t>
      </w:r>
    </w:p>
    <w:p>
      <w:pPr>
        <w:pStyle w:val="DefinedTerms"/>
      </w:pPr>
      <w:r>
        <w:t>building envelope</w:t>
      </w:r>
      <w:r>
        <w:tab/>
        <w:t>33C(1)</w:t>
      </w:r>
    </w:p>
    <w:p>
      <w:pPr>
        <w:pStyle w:val="DefinedTerms"/>
      </w:pPr>
      <w:r>
        <w:t>category</w:t>
      </w:r>
      <w:r>
        <w:tab/>
        <w:t>4(1)</w:t>
      </w:r>
    </w:p>
    <w:p>
      <w:pPr>
        <w:pStyle w:val="DefinedTerms"/>
      </w:pPr>
      <w:r>
        <w:t>clean fill premises</w:t>
      </w:r>
      <w:r>
        <w:tab/>
        <w:t>2AA</w:t>
      </w:r>
    </w:p>
    <w:p>
      <w:pPr>
        <w:pStyle w:val="DefinedTerms"/>
      </w:pPr>
      <w:r>
        <w:t>commencement day</w:t>
      </w:r>
      <w:r>
        <w:tab/>
        <w:t>21(1)</w:t>
      </w:r>
    </w:p>
    <w:p>
      <w:pPr>
        <w:pStyle w:val="DefinedTerms"/>
      </w:pPr>
      <w:r>
        <w:t>confidential material</w:t>
      </w:r>
      <w:r>
        <w:tab/>
        <w:t>3B(1)</w:t>
      </w:r>
    </w:p>
    <w:p>
      <w:pPr>
        <w:pStyle w:val="DefinedTerms"/>
      </w:pPr>
      <w:r>
        <w:t>cultural place</w:t>
      </w:r>
      <w:r>
        <w:tab/>
        <w:t>33C(1)</w:t>
      </w:r>
    </w:p>
    <w:p>
      <w:pPr>
        <w:pStyle w:val="DefinedTerms"/>
      </w:pPr>
      <w:r>
        <w:t>department</w:t>
      </w:r>
      <w:r>
        <w:tab/>
        <w:t>3D(1)</w:t>
      </w:r>
    </w:p>
    <w:p>
      <w:pPr>
        <w:pStyle w:val="DefinedTerms"/>
      </w:pPr>
      <w:r>
        <w:t>design requirement</w:t>
      </w:r>
      <w:r>
        <w:tab/>
        <w:t>33C(1)</w:t>
      </w:r>
    </w:p>
    <w:p>
      <w:pPr>
        <w:pStyle w:val="DefinedTerms"/>
      </w:pPr>
      <w:r>
        <w:t>development requirement</w:t>
      </w:r>
      <w:r>
        <w:tab/>
        <w:t>33C(1)</w:t>
      </w:r>
    </w:p>
    <w:p>
      <w:pPr>
        <w:pStyle w:val="DefinedTerms"/>
      </w:pPr>
      <w:r>
        <w:t>development site</w:t>
      </w:r>
      <w:r>
        <w:tab/>
        <w:t>16A</w:t>
      </w:r>
    </w:p>
    <w:p>
      <w:pPr>
        <w:pStyle w:val="DefinedTerms"/>
      </w:pPr>
      <w:r>
        <w:t>development work</w:t>
      </w:r>
      <w:r>
        <w:tab/>
        <w:t>16A</w:t>
      </w:r>
    </w:p>
    <w:p>
      <w:pPr>
        <w:pStyle w:val="DefinedTerms"/>
      </w:pPr>
      <w:r>
        <w:t>documentation</w:t>
      </w:r>
      <w:r>
        <w:tab/>
        <w:t>3A</w:t>
      </w:r>
    </w:p>
    <w:p>
      <w:pPr>
        <w:pStyle w:val="DefinedTerms"/>
      </w:pPr>
      <w:r>
        <w:t>enclosed water body</w:t>
      </w:r>
      <w:r>
        <w:tab/>
        <w:t>16(4)</w:t>
      </w:r>
    </w:p>
    <w:p>
      <w:pPr>
        <w:pStyle w:val="DefinedTerms"/>
      </w:pPr>
      <w:r>
        <w:t>exemption period</w:t>
      </w:r>
      <w:r>
        <w:tab/>
        <w:t>21(1)</w:t>
      </w:r>
    </w:p>
    <w:p>
      <w:pPr>
        <w:pStyle w:val="DefinedTerms"/>
      </w:pPr>
      <w:r>
        <w:t>exempt matter</w:t>
      </w:r>
      <w:r>
        <w:tab/>
        <w:t>2B(1)</w:t>
      </w:r>
    </w:p>
    <w:p>
      <w:pPr>
        <w:pStyle w:val="DefinedTerms"/>
      </w:pPr>
      <w:r>
        <w:t>existing landfill</w:t>
      </w:r>
      <w:r>
        <w:tab/>
        <w:t>26(8)</w:t>
      </w:r>
    </w:p>
    <w:p>
      <w:pPr>
        <w:pStyle w:val="DefinedTerms"/>
      </w:pPr>
      <w:r>
        <w:t>existing licensee</w:t>
      </w:r>
      <w:r>
        <w:tab/>
        <w:t>21(1)</w:t>
      </w:r>
    </w:p>
    <w:p>
      <w:pPr>
        <w:pStyle w:val="DefinedTerms"/>
      </w:pPr>
      <w:r>
        <w:t>existing petroleum authority area</w:t>
      </w:r>
      <w:r>
        <w:tab/>
        <w:t>2C(1)</w:t>
      </w:r>
    </w:p>
    <w:p>
      <w:pPr>
        <w:pStyle w:val="DefinedTerms"/>
      </w:pPr>
      <w:r>
        <w:t>Fund</w:t>
      </w:r>
      <w:r>
        <w:tab/>
        <w:t>21(1)</w:t>
      </w:r>
    </w:p>
    <w:p>
      <w:pPr>
        <w:pStyle w:val="DefinedTerms"/>
      </w:pPr>
      <w:r>
        <w:t>head office</w:t>
      </w:r>
      <w:r>
        <w:tab/>
        <w:t>2AA</w:t>
      </w:r>
    </w:p>
    <w:p>
      <w:pPr>
        <w:pStyle w:val="DefinedTerms"/>
      </w:pPr>
      <w:r>
        <w:t>hydraulic fracturing</w:t>
      </w:r>
      <w:r>
        <w:tab/>
        <w:t>2C(1)</w:t>
      </w:r>
    </w:p>
    <w:p>
      <w:pPr>
        <w:pStyle w:val="DefinedTerms"/>
      </w:pPr>
      <w:r>
        <w:t>Landfill Waste Classification and Waste Definitions 1996</w:t>
      </w:r>
      <w:r>
        <w:tab/>
        <w:t>2AA</w:t>
      </w:r>
    </w:p>
    <w:p>
      <w:pPr>
        <w:pStyle w:val="DefinedTerms"/>
      </w:pPr>
      <w:r>
        <w:t>land use category</w:t>
      </w:r>
      <w:r>
        <w:tab/>
        <w:t>33C(1)</w:t>
      </w:r>
    </w:p>
    <w:p>
      <w:pPr>
        <w:pStyle w:val="DefinedTerms"/>
      </w:pPr>
      <w:r>
        <w:t>length</w:t>
      </w:r>
      <w:r>
        <w:tab/>
        <w:t>16(4)</w:t>
      </w:r>
    </w:p>
    <w:p>
      <w:pPr>
        <w:pStyle w:val="DefinedTerms"/>
      </w:pPr>
      <w:r>
        <w:t>levy</w:t>
      </w:r>
      <w:r>
        <w:tab/>
        <w:t>21(1)</w:t>
      </w:r>
    </w:p>
    <w:p>
      <w:pPr>
        <w:pStyle w:val="DefinedTerms"/>
      </w:pPr>
      <w:r>
        <w:t>licence</w:t>
      </w:r>
      <w:r>
        <w:tab/>
        <w:t>4(1)</w:t>
      </w:r>
    </w:p>
    <w:p>
      <w:pPr>
        <w:pStyle w:val="DefinedTerms"/>
      </w:pPr>
      <w:r>
        <w:t>licence period</w:t>
      </w:r>
      <w:r>
        <w:tab/>
        <w:t>4(1)</w:t>
      </w:r>
    </w:p>
    <w:p>
      <w:pPr>
        <w:pStyle w:val="DefinedTerms"/>
      </w:pPr>
      <w:r>
        <w:t>licensed landfill</w:t>
      </w:r>
      <w:r>
        <w:tab/>
        <w:t>21(1)</w:t>
      </w:r>
    </w:p>
    <w:p>
      <w:pPr>
        <w:pStyle w:val="DefinedTerms"/>
      </w:pPr>
      <w:r>
        <w:t>licensed premises</w:t>
      </w:r>
      <w:r>
        <w:tab/>
        <w:t>11(1)</w:t>
      </w:r>
    </w:p>
    <w:p>
      <w:pPr>
        <w:pStyle w:val="DefinedTerms"/>
      </w:pPr>
      <w:r>
        <w:lastRenderedPageBreak/>
        <w:t>licensee</w:t>
      </w:r>
      <w:r>
        <w:tab/>
        <w:t>21(1), 24(1), 27(1)</w:t>
      </w:r>
    </w:p>
    <w:p>
      <w:pPr>
        <w:pStyle w:val="DefinedTerms"/>
      </w:pPr>
      <w:r>
        <w:t>lot</w:t>
      </w:r>
      <w:r>
        <w:tab/>
        <w:t>16A</w:t>
      </w:r>
    </w:p>
    <w:p>
      <w:pPr>
        <w:pStyle w:val="DefinedTerms"/>
      </w:pPr>
      <w:r>
        <w:t>mercury</w:t>
      </w:r>
      <w:r>
        <w:tab/>
        <w:t>5P</w:t>
      </w:r>
    </w:p>
    <w:p>
      <w:pPr>
        <w:pStyle w:val="DefinedTerms"/>
      </w:pPr>
      <w:r>
        <w:t>mercury-added product</w:t>
      </w:r>
      <w:r>
        <w:tab/>
        <w:t>5P</w:t>
      </w:r>
    </w:p>
    <w:p>
      <w:pPr>
        <w:pStyle w:val="DefinedTerms"/>
      </w:pPr>
      <w:r>
        <w:t>mercury compound</w:t>
      </w:r>
      <w:r>
        <w:tab/>
        <w:t>5P</w:t>
      </w:r>
    </w:p>
    <w:p>
      <w:pPr>
        <w:pStyle w:val="DefinedTerms"/>
      </w:pPr>
      <w:r>
        <w:t>metropolitan region</w:t>
      </w:r>
      <w:r>
        <w:tab/>
        <w:t>21(1)</w:t>
      </w:r>
    </w:p>
    <w:p>
      <w:pPr>
        <w:pStyle w:val="DefinedTerms"/>
      </w:pPr>
      <w:r>
        <w:t>minute</w:t>
      </w:r>
      <w:r>
        <w:tab/>
        <w:t>2B(1)</w:t>
      </w:r>
    </w:p>
    <w:p>
      <w:pPr>
        <w:pStyle w:val="DefinedTerms"/>
      </w:pPr>
      <w:r>
        <w:t>native species</w:t>
      </w:r>
      <w:r>
        <w:tab/>
        <w:t>3D(1)</w:t>
      </w:r>
    </w:p>
    <w:p>
      <w:pPr>
        <w:pStyle w:val="DefinedTerms"/>
      </w:pPr>
      <w:r>
        <w:t>native vegetation</w:t>
      </w:r>
      <w:r>
        <w:tab/>
        <w:t>33C(1)</w:t>
      </w:r>
    </w:p>
    <w:p>
      <w:pPr>
        <w:pStyle w:val="DefinedTerms"/>
      </w:pPr>
      <w:r>
        <w:t>organotin anti-fouling paint</w:t>
      </w:r>
      <w:r>
        <w:tab/>
        <w:t>16(4)</w:t>
      </w:r>
    </w:p>
    <w:p>
      <w:pPr>
        <w:pStyle w:val="DefinedTerms"/>
      </w:pPr>
      <w:r>
        <w:t>Part 2 waste</w:t>
      </w:r>
      <w:r>
        <w:tab/>
        <w:t>5D(6)</w:t>
      </w:r>
    </w:p>
    <w:p>
      <w:pPr>
        <w:pStyle w:val="DefinedTerms"/>
      </w:pPr>
      <w:r>
        <w:t>payer</w:t>
      </w:r>
      <w:r>
        <w:tab/>
        <w:t>5N</w:t>
      </w:r>
    </w:p>
    <w:p>
      <w:pPr>
        <w:pStyle w:val="DefinedTerms"/>
      </w:pPr>
      <w:r>
        <w:t>petroleum activity</w:t>
      </w:r>
      <w:r>
        <w:tab/>
        <w:t>2C(1)</w:t>
      </w:r>
    </w:p>
    <w:p>
      <w:pPr>
        <w:pStyle w:val="DefinedTerms"/>
      </w:pPr>
      <w:r>
        <w:t>PGER Environment Regulations</w:t>
      </w:r>
      <w:r>
        <w:tab/>
        <w:t>2C(1)</w:t>
      </w:r>
    </w:p>
    <w:p>
      <w:pPr>
        <w:pStyle w:val="DefinedTerms"/>
      </w:pPr>
      <w:r>
        <w:t>priority list</w:t>
      </w:r>
      <w:r>
        <w:tab/>
        <w:t>3D(1)</w:t>
      </w:r>
    </w:p>
    <w:p>
      <w:pPr>
        <w:pStyle w:val="DefinedTerms"/>
      </w:pPr>
      <w:r>
        <w:t>prohibited manufacturing process</w:t>
      </w:r>
      <w:r>
        <w:tab/>
        <w:t>5P</w:t>
      </w:r>
    </w:p>
    <w:p>
      <w:pPr>
        <w:pStyle w:val="DefinedTerms"/>
      </w:pPr>
      <w:r>
        <w:t>publish</w:t>
      </w:r>
      <w:r>
        <w:tab/>
        <w:t>3A</w:t>
      </w:r>
    </w:p>
    <w:p>
      <w:pPr>
        <w:pStyle w:val="DefinedTerms"/>
      </w:pPr>
      <w:r>
        <w:t>quarterly survey</w:t>
      </w:r>
      <w:r>
        <w:tab/>
        <w:t>26(4)</w:t>
      </w:r>
    </w:p>
    <w:p>
      <w:pPr>
        <w:pStyle w:val="DefinedTerms"/>
      </w:pPr>
      <w:r>
        <w:t>R-Codes</w:t>
      </w:r>
      <w:r>
        <w:tab/>
        <w:t>33C(1)</w:t>
      </w:r>
    </w:p>
    <w:p>
      <w:pPr>
        <w:pStyle w:val="DefinedTerms"/>
      </w:pPr>
      <w:r>
        <w:t>record</w:t>
      </w:r>
      <w:r>
        <w:tab/>
        <w:t>2B(1)</w:t>
      </w:r>
    </w:p>
    <w:p>
      <w:pPr>
        <w:pStyle w:val="DefinedTerms"/>
      </w:pPr>
      <w:r>
        <w:t>refund point</w:t>
      </w:r>
      <w:r>
        <w:tab/>
        <w:t>Sch. 1</w:t>
      </w:r>
    </w:p>
    <w:p>
      <w:pPr>
        <w:pStyle w:val="DefinedTerms"/>
      </w:pPr>
      <w:r>
        <w:t>regional road</w:t>
      </w:r>
      <w:r>
        <w:tab/>
        <w:t>33B(1)</w:t>
      </w:r>
    </w:p>
    <w:p>
      <w:pPr>
        <w:pStyle w:val="DefinedTerms"/>
      </w:pPr>
      <w:r>
        <w:t>relevant documentation</w:t>
      </w:r>
      <w:r>
        <w:tab/>
        <w:t>3B(2)</w:t>
      </w:r>
    </w:p>
    <w:p>
      <w:pPr>
        <w:pStyle w:val="DefinedTerms"/>
      </w:pPr>
      <w:r>
        <w:t>return period</w:t>
      </w:r>
      <w:r>
        <w:tab/>
        <w:t>21(1)</w:t>
      </w:r>
    </w:p>
    <w:p>
      <w:pPr>
        <w:pStyle w:val="DefinedTerms"/>
      </w:pPr>
      <w:r>
        <w:t>semi-enclosed water body</w:t>
      </w:r>
      <w:r>
        <w:tab/>
        <w:t>16(4)</w:t>
      </w:r>
    </w:p>
    <w:p>
      <w:pPr>
        <w:pStyle w:val="DefinedTerms"/>
      </w:pPr>
      <w:r>
        <w:t>species</w:t>
      </w:r>
      <w:r>
        <w:tab/>
        <w:t>3D(1)</w:t>
      </w:r>
    </w:p>
    <w:p>
      <w:pPr>
        <w:pStyle w:val="DefinedTerms"/>
      </w:pPr>
      <w:r>
        <w:t>specified</w:t>
      </w:r>
      <w:r>
        <w:tab/>
        <w:t>31(3)</w:t>
      </w:r>
    </w:p>
    <w:p>
      <w:pPr>
        <w:pStyle w:val="DefinedTerms"/>
      </w:pPr>
      <w:r>
        <w:t>specified monitoring programme</w:t>
      </w:r>
      <w:r>
        <w:tab/>
        <w:t>17</w:t>
      </w:r>
    </w:p>
    <w:p>
      <w:pPr>
        <w:pStyle w:val="DefinedTerms"/>
      </w:pPr>
      <w:r>
        <w:t>storage</w:t>
      </w:r>
      <w:r>
        <w:tab/>
        <w:t>11(1)</w:t>
      </w:r>
    </w:p>
    <w:p>
      <w:pPr>
        <w:pStyle w:val="DefinedTerms"/>
      </w:pPr>
      <w:r>
        <w:t>submit</w:t>
      </w:r>
      <w:r>
        <w:tab/>
        <w:t>3A</w:t>
      </w:r>
    </w:p>
    <w:p>
      <w:pPr>
        <w:pStyle w:val="DefinedTerms"/>
      </w:pPr>
      <w:r>
        <w:t>surveyor</w:t>
      </w:r>
      <w:r>
        <w:tab/>
        <w:t>26(8)</w:t>
      </w:r>
    </w:p>
    <w:p>
      <w:pPr>
        <w:pStyle w:val="DefinedTerms"/>
      </w:pPr>
      <w:r>
        <w:t>threatened species</w:t>
      </w:r>
      <w:r>
        <w:tab/>
        <w:t>3D(1)</w:t>
      </w:r>
    </w:p>
    <w:p>
      <w:pPr>
        <w:pStyle w:val="DefinedTerms"/>
      </w:pPr>
      <w:r>
        <w:t>tyre</w:t>
      </w:r>
      <w:r>
        <w:tab/>
        <w:t>11(1)</w:t>
      </w:r>
    </w:p>
    <w:p>
      <w:pPr>
        <w:pStyle w:val="DefinedTerms"/>
      </w:pPr>
      <w:r>
        <w:t>Tyre Landfill Exclusion Zone</w:t>
      </w:r>
      <w:r>
        <w:tab/>
        <w:t>11(1)</w:t>
      </w:r>
    </w:p>
    <w:p>
      <w:pPr>
        <w:pStyle w:val="DefinedTerms"/>
      </w:pPr>
      <w:r>
        <w:t>tyre retailer</w:t>
      </w:r>
      <w:r>
        <w:tab/>
        <w:t>11(1)</w:t>
      </w:r>
    </w:p>
    <w:p>
      <w:pPr>
        <w:pStyle w:val="DefinedTerms"/>
      </w:pPr>
      <w:r>
        <w:t>vessel</w:t>
      </w:r>
      <w:r>
        <w:tab/>
        <w:t>16(4)</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64705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ChShZj0CAAB4BAAADgAAAAAA&#10;AAAAAAAAAAAuAgAAZHJzL2Uyb0RvYy54bWxQSwECLQAUAAYACAAAACEAY38uG9wAAAAJAQAADwAA&#10;AAAAAAAAAAAAAACXBAAAZHJzL2Rvd25yZXYueG1sUEsFBgAAAAAEAAQA8wAAAKAFAAAAAA==&#10;" stroked="f" strokeweight=".5pt">
                <v:textbox>
                  <w:txbxContent>
                    <w:p w14:paraId="289DEBDD" w14:textId="2DAA2487" w:rsidR="00A03044" w:rsidRDefault="00C9753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75424">
                        <w:rPr>
                          <w:sz w:val="16"/>
                        </w:rPr>
                        <w:t>2024</w:t>
                      </w:r>
                      <w:r>
                        <w:rPr>
                          <w:sz w:val="16"/>
                        </w:rPr>
                        <w:fldChar w:fldCharType="end"/>
                      </w:r>
                      <w:r>
                        <w:rPr>
                          <w:sz w:val="16"/>
                        </w:rPr>
                        <w:t>.</w:t>
                      </w:r>
                    </w:p>
                    <w:p w14:paraId="4D6E50FB" w14:textId="77777777" w:rsidR="00A03044" w:rsidRDefault="00C9753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C2582E7" w14:textId="43528A3D" w:rsidR="00A03044" w:rsidRDefault="00C9753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75424">
                        <w:rPr>
                          <w:sz w:val="16"/>
                        </w:rPr>
                        <w:t>2024</w:t>
                      </w:r>
                      <w:r>
                        <w:rPr>
                          <w:sz w:val="16"/>
                        </w:rPr>
                        <w:fldChar w:fldCharType="end"/>
                      </w:r>
                      <w:r>
                        <w:rPr>
                          <w:sz w:val="16"/>
                        </w:rPr>
                        <w:t>.</w:t>
                      </w:r>
                    </w:p>
                    <w:p w14:paraId="661BA9F6" w14:textId="77777777" w:rsidR="00A03044" w:rsidRDefault="00C9753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12</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4</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"Part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5</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40" w:name="Schedule"/>
    <w:bookmarkEnd w:id="2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5" w:name="Compilation"/>
    <w:bookmarkEnd w:id="26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Regulations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67" w:name="DefinedTerms"/>
    <w:bookmarkEnd w:id="267"/>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8" w:name="Coversheet"/>
    <w:bookmarkEnd w:id="2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14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119091648"/>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 w:name="WAFER_20200706113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6113456_GUID" w:val="c78d7e34-6c93-43d4-9d26-89a51cae5acf"/>
    <w:docVar w:name="WAFER_20200813135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35314_GUID" w:val="85802e54-67b3-4b92-ba57-a8540b3069a1"/>
    <w:docVar w:name="WAFER_202009221131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13145_GUID" w:val="3307b14d-fb61-4e83-85f6-58fd19793fc1"/>
    <w:docVar w:name="WAFER_20211020090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0707_GUID" w:val="02b1432d-5213-482b-ac4c-3b1c1eff05c4"/>
    <w:docVar w:name="WAFER_20211116124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6124316_GUID" w:val="134406ac-06d1-4204-bb12-1be073712d21"/>
    <w:docVar w:name="WAFER_20211214161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61606_GUID" w:val="0e40f1b0-6047-4d22-b960-76f7d6d9d0ac"/>
    <w:docVar w:name="WAFER_202112211529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2930_GUID" w:val="8fba9737-05e9-462a-8c05-73da14591284"/>
    <w:docVar w:name="WAFER_20220531143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3121_GUID" w:val="c4d9c775-849e-4839-a391-fb57d56e8717"/>
    <w:docVar w:name="WAFER_202206231554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155430_GUID" w:val="b6068ba9-cc51-4321-898e-d7e001a3847a"/>
    <w:docVar w:name="WAFER_20230221143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40_GUID" w:val="2db0000b-e217-4653-a2a1-978462569acd"/>
    <w:docVar w:name="WAFER_2023051614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101_GUID" w:val="a3fc8326-ef17-47a4-b47d-44b17f0b8bba"/>
    <w:docVar w:name="WAFER_2023062711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18_GUID" w:val="295023e3-1c99-4dd2-98af-3395d75c1b3a"/>
    <w:docVar w:name="WAFER_20230831160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31160045_GUID" w:val="a5aaa240-fe12-4788-822e-03b059930e4d"/>
    <w:docVar w:name="WAFER_202310310840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84055_GUID" w:val="118ee575-0fe1-49c5-9196-c6a46833b84b"/>
    <w:docVar w:name="WAFER_20231110130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130303_GUID" w:val="c39c15ab-5695-49e7-baa6-a051cd9b0fcb"/>
    <w:docVar w:name="WAFER_20231228111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347_GUID" w:val="bd43ca42-e036-413c-abe4-2fcfc4dca7aa"/>
    <w:docVar w:name="WAFER_20231228111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401_GUID" w:val="0893a825-6092-43fc-8eb8-ece4434cd32b"/>
    <w:docVar w:name="WAFER_202401190916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19091607_GUID" w:val="8ea24124-862e-4e17-99d7-8936d3b34749"/>
    <w:docVar w:name="WAFER_20240119091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119091648_GUID" w:val="e6b982c0-f738-4ce1-be2e-da3fed8c36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1425"/>
    <o:shapelayout v:ext="edit">
      <o:idmap v:ext="edit" data="1"/>
    </o:shapelayout>
  </w:shapeDefaults>
  <w:decimalSymbol w:val="."/>
  <w:listSeparator w:val=","/>
  <w15:docId w15:val="{704E3FDC-57F1-407B-B261-6FC3C0F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 w:id="317534071">
      <w:bodyDiv w:val="1"/>
      <w:marLeft w:val="0"/>
      <w:marRight w:val="0"/>
      <w:marTop w:val="0"/>
      <w:marBottom w:val="0"/>
      <w:divBdr>
        <w:top w:val="none" w:sz="0" w:space="0" w:color="auto"/>
        <w:left w:val="none" w:sz="0" w:space="0" w:color="auto"/>
        <w:bottom w:val="none" w:sz="0" w:space="0" w:color="auto"/>
        <w:right w:val="none" w:sz="0" w:space="0" w:color="auto"/>
      </w:divBdr>
    </w:div>
    <w:div w:id="519512581">
      <w:bodyDiv w:val="1"/>
      <w:marLeft w:val="0"/>
      <w:marRight w:val="0"/>
      <w:marTop w:val="0"/>
      <w:marBottom w:val="0"/>
      <w:divBdr>
        <w:top w:val="none" w:sz="0" w:space="0" w:color="auto"/>
        <w:left w:val="none" w:sz="0" w:space="0" w:color="auto"/>
        <w:bottom w:val="none" w:sz="0" w:space="0" w:color="auto"/>
        <w:right w:val="none" w:sz="0" w:space="0" w:color="auto"/>
      </w:divBdr>
    </w:div>
    <w:div w:id="1518544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4.png"/><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41D94-2B64-4020-BE33-A8DD18CA7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30363</Words>
  <Characters>147567</Characters>
  <Application>Microsoft Office Word</Application>
  <DocSecurity>0</DocSecurity>
  <Lines>5902</Lines>
  <Paragraphs>3953</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173977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1987 - 08-aa0-00</dc:title>
  <dc:subject/>
  <dc:creator/>
  <cp:keywords/>
  <dc:description/>
  <cp:lastModifiedBy>Master Repository Process</cp:lastModifiedBy>
  <cp:revision>4</cp:revision>
  <cp:lastPrinted>2018-12-04T06:49:00Z</cp:lastPrinted>
  <dcterms:created xsi:type="dcterms:W3CDTF">2025-06-06T02:06:00Z</dcterms:created>
  <dcterms:modified xsi:type="dcterms:W3CDTF">2025-06-06T02:07:00Z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AsAtDate">
    <vt:lpwstr>25 Jan 2024</vt:lpwstr>
  </property>
  <property fmtid="{D5CDD505-2E9C-101B-9397-08002B2CF9AE}" pid="8" name="Suffix">
    <vt:lpwstr>08-aa0-00</vt:lpwstr>
  </property>
  <property fmtid="{D5CDD505-2E9C-101B-9397-08002B2CF9AE}" pid="9" name="Official">
    <vt:lpwstr/>
  </property>
  <property fmtid="{D5CDD505-2E9C-101B-9397-08002B2CF9AE}" pid="10" name="CommencementDate">
    <vt:lpwstr>20240125</vt:lpwstr>
  </property>
  <property fmtid="{D5CDD505-2E9C-101B-9397-08002B2CF9AE}" pid="11" name="CommencementAsAt">
    <vt:filetime>2024-01-24T16:00:00Z</vt:filetime>
  </property>
  <property fmtid="{D5CDD505-2E9C-101B-9397-08002B2CF9AE}" pid="12" name="CommencementYear">
    <vt:lpwstr>2024</vt:lpwstr>
  </property>
</Properties>
</file>