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Weights and Measures Regulations 1927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Weights and Measures Regulations 1927</w:t>
      </w:r>
      <w:r>
        <w:fldChar w:fldCharType="end"/>
      </w:r>
    </w:p>
    <w:p>
      <w:pPr>
        <w:pStyle w:val="Arrangement"/>
      </w:pPr>
      <w:r>
        <w:t>CONTENTS</w:t>
      </w:r>
    </w:p>
    <w:p>
      <w:pPr>
        <w:pStyle w:val="TOC2"/>
        <w:tabs>
          <w:tab w:val="right" w:leader="dot" w:pos="7078"/>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I</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_Toc390077027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_Toc390077028 \h </w:instrText>
      </w:r>
      <w:r>
        <w:fldChar w:fldCharType="separate"/>
      </w:r>
      <w:r>
        <w:t>1</w:t>
      </w:r>
      <w:r>
        <w:fldChar w:fldCharType="end"/>
      </w:r>
    </w:p>
    <w:p>
      <w:pPr>
        <w:pStyle w:val="TOC2"/>
        <w:tabs>
          <w:tab w:val="right" w:leader="dot" w:pos="7078"/>
        </w:tabs>
        <w:rPr>
          <w:rFonts w:asciiTheme="minorHAnsi" w:eastAsiaTheme="minorEastAsia" w:hAnsiTheme="minorHAnsi" w:cstheme="minorBidi"/>
          <w:b w:val="0"/>
          <w:sz w:val="22"/>
          <w:szCs w:val="22"/>
        </w:rPr>
      </w:pPr>
      <w:r>
        <w:t>Part II</w:t>
      </w:r>
    </w:p>
    <w:p>
      <w:pPr>
        <w:pStyle w:val="TOC8"/>
        <w:rPr>
          <w:rFonts w:asciiTheme="minorHAnsi" w:eastAsiaTheme="minorEastAsia" w:hAnsiTheme="minorHAnsi" w:cstheme="minorBidi"/>
          <w:szCs w:val="22"/>
        </w:rPr>
      </w:pPr>
      <w:r>
        <w:t>1</w:t>
      </w:r>
      <w:r>
        <w:rPr>
          <w:snapToGrid w:val="0"/>
        </w:rPr>
        <w:t>.</w:t>
      </w:r>
      <w:r>
        <w:rPr>
          <w:snapToGrid w:val="0"/>
        </w:rPr>
        <w:tab/>
        <w:t>Departmental Standards</w:t>
      </w:r>
      <w:r>
        <w:tab/>
      </w:r>
      <w:r>
        <w:fldChar w:fldCharType="begin"/>
      </w:r>
      <w:r>
        <w:instrText xml:space="preserve"> PAGEREF _Toc390077030 \h </w:instrText>
      </w:r>
      <w:r>
        <w:fldChar w:fldCharType="separate"/>
      </w:r>
      <w:r>
        <w:t>4</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Tolerance</w:t>
      </w:r>
      <w:r>
        <w:tab/>
      </w:r>
      <w:r>
        <w:fldChar w:fldCharType="begin"/>
      </w:r>
      <w:r>
        <w:instrText xml:space="preserve"> PAGEREF _Toc390077031 \h </w:instrText>
      </w:r>
      <w:r>
        <w:fldChar w:fldCharType="separate"/>
      </w:r>
      <w:r>
        <w:t>4</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Local Standards</w:t>
      </w:r>
      <w:r>
        <w:tab/>
      </w:r>
      <w:r>
        <w:fldChar w:fldCharType="begin"/>
      </w:r>
      <w:r>
        <w:instrText xml:space="preserve"> PAGEREF _Toc390077032 \h </w:instrText>
      </w:r>
      <w:r>
        <w:fldChar w:fldCharType="separate"/>
      </w:r>
      <w:r>
        <w:t>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Tolerance</w:t>
      </w:r>
      <w:r>
        <w:tab/>
      </w:r>
      <w:r>
        <w:fldChar w:fldCharType="begin"/>
      </w:r>
      <w:r>
        <w:instrText xml:space="preserve"> PAGEREF _Toc390077033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Inspectors</w:t>
      </w:r>
      <w:r>
        <w:tab/>
      </w:r>
      <w:r>
        <w:fldChar w:fldCharType="begin"/>
      </w:r>
      <w:r>
        <w:instrText xml:space="preserve"> PAGEREF _Toc390077034 \h </w:instrText>
      </w:r>
      <w:r>
        <w:fldChar w:fldCharType="separate"/>
      </w:r>
      <w:r>
        <w:t>4</w:t>
      </w:r>
      <w:r>
        <w:fldChar w:fldCharType="end"/>
      </w:r>
    </w:p>
    <w:p>
      <w:pPr>
        <w:pStyle w:val="TOC2"/>
        <w:tabs>
          <w:tab w:val="right" w:leader="dot" w:pos="7078"/>
        </w:tabs>
        <w:rPr>
          <w:rFonts w:asciiTheme="minorHAnsi" w:eastAsiaTheme="minorEastAsia" w:hAnsiTheme="minorHAnsi" w:cstheme="minorBidi"/>
          <w:b w:val="0"/>
          <w:sz w:val="22"/>
          <w:szCs w:val="22"/>
        </w:rPr>
      </w:pPr>
      <w:r>
        <w:t>Part III</w:t>
      </w:r>
    </w:p>
    <w:p>
      <w:pPr>
        <w:pStyle w:val="TOC8"/>
        <w:rPr>
          <w:rFonts w:asciiTheme="minorHAnsi" w:eastAsiaTheme="minorEastAsia" w:hAnsiTheme="minorHAnsi" w:cstheme="minorBidi"/>
          <w:szCs w:val="22"/>
        </w:rPr>
      </w:pPr>
      <w:r>
        <w:t>1</w:t>
      </w:r>
      <w:r>
        <w:rPr>
          <w:snapToGrid w:val="0"/>
        </w:rPr>
        <w:t>.</w:t>
      </w:r>
      <w:r>
        <w:rPr>
          <w:snapToGrid w:val="0"/>
        </w:rPr>
        <w:tab/>
        <w:t>Power of Inspectors</w:t>
      </w:r>
      <w:r>
        <w:tab/>
      </w:r>
      <w:r>
        <w:fldChar w:fldCharType="begin"/>
      </w:r>
      <w:r>
        <w:instrText xml:space="preserve"> PAGEREF _Toc390077036 \h </w:instrText>
      </w:r>
      <w:r>
        <w:fldChar w:fldCharType="separate"/>
      </w:r>
      <w:r>
        <w:t>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Inspector may issue notice to re</w:t>
      </w:r>
      <w:r>
        <w:rPr>
          <w:snapToGrid w:val="0"/>
        </w:rPr>
        <w:noBreakHyphen/>
        <w:t>stamp or remove</w:t>
      </w:r>
      <w:r>
        <w:tab/>
      </w:r>
      <w:r>
        <w:fldChar w:fldCharType="begin"/>
      </w:r>
      <w:r>
        <w:instrText xml:space="preserve"> PAGEREF _Toc390077037 \h </w:instrText>
      </w:r>
      <w:r>
        <w:fldChar w:fldCharType="separate"/>
      </w:r>
      <w:r>
        <w:t>7</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When re</w:t>
      </w:r>
      <w:r>
        <w:rPr>
          <w:snapToGrid w:val="0"/>
        </w:rPr>
        <w:noBreakHyphen/>
        <w:t>balancing required</w:t>
      </w:r>
      <w:r>
        <w:tab/>
      </w:r>
      <w:r>
        <w:fldChar w:fldCharType="begin"/>
      </w:r>
      <w:r>
        <w:instrText xml:space="preserve"> PAGEREF _Toc390077038 \h </w:instrText>
      </w:r>
      <w:r>
        <w:fldChar w:fldCharType="separate"/>
      </w:r>
      <w:r>
        <w:t>8</w:t>
      </w:r>
      <w:r>
        <w:fldChar w:fldCharType="end"/>
      </w:r>
    </w:p>
    <w:p>
      <w:pPr>
        <w:pStyle w:val="TOC2"/>
        <w:tabs>
          <w:tab w:val="right" w:leader="dot" w:pos="7078"/>
        </w:tabs>
        <w:rPr>
          <w:rFonts w:asciiTheme="minorHAnsi" w:eastAsiaTheme="minorEastAsia" w:hAnsiTheme="minorHAnsi" w:cstheme="minorBidi"/>
          <w:b w:val="0"/>
          <w:sz w:val="22"/>
          <w:szCs w:val="22"/>
        </w:rPr>
      </w:pPr>
      <w:r>
        <w:t>Part IV</w:t>
      </w:r>
    </w:p>
    <w:p>
      <w:pPr>
        <w:pStyle w:val="TOC8"/>
        <w:rPr>
          <w:rFonts w:asciiTheme="minorHAnsi" w:eastAsiaTheme="minorEastAsia" w:hAnsiTheme="minorHAnsi" w:cstheme="minorBidi"/>
          <w:szCs w:val="22"/>
        </w:rPr>
      </w:pPr>
      <w:r>
        <w:t>1</w:t>
      </w:r>
      <w:r>
        <w:rPr>
          <w:snapToGrid w:val="0"/>
        </w:rPr>
        <w:t>.</w:t>
      </w:r>
      <w:r>
        <w:rPr>
          <w:snapToGrid w:val="0"/>
        </w:rPr>
        <w:tab/>
        <w:t>Inspector may verify weight, measure or instrument</w:t>
      </w:r>
      <w:r>
        <w:tab/>
      </w:r>
      <w:r>
        <w:fldChar w:fldCharType="begin"/>
      </w:r>
      <w:r>
        <w:instrText xml:space="preserve"> PAGEREF _Toc390077040 \h </w:instrText>
      </w:r>
      <w:r>
        <w:fldChar w:fldCharType="separate"/>
      </w:r>
      <w:r>
        <w:t>9</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Requirements for verification</w:t>
      </w:r>
      <w:r>
        <w:tab/>
      </w:r>
      <w:r>
        <w:fldChar w:fldCharType="begin"/>
      </w:r>
      <w:r>
        <w:instrText xml:space="preserve"> PAGEREF _Toc390077041 \h </w:instrText>
      </w:r>
      <w:r>
        <w:fldChar w:fldCharType="separate"/>
      </w:r>
      <w:r>
        <w:t>9</w:t>
      </w:r>
      <w:r>
        <w:fldChar w:fldCharType="end"/>
      </w:r>
    </w:p>
    <w:p>
      <w:pPr>
        <w:pStyle w:val="TOC8"/>
        <w:rPr>
          <w:rFonts w:asciiTheme="minorHAnsi" w:eastAsiaTheme="minorEastAsia" w:hAnsiTheme="minorHAnsi" w:cstheme="minorBidi"/>
          <w:szCs w:val="22"/>
        </w:rPr>
      </w:pPr>
      <w:r>
        <w:t>2A</w:t>
      </w:r>
      <w:r>
        <w:rPr>
          <w:snapToGrid w:val="0"/>
        </w:rPr>
        <w:t>.</w:t>
      </w:r>
      <w:r>
        <w:rPr>
          <w:snapToGrid w:val="0"/>
        </w:rPr>
        <w:tab/>
        <w:t>Consent required for certain verifications</w:t>
      </w:r>
      <w:r>
        <w:tab/>
      </w:r>
      <w:r>
        <w:fldChar w:fldCharType="begin"/>
      </w:r>
      <w:r>
        <w:instrText xml:space="preserve"> PAGEREF _Toc390077042 \h </w:instrText>
      </w:r>
      <w:r>
        <w:fldChar w:fldCharType="separate"/>
      </w:r>
      <w:r>
        <w:t>11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Inspector may obliterate stamp on rejected weight etc.</w:t>
      </w:r>
      <w:r>
        <w:tab/>
      </w:r>
      <w:r>
        <w:fldChar w:fldCharType="begin"/>
      </w:r>
      <w:r>
        <w:instrText xml:space="preserve"> PAGEREF _Toc390077043 \h </w:instrText>
      </w:r>
      <w:r>
        <w:fldChar w:fldCharType="separate"/>
      </w:r>
      <w:r>
        <w:t>11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Approval of instrument etc. with novel features</w:t>
      </w:r>
      <w:r>
        <w:tab/>
      </w:r>
      <w:r>
        <w:fldChar w:fldCharType="begin"/>
      </w:r>
      <w:r>
        <w:instrText xml:space="preserve"> PAGEREF _Toc390077044 \h </w:instrText>
      </w:r>
      <w:r>
        <w:fldChar w:fldCharType="separate"/>
      </w:r>
      <w:r>
        <w:t>11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Approval and certificate of Chief Inspector</w:t>
      </w:r>
      <w:r>
        <w:tab/>
      </w:r>
      <w:r>
        <w:fldChar w:fldCharType="begin"/>
      </w:r>
      <w:r>
        <w:instrText xml:space="preserve"> PAGEREF _Toc390077045 \h </w:instrText>
      </w:r>
      <w:r>
        <w:fldChar w:fldCharType="separate"/>
      </w:r>
      <w:r>
        <w:t>11</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Certificate may be conditional</w:t>
      </w:r>
      <w:r>
        <w:tab/>
      </w:r>
      <w:r>
        <w:fldChar w:fldCharType="begin"/>
      </w:r>
      <w:r>
        <w:instrText xml:space="preserve"> PAGEREF _Toc390077046 \h </w:instrText>
      </w:r>
      <w:r>
        <w:fldChar w:fldCharType="separate"/>
      </w:r>
      <w:r>
        <w:t>12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Inspector to stamp approved weight etc.</w:t>
      </w:r>
      <w:r>
        <w:tab/>
      </w:r>
      <w:r>
        <w:fldChar w:fldCharType="begin"/>
      </w:r>
      <w:r>
        <w:instrText xml:space="preserve"> PAGEREF _Toc390077047 \h </w:instrText>
      </w:r>
      <w:r>
        <w:fldChar w:fldCharType="separate"/>
      </w:r>
      <w:r>
        <w:t>12</w:t>
      </w:r>
      <w:r>
        <w:fldChar w:fldCharType="end"/>
      </w:r>
    </w:p>
    <w:p>
      <w:pPr>
        <w:pStyle w:val="TOC8"/>
        <w:rPr>
          <w:rFonts w:asciiTheme="minorHAnsi" w:eastAsiaTheme="minorEastAsia" w:hAnsiTheme="minorHAnsi" w:cstheme="minorBidi"/>
          <w:szCs w:val="22"/>
        </w:rPr>
      </w:pPr>
      <w:r>
        <w:lastRenderedPageBreak/>
        <w:t>8</w:t>
      </w:r>
      <w:r>
        <w:rPr>
          <w:snapToGrid w:val="0"/>
        </w:rPr>
        <w:t>.</w:t>
      </w:r>
      <w:r>
        <w:rPr>
          <w:snapToGrid w:val="0"/>
        </w:rPr>
        <w:tab/>
        <w:t>Avoirdupois weights</w:t>
      </w:r>
      <w:r>
        <w:tab/>
      </w:r>
      <w:r>
        <w:fldChar w:fldCharType="begin"/>
      </w:r>
      <w:r>
        <w:instrText xml:space="preserve"> PAGEREF _Toc390077048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Troy, apothecaries’ and decimal grain weights</w:t>
      </w:r>
      <w:r>
        <w:tab/>
      </w:r>
      <w:r>
        <w:fldChar w:fldCharType="begin"/>
      </w:r>
      <w:r>
        <w:instrText xml:space="preserve"> PAGEREF _Toc390077049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Metric carat weights</w:t>
      </w:r>
      <w:r>
        <w:tab/>
      </w:r>
      <w:r>
        <w:fldChar w:fldCharType="begin"/>
      </w:r>
      <w:r>
        <w:instrText xml:space="preserve"> PAGEREF _Toc390077050 \h </w:instrText>
      </w:r>
      <w:r>
        <w:fldChar w:fldCharType="separate"/>
      </w:r>
      <w:r>
        <w:t>12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Avoirdupois weights 1 ounce and over to have adjusting hole</w:t>
      </w:r>
      <w:r>
        <w:tab/>
      </w:r>
      <w:r>
        <w:fldChar w:fldCharType="begin"/>
      </w:r>
      <w:r>
        <w:instrText xml:space="preserve"> PAGEREF _Toc390077051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Weights that may have an adjusting hole</w:t>
      </w:r>
      <w:r>
        <w:tab/>
      </w:r>
      <w:r>
        <w:fldChar w:fldCharType="begin"/>
      </w:r>
      <w:r>
        <w:instrText xml:space="preserve"> PAGEREF _Toc390077052 \h </w:instrText>
      </w:r>
      <w:r>
        <w:fldChar w:fldCharType="separate"/>
      </w:r>
      <w:r>
        <w:t>13</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Weights where adjusting holes not permitted</w:t>
      </w:r>
      <w:r>
        <w:tab/>
      </w:r>
      <w:r>
        <w:fldChar w:fldCharType="begin"/>
      </w:r>
      <w:r>
        <w:instrText xml:space="preserve"> PAGEREF _Toc390077053 \h </w:instrText>
      </w:r>
      <w:r>
        <w:fldChar w:fldCharType="separate"/>
      </w:r>
      <w:r>
        <w:t>13</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Adjusting holes</w:t>
      </w:r>
      <w:r>
        <w:tab/>
      </w:r>
      <w:r>
        <w:fldChar w:fldCharType="begin"/>
      </w:r>
      <w:r>
        <w:instrText xml:space="preserve"> PAGEREF _Toc390077054 \h </w:instrText>
      </w:r>
      <w:r>
        <w:fldChar w:fldCharType="separate"/>
      </w:r>
      <w:r>
        <w:t>13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Adjusting holes in flat circular iron weights</w:t>
      </w:r>
      <w:r>
        <w:tab/>
      </w:r>
      <w:r>
        <w:fldChar w:fldCharType="begin"/>
      </w:r>
      <w:r>
        <w:instrText xml:space="preserve"> PAGEREF _Toc390077055 \h </w:instrText>
      </w:r>
      <w:r>
        <w:fldChar w:fldCharType="separate"/>
      </w:r>
      <w:r>
        <w:t>14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Adjusting holes in other iron weights</w:t>
      </w:r>
      <w:r>
        <w:tab/>
      </w:r>
      <w:r>
        <w:fldChar w:fldCharType="begin"/>
      </w:r>
      <w:r>
        <w:instrText xml:space="preserve"> PAGEREF _Toc390077056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Adjusting holes in other weights</w:t>
      </w:r>
      <w:r>
        <w:tab/>
      </w:r>
      <w:r>
        <w:fldChar w:fldCharType="begin"/>
      </w:r>
      <w:r>
        <w:instrText xml:space="preserve"> PAGEREF _Toc390077057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Location of stamp</w:t>
      </w:r>
      <w:r>
        <w:tab/>
      </w:r>
      <w:r>
        <w:fldChar w:fldCharType="begin"/>
      </w:r>
      <w:r>
        <w:instrText xml:space="preserve"> PAGEREF _Toc390077058 \h </w:instrText>
      </w:r>
      <w:r>
        <w:fldChar w:fldCharType="separate"/>
      </w:r>
      <w:r>
        <w:t>15</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Denomination to be shown on weight</w:t>
      </w:r>
      <w:r>
        <w:tab/>
      </w:r>
      <w:r>
        <w:fldChar w:fldCharType="begin"/>
      </w:r>
      <w:r>
        <w:instrText xml:space="preserve"> PAGEREF _Toc390077059 \h </w:instrText>
      </w:r>
      <w:r>
        <w:fldChar w:fldCharType="separate"/>
      </w:r>
      <w:r>
        <w:t>15</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Maker’s name</w:t>
      </w:r>
      <w:r>
        <w:tab/>
      </w:r>
      <w:r>
        <w:fldChar w:fldCharType="begin"/>
      </w:r>
      <w:r>
        <w:instrText xml:space="preserve"> PAGEREF _Toc390077060 \h </w:instrText>
      </w:r>
      <w:r>
        <w:fldChar w:fldCharType="separate"/>
      </w:r>
      <w:r>
        <w:t>15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Certain weights not to be verified</w:t>
      </w:r>
      <w:r>
        <w:tab/>
      </w:r>
      <w:r>
        <w:fldChar w:fldCharType="begin"/>
      </w:r>
      <w:r>
        <w:instrText xml:space="preserve"> PAGEREF _Toc390077061 \h </w:instrText>
      </w:r>
      <w:r>
        <w:fldChar w:fldCharType="separate"/>
      </w:r>
      <w:r>
        <w:t>15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Method of verification</w:t>
      </w:r>
      <w:r>
        <w:tab/>
      </w:r>
      <w:r>
        <w:fldChar w:fldCharType="begin"/>
      </w:r>
      <w:r>
        <w:instrText xml:space="preserve"> PAGEREF _Toc390077062 \h </w:instrText>
      </w:r>
      <w:r>
        <w:fldChar w:fldCharType="separate"/>
      </w:r>
      <w:r>
        <w:t>16</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Tolerance</w:t>
      </w:r>
      <w:r>
        <w:tab/>
      </w:r>
      <w:r>
        <w:fldChar w:fldCharType="begin"/>
      </w:r>
      <w:r>
        <w:instrText xml:space="preserve"> PAGEREF _Toc390077063 \h </w:instrText>
      </w:r>
      <w:r>
        <w:fldChar w:fldCharType="separate"/>
      </w:r>
      <w:r>
        <w:t>16</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Measures of length</w:t>
      </w:r>
      <w:r>
        <w:tab/>
      </w:r>
      <w:r>
        <w:fldChar w:fldCharType="begin"/>
      </w:r>
      <w:r>
        <w:instrText xml:space="preserve"> PAGEREF _Toc390077064 \h </w:instrText>
      </w:r>
      <w:r>
        <w:fldChar w:fldCharType="separate"/>
      </w:r>
      <w:r>
        <w:t>16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Graduations</w:t>
      </w:r>
      <w:r>
        <w:tab/>
      </w:r>
      <w:r>
        <w:fldChar w:fldCharType="begin"/>
      </w:r>
      <w:r>
        <w:instrText xml:space="preserve"> PAGEREF _Toc390077065 \h </w:instrText>
      </w:r>
      <w:r>
        <w:fldChar w:fldCharType="separate"/>
      </w:r>
      <w:r>
        <w:t>17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Tolerance</w:t>
      </w:r>
      <w:r>
        <w:tab/>
      </w:r>
      <w:r>
        <w:fldChar w:fldCharType="begin"/>
      </w:r>
      <w:r>
        <w:instrText xml:space="preserve"> PAGEREF _Toc390077066 \h </w:instrText>
      </w:r>
      <w:r>
        <w:fldChar w:fldCharType="separate"/>
      </w:r>
      <w:r>
        <w:t>17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Definition of “liquid measure”</w:t>
      </w:r>
      <w:r>
        <w:tab/>
      </w:r>
      <w:r>
        <w:fldChar w:fldCharType="begin"/>
      </w:r>
      <w:r>
        <w:instrText xml:space="preserve"> PAGEREF _Toc390077067 \h </w:instrText>
      </w:r>
      <w:r>
        <w:fldChar w:fldCharType="separate"/>
      </w:r>
      <w:r>
        <w:t>17</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Liquid measures</w:t>
      </w:r>
      <w:r>
        <w:tab/>
      </w:r>
      <w:r>
        <w:fldChar w:fldCharType="begin"/>
      </w:r>
      <w:r>
        <w:instrText xml:space="preserve"> PAGEREF _Toc390077068 \h </w:instrText>
      </w:r>
      <w:r>
        <w:fldChar w:fldCharType="separate"/>
      </w:r>
      <w:r>
        <w:t>17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Size of cylindrical measures</w:t>
      </w:r>
      <w:r>
        <w:tab/>
      </w:r>
      <w:r>
        <w:fldChar w:fldCharType="begin"/>
      </w:r>
      <w:r>
        <w:instrText xml:space="preserve"> PAGEREF _Toc390077069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Capacity of cylindrical metal measures</w:t>
      </w:r>
      <w:r>
        <w:tab/>
      </w:r>
      <w:r>
        <w:fldChar w:fldCharType="begin"/>
      </w:r>
      <w:r>
        <w:instrText xml:space="preserve"> PAGEREF _Toc390077070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Conical or bell</w:t>
      </w:r>
      <w:r>
        <w:rPr>
          <w:snapToGrid w:val="0"/>
        </w:rPr>
        <w:noBreakHyphen/>
        <w:t>shaped metal measures</w:t>
      </w:r>
      <w:r>
        <w:tab/>
      </w:r>
      <w:r>
        <w:fldChar w:fldCharType="begin"/>
      </w:r>
      <w:r>
        <w:instrText xml:space="preserve"> PAGEREF _Toc390077071 \h </w:instrText>
      </w:r>
      <w:r>
        <w:fldChar w:fldCharType="separate"/>
      </w:r>
      <w:r>
        <w:t>20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Cylindrical measures with conical tops</w:t>
      </w:r>
      <w:r>
        <w:tab/>
      </w:r>
      <w:r>
        <w:fldChar w:fldCharType="begin"/>
      </w:r>
      <w:r>
        <w:instrText xml:space="preserve"> PAGEREF _Toc390077072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Subdivision of cylindrical metal measures</w:t>
      </w:r>
      <w:r>
        <w:tab/>
      </w:r>
      <w:r>
        <w:fldChar w:fldCharType="begin"/>
      </w:r>
      <w:r>
        <w:instrText xml:space="preserve"> PAGEREF _Toc390077073 \h </w:instrText>
      </w:r>
      <w:r>
        <w:fldChar w:fldCharType="separate"/>
      </w:r>
      <w:r>
        <w:t>20</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No subdivision of other metal measures</w:t>
      </w:r>
      <w:r>
        <w:tab/>
      </w:r>
      <w:r>
        <w:fldChar w:fldCharType="begin"/>
      </w:r>
      <w:r>
        <w:instrText xml:space="preserve"> PAGEREF _Toc390077074 \h </w:instrText>
      </w:r>
      <w:r>
        <w:fldChar w:fldCharType="separate"/>
      </w:r>
      <w:r>
        <w:t>20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Capacity of glass measures</w:t>
      </w:r>
      <w:r>
        <w:tab/>
      </w:r>
      <w:r>
        <w:fldChar w:fldCharType="begin"/>
      </w:r>
      <w:r>
        <w:instrText xml:space="preserve"> PAGEREF _Toc390077075 \h </w:instrText>
      </w:r>
      <w:r>
        <w:fldChar w:fldCharType="separate"/>
      </w:r>
      <w:r>
        <w:t>21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Subdivision of glass measures</w:t>
      </w:r>
      <w:r>
        <w:tab/>
      </w:r>
      <w:r>
        <w:fldChar w:fldCharType="begin"/>
      </w:r>
      <w:r>
        <w:instrText xml:space="preserve"> PAGEREF _Toc390077076 \h </w:instrText>
      </w:r>
      <w:r>
        <w:fldChar w:fldCharType="separate"/>
      </w:r>
      <w:r>
        <w:t>21</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Stamping plug</w:t>
      </w:r>
      <w:r>
        <w:tab/>
      </w:r>
      <w:r>
        <w:fldChar w:fldCharType="begin"/>
      </w:r>
      <w:r>
        <w:instrText xml:space="preserve"> PAGEREF _Toc390077077 \h </w:instrText>
      </w:r>
      <w:r>
        <w:fldChar w:fldCharType="separate"/>
      </w:r>
      <w:r>
        <w:t>21</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Verification stamp</w:t>
      </w:r>
      <w:r>
        <w:tab/>
      </w:r>
      <w:r>
        <w:fldChar w:fldCharType="begin"/>
      </w:r>
      <w:r>
        <w:instrText xml:space="preserve"> PAGEREF _Toc390077078 \h </w:instrText>
      </w:r>
      <w:r>
        <w:fldChar w:fldCharType="separate"/>
      </w:r>
      <w:r>
        <w:t>21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Subdivisions to be verified</w:t>
      </w:r>
      <w:r>
        <w:tab/>
      </w:r>
      <w:r>
        <w:fldChar w:fldCharType="begin"/>
      </w:r>
      <w:r>
        <w:instrText xml:space="preserve"> PAGEREF _Toc390077079 \h </w:instrText>
      </w:r>
      <w:r>
        <w:fldChar w:fldCharType="separate"/>
      </w:r>
      <w:r>
        <w:t>22</w:t>
      </w:r>
      <w:r>
        <w:fldChar w:fldCharType="end"/>
      </w:r>
    </w:p>
    <w:p>
      <w:pPr>
        <w:pStyle w:val="TOC8"/>
        <w:rPr>
          <w:rFonts w:asciiTheme="minorHAnsi" w:eastAsiaTheme="minorEastAsia" w:hAnsiTheme="minorHAnsi" w:cstheme="minorBidi"/>
          <w:szCs w:val="22"/>
        </w:rPr>
      </w:pPr>
      <w:r>
        <w:t>39A</w:t>
      </w:r>
      <w:r>
        <w:rPr>
          <w:snapToGrid w:val="0"/>
        </w:rPr>
        <w:t>.</w:t>
      </w:r>
      <w:r>
        <w:rPr>
          <w:snapToGrid w:val="0"/>
        </w:rPr>
        <w:tab/>
        <w:t>Method of verification</w:t>
      </w:r>
      <w:r>
        <w:tab/>
      </w:r>
      <w:r>
        <w:fldChar w:fldCharType="begin"/>
      </w:r>
      <w:r>
        <w:instrText xml:space="preserve"> PAGEREF _Toc390077080 \h </w:instrText>
      </w:r>
      <w:r>
        <w:fldChar w:fldCharType="separate"/>
      </w:r>
      <w:r>
        <w:t>22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Tolerance</w:t>
      </w:r>
      <w:r>
        <w:tab/>
      </w:r>
      <w:r>
        <w:fldChar w:fldCharType="begin"/>
      </w:r>
      <w:r>
        <w:instrText xml:space="preserve"> PAGEREF _Toc390077081 \h </w:instrText>
      </w:r>
      <w:r>
        <w:fldChar w:fldCharType="separate"/>
      </w:r>
      <w:r>
        <w:t>23</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Definition of “</w:t>
      </w:r>
      <w:r>
        <w:t>Apothecaries’ measures</w:t>
      </w:r>
      <w:r>
        <w:rPr>
          <w:snapToGrid w:val="0"/>
        </w:rPr>
        <w:t>”</w:t>
      </w:r>
      <w:r>
        <w:tab/>
      </w:r>
      <w:r>
        <w:fldChar w:fldCharType="begin"/>
      </w:r>
      <w:r>
        <w:instrText xml:space="preserve"> PAGEREF _Toc390077082 \h </w:instrText>
      </w:r>
      <w:r>
        <w:fldChar w:fldCharType="separate"/>
      </w:r>
      <w:r>
        <w:t>23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Apothecaries’ glass measures</w:t>
      </w:r>
      <w:r>
        <w:tab/>
      </w:r>
      <w:r>
        <w:fldChar w:fldCharType="begin"/>
      </w:r>
      <w:r>
        <w:instrText xml:space="preserve"> PAGEREF _Toc390077083 \h </w:instrText>
      </w:r>
      <w:r>
        <w:fldChar w:fldCharType="separate"/>
      </w:r>
      <w:r>
        <w:t>23</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Tolerance</w:t>
      </w:r>
      <w:r>
        <w:tab/>
      </w:r>
      <w:r>
        <w:fldChar w:fldCharType="begin"/>
      </w:r>
      <w:r>
        <w:instrText xml:space="preserve"> PAGEREF _Toc390077084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Definition of “dry measure”</w:t>
      </w:r>
      <w:r>
        <w:tab/>
      </w:r>
      <w:r>
        <w:fldChar w:fldCharType="begin"/>
      </w:r>
      <w:r>
        <w:instrText xml:space="preserve"> PAGEREF _Toc390077085 \h </w:instrText>
      </w:r>
      <w:r>
        <w:fldChar w:fldCharType="separate"/>
      </w:r>
      <w:r>
        <w:t>24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Dry measures</w:t>
      </w:r>
      <w:r>
        <w:tab/>
      </w:r>
      <w:r>
        <w:fldChar w:fldCharType="begin"/>
      </w:r>
      <w:r>
        <w:instrText xml:space="preserve"> PAGEREF _Toc390077086 \h </w:instrText>
      </w:r>
      <w:r>
        <w:fldChar w:fldCharType="separate"/>
      </w:r>
      <w:r>
        <w:t>24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Method of verification</w:t>
      </w:r>
      <w:r>
        <w:tab/>
      </w:r>
      <w:r>
        <w:fldChar w:fldCharType="begin"/>
      </w:r>
      <w:r>
        <w:instrText xml:space="preserve"> PAGEREF _Toc390077087 \h </w:instrText>
      </w:r>
      <w:r>
        <w:fldChar w:fldCharType="separate"/>
      </w:r>
      <w:r>
        <w:t>24</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Tolerance</w:t>
      </w:r>
      <w:r>
        <w:tab/>
      </w:r>
      <w:r>
        <w:fldChar w:fldCharType="begin"/>
      </w:r>
      <w:r>
        <w:instrText xml:space="preserve"> PAGEREF _Toc390077088 \h </w:instrText>
      </w:r>
      <w:r>
        <w:fldChar w:fldCharType="separate"/>
      </w:r>
      <w:r>
        <w:t>25</w:t>
      </w:r>
      <w:r>
        <w:fldChar w:fldCharType="end"/>
      </w:r>
    </w:p>
    <w:p>
      <w:pPr>
        <w:pStyle w:val="TOC8"/>
        <w:rPr>
          <w:rFonts w:asciiTheme="minorHAnsi" w:eastAsiaTheme="minorEastAsia" w:hAnsiTheme="minorHAnsi" w:cstheme="minorBidi"/>
          <w:szCs w:val="22"/>
        </w:rPr>
      </w:pPr>
      <w:r>
        <w:t>47A</w:t>
      </w:r>
      <w:r>
        <w:rPr>
          <w:snapToGrid w:val="0"/>
        </w:rPr>
        <w:t>.</w:t>
      </w:r>
      <w:r>
        <w:rPr>
          <w:snapToGrid w:val="0"/>
        </w:rPr>
        <w:tab/>
        <w:t>Farm milk tanks</w:t>
      </w:r>
      <w:r>
        <w:tab/>
      </w:r>
      <w:r>
        <w:fldChar w:fldCharType="begin"/>
      </w:r>
      <w:r>
        <w:instrText xml:space="preserve"> PAGEREF _Toc390077089 \h </w:instrText>
      </w:r>
      <w:r>
        <w:fldChar w:fldCharType="separate"/>
      </w:r>
      <w:r>
        <w:t>25</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Weighing instruments generally</w:t>
      </w:r>
      <w:r>
        <w:tab/>
      </w:r>
      <w:r>
        <w:fldChar w:fldCharType="begin"/>
      </w:r>
      <w:r>
        <w:instrText xml:space="preserve"> PAGEREF _Toc390077090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Travelling poise</w:t>
      </w:r>
      <w:r>
        <w:tab/>
      </w:r>
      <w:r>
        <w:fldChar w:fldCharType="begin"/>
      </w:r>
      <w:r>
        <w:instrText xml:space="preserve"> PAGEREF _Toc390077091 \h </w:instrText>
      </w:r>
      <w:r>
        <w:fldChar w:fldCharType="separate"/>
      </w:r>
      <w:r>
        <w:t>33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Loose counterpoise weights</w:t>
      </w:r>
      <w:r>
        <w:tab/>
      </w:r>
      <w:r>
        <w:fldChar w:fldCharType="begin"/>
      </w:r>
      <w:r>
        <w:instrText xml:space="preserve"> PAGEREF _Toc390077092 \h </w:instrText>
      </w:r>
      <w:r>
        <w:fldChar w:fldCharType="separate"/>
      </w:r>
      <w:r>
        <w:t>34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Counterpoise cup</w:t>
      </w:r>
      <w:r>
        <w:tab/>
      </w:r>
      <w:r>
        <w:fldChar w:fldCharType="begin"/>
      </w:r>
      <w:r>
        <w:instrText xml:space="preserve"> PAGEREF _Toc390077093 \h </w:instrText>
      </w:r>
      <w:r>
        <w:fldChar w:fldCharType="separate"/>
      </w:r>
      <w:r>
        <w:t>35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Restrictions on all weighing machines</w:t>
      </w:r>
      <w:r>
        <w:tab/>
      </w:r>
      <w:r>
        <w:fldChar w:fldCharType="begin"/>
      </w:r>
      <w:r>
        <w:instrText xml:space="preserve"> PAGEREF _Toc390077094 \h </w:instrText>
      </w:r>
      <w:r>
        <w:fldChar w:fldCharType="separate"/>
      </w:r>
      <w:r>
        <w:t>35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Inspector may require instrument to be disassembled</w:t>
      </w:r>
      <w:r>
        <w:tab/>
      </w:r>
      <w:r>
        <w:fldChar w:fldCharType="begin"/>
      </w:r>
      <w:r>
        <w:instrText xml:space="preserve"> PAGEREF _Toc390077095 \h </w:instrText>
      </w:r>
      <w:r>
        <w:fldChar w:fldCharType="separate"/>
      </w:r>
      <w:r>
        <w:t>35</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Verification of instruments subject to wind, dust etc.</w:t>
      </w:r>
      <w:r>
        <w:tab/>
      </w:r>
      <w:r>
        <w:fldChar w:fldCharType="begin"/>
      </w:r>
      <w:r>
        <w:instrText xml:space="preserve"> PAGEREF _Toc390077096 \h </w:instrText>
      </w:r>
      <w:r>
        <w:fldChar w:fldCharType="separate"/>
      </w:r>
      <w:r>
        <w:t>36</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Coal, coke or firewood weighing instruments</w:t>
      </w:r>
      <w:r>
        <w:tab/>
      </w:r>
      <w:r>
        <w:fldChar w:fldCharType="begin"/>
      </w:r>
      <w:r>
        <w:instrText xml:space="preserve"> PAGEREF _Toc390077097 \h </w:instrText>
      </w:r>
      <w:r>
        <w:fldChar w:fldCharType="separate"/>
      </w:r>
      <w:r>
        <w:t>36</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Definition of “beam scale”</w:t>
      </w:r>
      <w:r>
        <w:tab/>
      </w:r>
      <w:r>
        <w:fldChar w:fldCharType="begin"/>
      </w:r>
      <w:r>
        <w:instrText xml:space="preserve"> PAGEREF _Toc390077098 \h </w:instrText>
      </w:r>
      <w:r>
        <w:fldChar w:fldCharType="separate"/>
      </w:r>
      <w:r>
        <w:t>36</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Classes of beam scales</w:t>
      </w:r>
      <w:r>
        <w:tab/>
      </w:r>
      <w:r>
        <w:fldChar w:fldCharType="begin"/>
      </w:r>
      <w:r>
        <w:instrText xml:space="preserve"> PAGEREF _Toc390077099 \h </w:instrText>
      </w:r>
      <w:r>
        <w:fldChar w:fldCharType="separate"/>
      </w:r>
      <w:r>
        <w:t>36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Attachments to be permanently fastened</w:t>
      </w:r>
      <w:r>
        <w:tab/>
      </w:r>
      <w:r>
        <w:fldChar w:fldCharType="begin"/>
      </w:r>
      <w:r>
        <w:instrText xml:space="preserve"> PAGEREF _Toc390077100 \h </w:instrText>
      </w:r>
      <w:r>
        <w:fldChar w:fldCharType="separate"/>
      </w:r>
      <w:r>
        <w:t>37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Beam scales</w:t>
      </w:r>
      <w:r>
        <w:tab/>
      </w:r>
      <w:r>
        <w:fldChar w:fldCharType="begin"/>
      </w:r>
      <w:r>
        <w:instrText xml:space="preserve"> PAGEREF _Toc390077101 \h </w:instrText>
      </w:r>
      <w:r>
        <w:fldChar w:fldCharType="separate"/>
      </w:r>
      <w:r>
        <w:t>37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Stamping plug</w:t>
      </w:r>
      <w:r>
        <w:tab/>
      </w:r>
      <w:r>
        <w:fldChar w:fldCharType="begin"/>
      </w:r>
      <w:r>
        <w:instrText xml:space="preserve"> PAGEREF _Toc390077102 \h </w:instrText>
      </w:r>
      <w:r>
        <w:fldChar w:fldCharType="separate"/>
      </w:r>
      <w:r>
        <w:t>37</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Certain beam scales not to be verified</w:t>
      </w:r>
      <w:r>
        <w:tab/>
      </w:r>
      <w:r>
        <w:fldChar w:fldCharType="begin"/>
      </w:r>
      <w:r>
        <w:instrText xml:space="preserve"> PAGEREF _Toc390077103 \h </w:instrText>
      </w:r>
      <w:r>
        <w:fldChar w:fldCharType="separate"/>
      </w:r>
      <w:r>
        <w:t>38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Definition of “counter scale”</w:t>
      </w:r>
      <w:r>
        <w:tab/>
      </w:r>
      <w:r>
        <w:fldChar w:fldCharType="begin"/>
      </w:r>
      <w:r>
        <w:instrText xml:space="preserve"> PAGEREF _Toc390077104 \h </w:instrText>
      </w:r>
      <w:r>
        <w:fldChar w:fldCharType="separate"/>
      </w:r>
      <w:r>
        <w:t>38</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Counter scales</w:t>
      </w:r>
      <w:r>
        <w:tab/>
      </w:r>
      <w:r>
        <w:fldChar w:fldCharType="begin"/>
      </w:r>
      <w:r>
        <w:instrText xml:space="preserve"> PAGEREF _Toc390077105 \h </w:instrText>
      </w:r>
      <w:r>
        <w:fldChar w:fldCharType="separate"/>
      </w:r>
      <w:r>
        <w:t>38</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Balancing box</w:t>
      </w:r>
      <w:r>
        <w:tab/>
      </w:r>
      <w:r>
        <w:fldChar w:fldCharType="begin"/>
      </w:r>
      <w:r>
        <w:instrText xml:space="preserve"> PAGEREF _Toc390077106 \h </w:instrText>
      </w:r>
      <w:r>
        <w:fldChar w:fldCharType="separate"/>
      </w:r>
      <w:r>
        <w:t>40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Certain counter scales not to be verified</w:t>
      </w:r>
      <w:r>
        <w:tab/>
      </w:r>
      <w:r>
        <w:fldChar w:fldCharType="begin"/>
      </w:r>
      <w:r>
        <w:instrText xml:space="preserve"> PAGEREF _Toc390077107 \h </w:instrText>
      </w:r>
      <w:r>
        <w:fldChar w:fldCharType="separate"/>
      </w:r>
      <w:r>
        <w:t>40</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Tolerance</w:t>
      </w:r>
      <w:r>
        <w:tab/>
      </w:r>
      <w:r>
        <w:fldChar w:fldCharType="begin"/>
      </w:r>
      <w:r>
        <w:instrText xml:space="preserve"> PAGEREF _Toc390077108 \h </w:instrText>
      </w:r>
      <w:r>
        <w:fldChar w:fldCharType="separate"/>
      </w:r>
      <w:r>
        <w:t>40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Definition of “spring balance”</w:t>
      </w:r>
      <w:r>
        <w:tab/>
      </w:r>
      <w:r>
        <w:fldChar w:fldCharType="begin"/>
      </w:r>
      <w:r>
        <w:instrText xml:space="preserve"> PAGEREF _Toc390077109 \h </w:instrText>
      </w:r>
      <w:r>
        <w:fldChar w:fldCharType="separate"/>
      </w:r>
      <w:r>
        <w:t>40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Spring balances</w:t>
      </w:r>
      <w:r>
        <w:tab/>
      </w:r>
      <w:r>
        <w:fldChar w:fldCharType="begin"/>
      </w:r>
      <w:r>
        <w:instrText xml:space="preserve"> PAGEREF _Toc390077110 \h </w:instrText>
      </w:r>
      <w:r>
        <w:fldChar w:fldCharType="separate"/>
      </w:r>
      <w:r>
        <w:t>41</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Graduation on dial or scale</w:t>
      </w:r>
      <w:r>
        <w:tab/>
      </w:r>
      <w:r>
        <w:fldChar w:fldCharType="begin"/>
      </w:r>
      <w:r>
        <w:instrText xml:space="preserve"> PAGEREF _Toc390077111 \h </w:instrText>
      </w:r>
      <w:r>
        <w:fldChar w:fldCharType="separate"/>
      </w:r>
      <w:r>
        <w:t>42</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Graduation on vertical slide</w:t>
      </w:r>
      <w:r>
        <w:tab/>
      </w:r>
      <w:r>
        <w:fldChar w:fldCharType="begin"/>
      </w:r>
      <w:r>
        <w:instrText xml:space="preserve"> PAGEREF _Toc390077112 \h </w:instrText>
      </w:r>
      <w:r>
        <w:fldChar w:fldCharType="separate"/>
      </w:r>
      <w:r>
        <w:t>43</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Verification subject to approval of Chief Inspector</w:t>
      </w:r>
      <w:r>
        <w:tab/>
      </w:r>
      <w:r>
        <w:fldChar w:fldCharType="begin"/>
      </w:r>
      <w:r>
        <w:instrText xml:space="preserve"> PAGEREF _Toc390077113 \h </w:instrText>
      </w:r>
      <w:r>
        <w:fldChar w:fldCharType="separate"/>
      </w:r>
      <w:r>
        <w:t>43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Tolerance</w:t>
      </w:r>
      <w:r>
        <w:tab/>
      </w:r>
      <w:r>
        <w:fldChar w:fldCharType="begin"/>
      </w:r>
      <w:r>
        <w:instrText xml:space="preserve"> PAGEREF _Toc390077114 \h </w:instrText>
      </w:r>
      <w:r>
        <w:fldChar w:fldCharType="separate"/>
      </w:r>
      <w:r>
        <w:t>43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Definition of “self</w:t>
      </w:r>
      <w:r>
        <w:rPr>
          <w:snapToGrid w:val="0"/>
        </w:rPr>
        <w:noBreakHyphen/>
        <w:t>indicating counter machine”</w:t>
      </w:r>
      <w:r>
        <w:tab/>
      </w:r>
      <w:r>
        <w:fldChar w:fldCharType="begin"/>
      </w:r>
      <w:r>
        <w:instrText xml:space="preserve"> PAGEREF _Toc390077115 \h </w:instrText>
      </w:r>
      <w:r>
        <w:fldChar w:fldCharType="separate"/>
      </w:r>
      <w:r>
        <w:t>44</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Self</w:t>
      </w:r>
      <w:r>
        <w:rPr>
          <w:snapToGrid w:val="0"/>
        </w:rPr>
        <w:noBreakHyphen/>
        <w:t>indicating counter machines</w:t>
      </w:r>
      <w:r>
        <w:tab/>
      </w:r>
      <w:r>
        <w:fldChar w:fldCharType="begin"/>
      </w:r>
      <w:r>
        <w:instrText xml:space="preserve"> PAGEREF _Toc390077116 \h </w:instrText>
      </w:r>
      <w:r>
        <w:fldChar w:fldCharType="separate"/>
      </w:r>
      <w:r>
        <w:t>44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Restrictions on machines with sliding or tare weights</w:t>
      </w:r>
      <w:r>
        <w:tab/>
      </w:r>
      <w:r>
        <w:fldChar w:fldCharType="begin"/>
      </w:r>
      <w:r>
        <w:instrText xml:space="preserve"> PAGEREF _Toc390077117 \h </w:instrText>
      </w:r>
      <w:r>
        <w:fldChar w:fldCharType="separate"/>
      </w:r>
      <w:r>
        <w:t>45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Value computing charts</w:t>
      </w:r>
      <w:r>
        <w:tab/>
      </w:r>
      <w:r>
        <w:fldChar w:fldCharType="begin"/>
      </w:r>
      <w:r>
        <w:instrText xml:space="preserve"> PAGEREF _Toc390077118 \h </w:instrText>
      </w:r>
      <w:r>
        <w:fldChar w:fldCharType="separate"/>
      </w:r>
      <w:r>
        <w:t>45</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Tolerance</w:t>
      </w:r>
      <w:r>
        <w:tab/>
      </w:r>
      <w:r>
        <w:fldChar w:fldCharType="begin"/>
      </w:r>
      <w:r>
        <w:instrText xml:space="preserve"> PAGEREF _Toc390077119 \h </w:instrText>
      </w:r>
      <w:r>
        <w:fldChar w:fldCharType="separate"/>
      </w:r>
      <w:r>
        <w:t>46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Steelyards</w:t>
      </w:r>
      <w:r>
        <w:tab/>
      </w:r>
      <w:r>
        <w:fldChar w:fldCharType="begin"/>
      </w:r>
      <w:r>
        <w:instrText xml:space="preserve"> PAGEREF _Toc390077120 \h </w:instrText>
      </w:r>
      <w:r>
        <w:fldChar w:fldCharType="separate"/>
      </w:r>
      <w:r>
        <w:t>47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Graduation</w:t>
      </w:r>
      <w:r>
        <w:tab/>
      </w:r>
      <w:r>
        <w:fldChar w:fldCharType="begin"/>
      </w:r>
      <w:r>
        <w:instrText xml:space="preserve"> PAGEREF _Toc390077121 \h </w:instrText>
      </w:r>
      <w:r>
        <w:fldChar w:fldCharType="separate"/>
      </w:r>
      <w:r>
        <w:t>47</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Steelyards for use with coal and firewood</w:t>
      </w:r>
      <w:r>
        <w:tab/>
      </w:r>
      <w:r>
        <w:fldChar w:fldCharType="begin"/>
      </w:r>
      <w:r>
        <w:instrText xml:space="preserve"> PAGEREF _Toc390077122 \h </w:instrText>
      </w:r>
      <w:r>
        <w:fldChar w:fldCharType="separate"/>
      </w:r>
      <w:r>
        <w:t>47</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Stamping of steelyards</w:t>
      </w:r>
      <w:r>
        <w:tab/>
      </w:r>
      <w:r>
        <w:fldChar w:fldCharType="begin"/>
      </w:r>
      <w:r>
        <w:instrText xml:space="preserve"> PAGEREF _Toc390077123 \h </w:instrText>
      </w:r>
      <w:r>
        <w:fldChar w:fldCharType="separate"/>
      </w:r>
      <w:r>
        <w:t>48</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Steelyards to be reversible</w:t>
      </w:r>
      <w:r>
        <w:tab/>
      </w:r>
      <w:r>
        <w:fldChar w:fldCharType="begin"/>
      </w:r>
      <w:r>
        <w:instrText xml:space="preserve"> PAGEREF _Toc390077124 \h </w:instrText>
      </w:r>
      <w:r>
        <w:fldChar w:fldCharType="separate"/>
      </w:r>
      <w:r>
        <w:t>48</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Tolerance</w:t>
      </w:r>
      <w:r>
        <w:tab/>
      </w:r>
      <w:r>
        <w:fldChar w:fldCharType="begin"/>
      </w:r>
      <w:r>
        <w:instrText xml:space="preserve"> PAGEREF _Toc390077125 \h </w:instrText>
      </w:r>
      <w:r>
        <w:fldChar w:fldCharType="separate"/>
      </w:r>
      <w:r>
        <w:t>48</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Wall beams</w:t>
      </w:r>
      <w:r>
        <w:tab/>
      </w:r>
      <w:r>
        <w:fldChar w:fldCharType="begin"/>
      </w:r>
      <w:r>
        <w:instrText xml:space="preserve"> PAGEREF _Toc390077126 \h </w:instrText>
      </w:r>
      <w:r>
        <w:fldChar w:fldCharType="separate"/>
      </w:r>
      <w:r>
        <w:t>49</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Tolerance</w:t>
      </w:r>
      <w:r>
        <w:tab/>
      </w:r>
      <w:r>
        <w:fldChar w:fldCharType="begin"/>
      </w:r>
      <w:r>
        <w:instrText xml:space="preserve"> PAGEREF _Toc390077127 \h </w:instrText>
      </w:r>
      <w:r>
        <w:fldChar w:fldCharType="separate"/>
      </w:r>
      <w:r>
        <w:t>49</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Definition of “dead-weight machine”</w:t>
      </w:r>
      <w:r>
        <w:tab/>
      </w:r>
      <w:r>
        <w:fldChar w:fldCharType="begin"/>
      </w:r>
      <w:r>
        <w:instrText xml:space="preserve"> PAGEREF _Toc390077128 \h </w:instrText>
      </w:r>
      <w:r>
        <w:fldChar w:fldCharType="separate"/>
      </w:r>
      <w:r>
        <w:t>49</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Dead-weight machines</w:t>
      </w:r>
      <w:r>
        <w:tab/>
      </w:r>
      <w:r>
        <w:fldChar w:fldCharType="begin"/>
      </w:r>
      <w:r>
        <w:instrText xml:space="preserve"> PAGEREF _Toc390077129 \h </w:instrText>
      </w:r>
      <w:r>
        <w:fldChar w:fldCharType="separate"/>
      </w:r>
      <w:r>
        <w:t>50</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Tolerance</w:t>
      </w:r>
      <w:r>
        <w:tab/>
      </w:r>
      <w:r>
        <w:fldChar w:fldCharType="begin"/>
      </w:r>
      <w:r>
        <w:instrText xml:space="preserve"> PAGEREF _Toc390077130 \h </w:instrText>
      </w:r>
      <w:r>
        <w:fldChar w:fldCharType="separate"/>
      </w:r>
      <w:r>
        <w:t>51</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New “union” scales not to be stamped</w:t>
      </w:r>
      <w:r>
        <w:tab/>
      </w:r>
      <w:r>
        <w:fldChar w:fldCharType="begin"/>
      </w:r>
      <w:r>
        <w:instrText xml:space="preserve"> PAGEREF _Toc390077131 \h </w:instrText>
      </w:r>
      <w:r>
        <w:fldChar w:fldCharType="separate"/>
      </w:r>
      <w:r>
        <w:t>51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Placement of load on platform weighing machines</w:t>
      </w:r>
      <w:r>
        <w:tab/>
      </w:r>
      <w:r>
        <w:fldChar w:fldCharType="begin"/>
      </w:r>
      <w:r>
        <w:instrText xml:space="preserve"> PAGEREF _Toc390077132 \h </w:instrText>
      </w:r>
      <w:r>
        <w:fldChar w:fldCharType="separate"/>
      </w:r>
      <w:r>
        <w:t>51</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Platform weighing machines and weighbridges</w:t>
      </w:r>
      <w:r>
        <w:tab/>
      </w:r>
      <w:r>
        <w:fldChar w:fldCharType="begin"/>
      </w:r>
      <w:r>
        <w:instrText xml:space="preserve"> PAGEREF _Toc390077133 \h </w:instrText>
      </w:r>
      <w:r>
        <w:fldChar w:fldCharType="separate"/>
      </w:r>
      <w:r>
        <w:t>51</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Steelyards of platform weighing machines or weighbridges</w:t>
      </w:r>
      <w:r>
        <w:tab/>
      </w:r>
      <w:r>
        <w:fldChar w:fldCharType="begin"/>
      </w:r>
      <w:r>
        <w:instrText xml:space="preserve"> PAGEREF _Toc390077134 \h </w:instrText>
      </w:r>
      <w:r>
        <w:fldChar w:fldCharType="separate"/>
      </w:r>
      <w:r>
        <w:t>52</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Self</w:t>
      </w:r>
      <w:r>
        <w:rPr>
          <w:snapToGrid w:val="0"/>
        </w:rPr>
        <w:noBreakHyphen/>
        <w:t>indicating platform weighing machines or weighbridges</w:t>
      </w:r>
      <w:r>
        <w:tab/>
      </w:r>
      <w:r>
        <w:fldChar w:fldCharType="begin"/>
      </w:r>
      <w:r>
        <w:instrText xml:space="preserve"> PAGEREF _Toc390077135 \h </w:instrText>
      </w:r>
      <w:r>
        <w:fldChar w:fldCharType="separate"/>
      </w:r>
      <w:r>
        <w:t>53</w:t>
      </w:r>
      <w:r>
        <w:fldChar w:fldCharType="end"/>
      </w:r>
    </w:p>
    <w:p>
      <w:pPr>
        <w:pStyle w:val="TOC8"/>
        <w:rPr>
          <w:rFonts w:asciiTheme="minorHAnsi" w:eastAsiaTheme="minorEastAsia" w:hAnsiTheme="minorHAnsi" w:cstheme="minorBidi"/>
          <w:szCs w:val="22"/>
        </w:rPr>
      </w:pPr>
      <w:r>
        <w:t>93A</w:t>
      </w:r>
      <w:r>
        <w:rPr>
          <w:snapToGrid w:val="0"/>
        </w:rPr>
        <w:t>.</w:t>
      </w:r>
      <w:r>
        <w:rPr>
          <w:snapToGrid w:val="0"/>
        </w:rPr>
        <w:tab/>
        <w:t>New self</w:t>
      </w:r>
      <w:r>
        <w:rPr>
          <w:snapToGrid w:val="0"/>
        </w:rPr>
        <w:noBreakHyphen/>
        <w:t>indicating weighing instruments</w:t>
      </w:r>
      <w:r>
        <w:tab/>
      </w:r>
      <w:r>
        <w:fldChar w:fldCharType="begin"/>
      </w:r>
      <w:r>
        <w:instrText xml:space="preserve"> PAGEREF _Toc390077136 \h </w:instrText>
      </w:r>
      <w:r>
        <w:fldChar w:fldCharType="separate"/>
      </w:r>
      <w:r>
        <w:t>53</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Self</w:t>
      </w:r>
      <w:r>
        <w:rPr>
          <w:snapToGrid w:val="0"/>
        </w:rPr>
        <w:noBreakHyphen/>
        <w:t>indicating pit bank weighing machines</w:t>
      </w:r>
      <w:r>
        <w:tab/>
      </w:r>
      <w:r>
        <w:fldChar w:fldCharType="begin"/>
      </w:r>
      <w:r>
        <w:instrText xml:space="preserve"> PAGEREF _Toc390077137 \h </w:instrText>
      </w:r>
      <w:r>
        <w:fldChar w:fldCharType="separate"/>
      </w:r>
      <w:r>
        <w:t>54</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Weighbridges</w:t>
      </w:r>
      <w:r>
        <w:tab/>
      </w:r>
      <w:r>
        <w:fldChar w:fldCharType="begin"/>
      </w:r>
      <w:r>
        <w:instrText xml:space="preserve"> PAGEREF _Toc390077138 \h </w:instrText>
      </w:r>
      <w:r>
        <w:fldChar w:fldCharType="separate"/>
      </w:r>
      <w:r>
        <w:t>54</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Road weighbridges</w:t>
      </w:r>
      <w:r>
        <w:tab/>
      </w:r>
      <w:r>
        <w:fldChar w:fldCharType="begin"/>
      </w:r>
      <w:r>
        <w:instrText xml:space="preserve"> PAGEREF _Toc390077139 \h </w:instrText>
      </w:r>
      <w:r>
        <w:fldChar w:fldCharType="separate"/>
      </w:r>
      <w:r>
        <w:t>55</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Truck weighbridges</w:t>
      </w:r>
      <w:r>
        <w:tab/>
      </w:r>
      <w:r>
        <w:fldChar w:fldCharType="begin"/>
      </w:r>
      <w:r>
        <w:instrText xml:space="preserve"> PAGEREF _Toc390077140 \h </w:instrText>
      </w:r>
      <w:r>
        <w:fldChar w:fldCharType="separate"/>
      </w:r>
      <w:r>
        <w:t>56</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Tolerance</w:t>
      </w:r>
      <w:r>
        <w:tab/>
      </w:r>
      <w:r>
        <w:fldChar w:fldCharType="begin"/>
      </w:r>
      <w:r>
        <w:instrText xml:space="preserve"> PAGEREF _Toc390077141 \h </w:instrText>
      </w:r>
      <w:r>
        <w:fldChar w:fldCharType="separate"/>
      </w:r>
      <w:r>
        <w:t>56</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Overhead weighing machines</w:t>
      </w:r>
      <w:r>
        <w:tab/>
      </w:r>
      <w:r>
        <w:fldChar w:fldCharType="begin"/>
      </w:r>
      <w:r>
        <w:instrText xml:space="preserve"> PAGEREF _Toc390077142 \h </w:instrText>
      </w:r>
      <w:r>
        <w:fldChar w:fldCharType="separate"/>
      </w:r>
      <w:r>
        <w:t>56</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Crane weighing machines</w:t>
      </w:r>
      <w:r>
        <w:tab/>
      </w:r>
      <w:r>
        <w:fldChar w:fldCharType="begin"/>
      </w:r>
      <w:r>
        <w:instrText xml:space="preserve"> PAGEREF _Toc390077143 \h </w:instrText>
      </w:r>
      <w:r>
        <w:fldChar w:fldCharType="separate"/>
      </w:r>
      <w:r>
        <w:t>57</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Notice required on certain hydraulic machines</w:t>
      </w:r>
      <w:r>
        <w:tab/>
      </w:r>
      <w:r>
        <w:fldChar w:fldCharType="begin"/>
      </w:r>
      <w:r>
        <w:instrText xml:space="preserve"> PAGEREF _Toc390077144 \h </w:instrText>
      </w:r>
      <w:r>
        <w:fldChar w:fldCharType="separate"/>
      </w:r>
      <w:r>
        <w:t>57</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Hydraulic machines not to be tested for sensitiveness</w:t>
      </w:r>
      <w:r>
        <w:tab/>
      </w:r>
      <w:r>
        <w:fldChar w:fldCharType="begin"/>
      </w:r>
      <w:r>
        <w:instrText xml:space="preserve"> PAGEREF _Toc390077145 \h </w:instrText>
      </w:r>
      <w:r>
        <w:fldChar w:fldCharType="separate"/>
      </w:r>
      <w:r>
        <w:t>57</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Tolerance</w:t>
      </w:r>
      <w:r>
        <w:tab/>
      </w:r>
      <w:r>
        <w:fldChar w:fldCharType="begin"/>
      </w:r>
      <w:r>
        <w:instrText xml:space="preserve"> PAGEREF _Toc390077146 \h </w:instrText>
      </w:r>
      <w:r>
        <w:fldChar w:fldCharType="separate"/>
      </w:r>
      <w:r>
        <w:t>57</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Definition of “automatic weighing machines”</w:t>
      </w:r>
      <w:r>
        <w:tab/>
      </w:r>
      <w:r>
        <w:fldChar w:fldCharType="begin"/>
      </w:r>
      <w:r>
        <w:instrText xml:space="preserve"> PAGEREF _Toc390077147 \h </w:instrText>
      </w:r>
      <w:r>
        <w:fldChar w:fldCharType="separate"/>
      </w:r>
      <w:r>
        <w:t>58</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Automatic weighing machines</w:t>
      </w:r>
      <w:r>
        <w:tab/>
      </w:r>
      <w:r>
        <w:fldChar w:fldCharType="begin"/>
      </w:r>
      <w:r>
        <w:instrText xml:space="preserve"> PAGEREF _Toc390077148 \h </w:instrText>
      </w:r>
      <w:r>
        <w:fldChar w:fldCharType="separate"/>
      </w:r>
      <w:r>
        <w:t>58</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Tolerance</w:t>
      </w:r>
      <w:r>
        <w:tab/>
      </w:r>
      <w:r>
        <w:fldChar w:fldCharType="begin"/>
      </w:r>
      <w:r>
        <w:instrText xml:space="preserve"> PAGEREF _Toc390077149 \h </w:instrText>
      </w:r>
      <w:r>
        <w:fldChar w:fldCharType="separate"/>
      </w:r>
      <w:r>
        <w:t>59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Hopper grain scales</w:t>
      </w:r>
      <w:r>
        <w:tab/>
      </w:r>
      <w:r>
        <w:fldChar w:fldCharType="begin"/>
      </w:r>
      <w:r>
        <w:instrText xml:space="preserve"> PAGEREF _Toc390077150 \h </w:instrText>
      </w:r>
      <w:r>
        <w:fldChar w:fldCharType="separate"/>
      </w:r>
      <w:r>
        <w:t>59</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Other types of weighing machines</w:t>
      </w:r>
      <w:r>
        <w:tab/>
      </w:r>
      <w:r>
        <w:fldChar w:fldCharType="begin"/>
      </w:r>
      <w:r>
        <w:instrText xml:space="preserve"> PAGEREF _Toc390077151 \h </w:instrText>
      </w:r>
      <w:r>
        <w:fldChar w:fldCharType="separate"/>
      </w:r>
      <w:r>
        <w:t>60</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Measuring instruments generally</w:t>
      </w:r>
      <w:r>
        <w:tab/>
      </w:r>
      <w:r>
        <w:fldChar w:fldCharType="begin"/>
      </w:r>
      <w:r>
        <w:instrText xml:space="preserve"> PAGEREF _Toc390077152 \h </w:instrText>
      </w:r>
      <w:r>
        <w:fldChar w:fldCharType="separate"/>
      </w:r>
      <w:r>
        <w:t>60</w:t>
      </w:r>
      <w:r>
        <w:fldChar w:fldCharType="end"/>
      </w:r>
    </w:p>
    <w:p>
      <w:pPr>
        <w:pStyle w:val="TOC8"/>
        <w:rPr>
          <w:rFonts w:asciiTheme="minorHAnsi" w:eastAsiaTheme="minorEastAsia" w:hAnsiTheme="minorHAnsi" w:cstheme="minorBidi"/>
          <w:szCs w:val="22"/>
        </w:rPr>
      </w:pPr>
      <w:r>
        <w:t>110A</w:t>
      </w:r>
      <w:r>
        <w:rPr>
          <w:snapToGrid w:val="0"/>
        </w:rPr>
        <w:t>.</w:t>
      </w:r>
      <w:r>
        <w:rPr>
          <w:snapToGrid w:val="0"/>
        </w:rPr>
        <w:tab/>
        <w:t>Measuring instruments used for trade</w:t>
      </w:r>
      <w:r>
        <w:tab/>
      </w:r>
      <w:r>
        <w:fldChar w:fldCharType="begin"/>
      </w:r>
      <w:r>
        <w:instrText xml:space="preserve"> PAGEREF _Toc390077153 \h </w:instrText>
      </w:r>
      <w:r>
        <w:fldChar w:fldCharType="separate"/>
      </w:r>
      <w:r>
        <w:t>62</w:t>
      </w:r>
      <w:r>
        <w:fldChar w:fldCharType="end"/>
      </w:r>
    </w:p>
    <w:p>
      <w:pPr>
        <w:pStyle w:val="TOC8"/>
        <w:rPr>
          <w:rFonts w:asciiTheme="minorHAnsi" w:eastAsiaTheme="minorEastAsia" w:hAnsiTheme="minorHAnsi" w:cstheme="minorBidi"/>
          <w:szCs w:val="22"/>
        </w:rPr>
      </w:pPr>
      <w:r>
        <w:t>110B</w:t>
      </w:r>
      <w:r>
        <w:rPr>
          <w:snapToGrid w:val="0"/>
        </w:rPr>
        <w:t>.</w:t>
      </w:r>
      <w:r>
        <w:rPr>
          <w:snapToGrid w:val="0"/>
        </w:rPr>
        <w:tab/>
        <w:t>Measuring instruments subject to disturbances etc.</w:t>
      </w:r>
      <w:r>
        <w:tab/>
      </w:r>
      <w:r>
        <w:fldChar w:fldCharType="begin"/>
      </w:r>
      <w:r>
        <w:instrText xml:space="preserve"> PAGEREF _Toc390077154 \h </w:instrText>
      </w:r>
      <w:r>
        <w:fldChar w:fldCharType="separate"/>
      </w:r>
      <w:r>
        <w:t>63</w:t>
      </w:r>
      <w:r>
        <w:fldChar w:fldCharType="end"/>
      </w:r>
    </w:p>
    <w:p>
      <w:pPr>
        <w:pStyle w:val="TOC8"/>
        <w:rPr>
          <w:rFonts w:asciiTheme="minorHAnsi" w:eastAsiaTheme="minorEastAsia" w:hAnsiTheme="minorHAnsi" w:cstheme="minorBidi"/>
          <w:szCs w:val="22"/>
        </w:rPr>
      </w:pPr>
      <w:r>
        <w:t>110C</w:t>
      </w:r>
      <w:r>
        <w:rPr>
          <w:snapToGrid w:val="0"/>
        </w:rPr>
        <w:t>.</w:t>
      </w:r>
      <w:r>
        <w:rPr>
          <w:snapToGrid w:val="0"/>
        </w:rPr>
        <w:tab/>
        <w:t>Measuring instruments to be of approved type</w:t>
      </w:r>
      <w:r>
        <w:tab/>
      </w:r>
      <w:r>
        <w:fldChar w:fldCharType="begin"/>
      </w:r>
      <w:r>
        <w:instrText xml:space="preserve"> PAGEREF _Toc390077155 \h </w:instrText>
      </w:r>
      <w:r>
        <w:fldChar w:fldCharType="separate"/>
      </w:r>
      <w:r>
        <w:t>63</w:t>
      </w:r>
      <w:r>
        <w:fldChar w:fldCharType="end"/>
      </w:r>
    </w:p>
    <w:p>
      <w:pPr>
        <w:pStyle w:val="TOC8"/>
        <w:rPr>
          <w:rFonts w:asciiTheme="minorHAnsi" w:eastAsiaTheme="minorEastAsia" w:hAnsiTheme="minorHAnsi" w:cstheme="minorBidi"/>
          <w:szCs w:val="22"/>
        </w:rPr>
      </w:pPr>
      <w:r>
        <w:t>110D</w:t>
      </w:r>
      <w:r>
        <w:rPr>
          <w:snapToGrid w:val="0"/>
        </w:rPr>
        <w:t>.</w:t>
      </w:r>
      <w:r>
        <w:rPr>
          <w:snapToGrid w:val="0"/>
        </w:rPr>
        <w:tab/>
        <w:t>Miscellaneous measuring instruments</w:t>
      </w:r>
      <w:r>
        <w:tab/>
      </w:r>
      <w:r>
        <w:fldChar w:fldCharType="begin"/>
      </w:r>
      <w:r>
        <w:instrText xml:space="preserve"> PAGEREF _Toc390077156 \h </w:instrText>
      </w:r>
      <w:r>
        <w:fldChar w:fldCharType="separate"/>
      </w:r>
      <w:r>
        <w:t>64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Petrol measuring instruments</w:t>
      </w:r>
      <w:r>
        <w:tab/>
      </w:r>
      <w:r>
        <w:fldChar w:fldCharType="begin"/>
      </w:r>
      <w:r>
        <w:instrText xml:space="preserve"> PAGEREF _Toc390077157 \h </w:instrText>
      </w:r>
      <w:r>
        <w:fldChar w:fldCharType="separate"/>
      </w:r>
      <w:r>
        <w:t>64</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Manual petrol measuring instruments</w:t>
      </w:r>
      <w:r>
        <w:tab/>
      </w:r>
      <w:r>
        <w:fldChar w:fldCharType="begin"/>
      </w:r>
      <w:r>
        <w:instrText xml:space="preserve"> PAGEREF _Toc390077158 \h </w:instrText>
      </w:r>
      <w:r>
        <w:fldChar w:fldCharType="separate"/>
      </w:r>
      <w:r>
        <w:t>65</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Tolerance</w:t>
      </w:r>
      <w:r>
        <w:tab/>
      </w:r>
      <w:r>
        <w:fldChar w:fldCharType="begin"/>
      </w:r>
      <w:r>
        <w:instrText xml:space="preserve"> PAGEREF _Toc390077159 \h </w:instrText>
      </w:r>
      <w:r>
        <w:fldChar w:fldCharType="separate"/>
      </w:r>
      <w:r>
        <w:t>66</w:t>
      </w:r>
      <w:r>
        <w:fldChar w:fldCharType="end"/>
      </w:r>
    </w:p>
    <w:p>
      <w:pPr>
        <w:pStyle w:val="TOC8"/>
        <w:rPr>
          <w:rFonts w:asciiTheme="minorHAnsi" w:eastAsiaTheme="minorEastAsia" w:hAnsiTheme="minorHAnsi" w:cstheme="minorBidi"/>
          <w:szCs w:val="22"/>
        </w:rPr>
      </w:pPr>
      <w:r>
        <w:t>113A</w:t>
      </w:r>
      <w:r>
        <w:rPr>
          <w:snapToGrid w:val="0"/>
        </w:rPr>
        <w:t>.</w:t>
      </w:r>
      <w:r>
        <w:rPr>
          <w:snapToGrid w:val="0"/>
        </w:rPr>
        <w:tab/>
        <w:t>Petrol and kerosene drum</w:t>
      </w:r>
      <w:r>
        <w:rPr>
          <w:snapToGrid w:val="0"/>
        </w:rPr>
        <w:noBreakHyphen/>
        <w:t>filling machines</w:t>
      </w:r>
      <w:r>
        <w:tab/>
      </w:r>
      <w:r>
        <w:fldChar w:fldCharType="begin"/>
      </w:r>
      <w:r>
        <w:instrText xml:space="preserve"> PAGEREF _Toc390077160 \h </w:instrText>
      </w:r>
      <w:r>
        <w:fldChar w:fldCharType="separate"/>
      </w:r>
      <w:r>
        <w:t>66</w:t>
      </w:r>
      <w:r>
        <w:fldChar w:fldCharType="end"/>
      </w:r>
    </w:p>
    <w:p>
      <w:pPr>
        <w:pStyle w:val="TOC8"/>
        <w:rPr>
          <w:rFonts w:asciiTheme="minorHAnsi" w:eastAsiaTheme="minorEastAsia" w:hAnsiTheme="minorHAnsi" w:cstheme="minorBidi"/>
          <w:szCs w:val="22"/>
        </w:rPr>
      </w:pPr>
      <w:r>
        <w:t>113B</w:t>
      </w:r>
      <w:r>
        <w:rPr>
          <w:snapToGrid w:val="0"/>
        </w:rPr>
        <w:t>.</w:t>
      </w:r>
      <w:r>
        <w:rPr>
          <w:snapToGrid w:val="0"/>
        </w:rPr>
        <w:tab/>
        <w:t>Wholesale flow meters</w:t>
      </w:r>
      <w:r>
        <w:tab/>
      </w:r>
      <w:r>
        <w:fldChar w:fldCharType="begin"/>
      </w:r>
      <w:r>
        <w:instrText xml:space="preserve"> PAGEREF _Toc390077161 \h </w:instrText>
      </w:r>
      <w:r>
        <w:fldChar w:fldCharType="separate"/>
      </w:r>
      <w:r>
        <w:t>67</w:t>
      </w:r>
      <w:r>
        <w:fldChar w:fldCharType="end"/>
      </w:r>
    </w:p>
    <w:p>
      <w:pPr>
        <w:pStyle w:val="TOC8"/>
        <w:rPr>
          <w:rFonts w:asciiTheme="minorHAnsi" w:eastAsiaTheme="minorEastAsia" w:hAnsiTheme="minorHAnsi" w:cstheme="minorBidi"/>
          <w:szCs w:val="22"/>
        </w:rPr>
      </w:pPr>
      <w:r>
        <w:t>113C</w:t>
      </w:r>
      <w:r>
        <w:rPr>
          <w:snapToGrid w:val="0"/>
        </w:rPr>
        <w:t>.</w:t>
      </w:r>
      <w:r>
        <w:rPr>
          <w:snapToGrid w:val="0"/>
        </w:rPr>
        <w:tab/>
        <w:t>Restrictions on wholesale flow meters</w:t>
      </w:r>
      <w:r>
        <w:tab/>
      </w:r>
      <w:r>
        <w:fldChar w:fldCharType="begin"/>
      </w:r>
      <w:r>
        <w:instrText xml:space="preserve"> PAGEREF _Toc390077162 \h </w:instrText>
      </w:r>
      <w:r>
        <w:fldChar w:fldCharType="separate"/>
      </w:r>
      <w:r>
        <w:t>69</w:t>
      </w:r>
      <w:r>
        <w:fldChar w:fldCharType="end"/>
      </w:r>
    </w:p>
    <w:p>
      <w:pPr>
        <w:pStyle w:val="TOC8"/>
        <w:rPr>
          <w:rFonts w:asciiTheme="minorHAnsi" w:eastAsiaTheme="minorEastAsia" w:hAnsiTheme="minorHAnsi" w:cstheme="minorBidi"/>
          <w:szCs w:val="22"/>
        </w:rPr>
      </w:pPr>
      <w:r>
        <w:t>113D</w:t>
      </w:r>
      <w:r>
        <w:rPr>
          <w:snapToGrid w:val="0"/>
        </w:rPr>
        <w:t>.</w:t>
      </w:r>
      <w:r>
        <w:rPr>
          <w:snapToGrid w:val="0"/>
        </w:rPr>
        <w:tab/>
        <w:t>Restrictions on use of drum filling meters</w:t>
      </w:r>
      <w:r>
        <w:tab/>
      </w:r>
      <w:r>
        <w:fldChar w:fldCharType="begin"/>
      </w:r>
      <w:r>
        <w:instrText xml:space="preserve"> PAGEREF _Toc390077163 \h </w:instrText>
      </w:r>
      <w:r>
        <w:fldChar w:fldCharType="separate"/>
      </w:r>
      <w:r>
        <w:t>70</w:t>
      </w:r>
      <w:r>
        <w:fldChar w:fldCharType="end"/>
      </w:r>
    </w:p>
    <w:p>
      <w:pPr>
        <w:pStyle w:val="TOC8"/>
        <w:rPr>
          <w:rFonts w:asciiTheme="minorHAnsi" w:eastAsiaTheme="minorEastAsia" w:hAnsiTheme="minorHAnsi" w:cstheme="minorBidi"/>
          <w:szCs w:val="22"/>
        </w:rPr>
      </w:pPr>
      <w:r>
        <w:t>113DD</w:t>
      </w:r>
      <w:r>
        <w:rPr>
          <w:snapToGrid w:val="0"/>
        </w:rPr>
        <w:t>.</w:t>
      </w:r>
      <w:r>
        <w:rPr>
          <w:snapToGrid w:val="0"/>
        </w:rPr>
        <w:tab/>
        <w:t>Calibrated tanks</w:t>
      </w:r>
      <w:r>
        <w:tab/>
      </w:r>
      <w:r>
        <w:fldChar w:fldCharType="begin"/>
      </w:r>
      <w:r>
        <w:instrText xml:space="preserve"> PAGEREF _Toc390077164 \h </w:instrText>
      </w:r>
      <w:r>
        <w:fldChar w:fldCharType="separate"/>
      </w:r>
      <w:r>
        <w:t>70</w:t>
      </w:r>
      <w:r>
        <w:fldChar w:fldCharType="end"/>
      </w:r>
    </w:p>
    <w:p>
      <w:pPr>
        <w:pStyle w:val="TOC8"/>
        <w:rPr>
          <w:rFonts w:asciiTheme="minorHAnsi" w:eastAsiaTheme="minorEastAsia" w:hAnsiTheme="minorHAnsi" w:cstheme="minorBidi"/>
          <w:szCs w:val="22"/>
        </w:rPr>
      </w:pPr>
      <w:r>
        <w:t>113E</w:t>
      </w:r>
      <w:r>
        <w:rPr>
          <w:snapToGrid w:val="0"/>
        </w:rPr>
        <w:t>.</w:t>
      </w:r>
      <w:r>
        <w:rPr>
          <w:snapToGrid w:val="0"/>
        </w:rPr>
        <w:tab/>
        <w:t>Retail flow meters</w:t>
      </w:r>
      <w:r>
        <w:tab/>
      </w:r>
      <w:r>
        <w:fldChar w:fldCharType="begin"/>
      </w:r>
      <w:r>
        <w:instrText xml:space="preserve"> PAGEREF _Toc390077165 \h </w:instrText>
      </w:r>
      <w:r>
        <w:fldChar w:fldCharType="separate"/>
      </w:r>
      <w:r>
        <w:t>74</w:t>
      </w:r>
      <w:r>
        <w:fldChar w:fldCharType="end"/>
      </w:r>
    </w:p>
    <w:p>
      <w:pPr>
        <w:pStyle w:val="TOC8"/>
        <w:rPr>
          <w:rFonts w:asciiTheme="minorHAnsi" w:eastAsiaTheme="minorEastAsia" w:hAnsiTheme="minorHAnsi" w:cstheme="minorBidi"/>
          <w:szCs w:val="22"/>
        </w:rPr>
      </w:pPr>
      <w:r>
        <w:t>113F</w:t>
      </w:r>
      <w:r>
        <w:rPr>
          <w:snapToGrid w:val="0"/>
        </w:rPr>
        <w:t>.</w:t>
      </w:r>
      <w:r>
        <w:rPr>
          <w:snapToGrid w:val="0"/>
        </w:rPr>
        <w:tab/>
        <w:t>Restrictions on retail flow meters</w:t>
      </w:r>
      <w:r>
        <w:tab/>
      </w:r>
      <w:r>
        <w:fldChar w:fldCharType="begin"/>
      </w:r>
      <w:r>
        <w:instrText xml:space="preserve"> PAGEREF _Toc390077166 \h </w:instrText>
      </w:r>
      <w:r>
        <w:fldChar w:fldCharType="separate"/>
      </w:r>
      <w:r>
        <w:t>78</w:t>
      </w:r>
      <w:r>
        <w:fldChar w:fldCharType="end"/>
      </w:r>
    </w:p>
    <w:p>
      <w:pPr>
        <w:pStyle w:val="TOC8"/>
        <w:rPr>
          <w:rFonts w:asciiTheme="minorHAnsi" w:eastAsiaTheme="minorEastAsia" w:hAnsiTheme="minorHAnsi" w:cstheme="minorBidi"/>
          <w:szCs w:val="22"/>
        </w:rPr>
      </w:pPr>
      <w:r>
        <w:t>113G</w:t>
      </w:r>
      <w:r>
        <w:rPr>
          <w:snapToGrid w:val="0"/>
        </w:rPr>
        <w:t>.</w:t>
      </w:r>
      <w:r>
        <w:rPr>
          <w:snapToGrid w:val="0"/>
        </w:rPr>
        <w:tab/>
        <w:t>Calibrating measures and instruments</w:t>
      </w:r>
      <w:r>
        <w:tab/>
      </w:r>
      <w:r>
        <w:fldChar w:fldCharType="begin"/>
      </w:r>
      <w:r>
        <w:instrText xml:space="preserve"> PAGEREF _Toc390077167 \h </w:instrText>
      </w:r>
      <w:r>
        <w:fldChar w:fldCharType="separate"/>
      </w:r>
      <w:r>
        <w:t>78</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Fabric measuring instruments</w:t>
      </w:r>
      <w:r>
        <w:tab/>
      </w:r>
      <w:r>
        <w:fldChar w:fldCharType="begin"/>
      </w:r>
      <w:r>
        <w:instrText xml:space="preserve"> PAGEREF _Toc390077168 \h </w:instrText>
      </w:r>
      <w:r>
        <w:fldChar w:fldCharType="separate"/>
      </w:r>
      <w:r>
        <w:t>80</w:t>
      </w:r>
      <w:r>
        <w:fldChar w:fldCharType="end"/>
      </w:r>
    </w:p>
    <w:p>
      <w:pPr>
        <w:pStyle w:val="TOC8"/>
        <w:rPr>
          <w:rFonts w:asciiTheme="minorHAnsi" w:eastAsiaTheme="minorEastAsia" w:hAnsiTheme="minorHAnsi" w:cstheme="minorBidi"/>
          <w:szCs w:val="22"/>
        </w:rPr>
      </w:pPr>
      <w:r>
        <w:t>114A</w:t>
      </w:r>
      <w:r>
        <w:rPr>
          <w:snapToGrid w:val="0"/>
        </w:rPr>
        <w:t>.</w:t>
      </w:r>
      <w:r>
        <w:rPr>
          <w:snapToGrid w:val="0"/>
        </w:rPr>
        <w:tab/>
        <w:t>Design and construction of fabric measuring machines</w:t>
      </w:r>
      <w:r>
        <w:tab/>
      </w:r>
      <w:r>
        <w:fldChar w:fldCharType="begin"/>
      </w:r>
      <w:r>
        <w:instrText xml:space="preserve"> PAGEREF _Toc390077169 \h </w:instrText>
      </w:r>
      <w:r>
        <w:fldChar w:fldCharType="separate"/>
      </w:r>
      <w:r>
        <w:t>81</w:t>
      </w:r>
      <w:r>
        <w:fldChar w:fldCharType="end"/>
      </w:r>
    </w:p>
    <w:p>
      <w:pPr>
        <w:pStyle w:val="TOC8"/>
        <w:rPr>
          <w:rFonts w:asciiTheme="minorHAnsi" w:eastAsiaTheme="minorEastAsia" w:hAnsiTheme="minorHAnsi" w:cstheme="minorBidi"/>
          <w:szCs w:val="22"/>
        </w:rPr>
      </w:pPr>
      <w:r>
        <w:t>114B</w:t>
      </w:r>
      <w:r>
        <w:rPr>
          <w:snapToGrid w:val="0"/>
        </w:rPr>
        <w:t>.</w:t>
      </w:r>
      <w:r>
        <w:rPr>
          <w:snapToGrid w:val="0"/>
        </w:rPr>
        <w:tab/>
        <w:t>Limitations to be indicated</w:t>
      </w:r>
      <w:r>
        <w:tab/>
      </w:r>
      <w:r>
        <w:fldChar w:fldCharType="begin"/>
      </w:r>
      <w:r>
        <w:instrText xml:space="preserve"> PAGEREF _Toc390077170 \h </w:instrText>
      </w:r>
      <w:r>
        <w:fldChar w:fldCharType="separate"/>
      </w:r>
      <w:r>
        <w:t>81</w:t>
      </w:r>
      <w:r>
        <w:fldChar w:fldCharType="end"/>
      </w:r>
    </w:p>
    <w:p>
      <w:pPr>
        <w:pStyle w:val="TOC8"/>
        <w:rPr>
          <w:rFonts w:asciiTheme="minorHAnsi" w:eastAsiaTheme="minorEastAsia" w:hAnsiTheme="minorHAnsi" w:cstheme="minorBidi"/>
          <w:szCs w:val="22"/>
        </w:rPr>
      </w:pPr>
      <w:r>
        <w:t>114C</w:t>
      </w:r>
      <w:r>
        <w:rPr>
          <w:snapToGrid w:val="0"/>
        </w:rPr>
        <w:t>.</w:t>
      </w:r>
      <w:r>
        <w:rPr>
          <w:snapToGrid w:val="0"/>
        </w:rPr>
        <w:tab/>
        <w:t>Adjusting devices</w:t>
      </w:r>
      <w:r>
        <w:tab/>
      </w:r>
      <w:r>
        <w:fldChar w:fldCharType="begin"/>
      </w:r>
      <w:r>
        <w:instrText xml:space="preserve"> PAGEREF _Toc390077171 \h </w:instrText>
      </w:r>
      <w:r>
        <w:fldChar w:fldCharType="separate"/>
      </w:r>
      <w:r>
        <w:t>82</w:t>
      </w:r>
      <w:r>
        <w:fldChar w:fldCharType="end"/>
      </w:r>
    </w:p>
    <w:p>
      <w:pPr>
        <w:pStyle w:val="TOC8"/>
        <w:rPr>
          <w:rFonts w:asciiTheme="minorHAnsi" w:eastAsiaTheme="minorEastAsia" w:hAnsiTheme="minorHAnsi" w:cstheme="minorBidi"/>
          <w:szCs w:val="22"/>
        </w:rPr>
      </w:pPr>
      <w:r>
        <w:t>114D</w:t>
      </w:r>
      <w:r>
        <w:rPr>
          <w:snapToGrid w:val="0"/>
        </w:rPr>
        <w:t>.</w:t>
      </w:r>
      <w:r>
        <w:rPr>
          <w:snapToGrid w:val="0"/>
        </w:rPr>
        <w:tab/>
        <w:t>Tolerance</w:t>
      </w:r>
      <w:r>
        <w:tab/>
      </w:r>
      <w:r>
        <w:fldChar w:fldCharType="begin"/>
      </w:r>
      <w:r>
        <w:instrText xml:space="preserve"> PAGEREF _Toc390077172 \h </w:instrText>
      </w:r>
      <w:r>
        <w:fldChar w:fldCharType="separate"/>
      </w:r>
      <w:r>
        <w:t>82</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Leather measuring instruments</w:t>
      </w:r>
      <w:r>
        <w:tab/>
      </w:r>
      <w:r>
        <w:fldChar w:fldCharType="begin"/>
      </w:r>
      <w:r>
        <w:instrText xml:space="preserve"> PAGEREF _Toc390077173 \h </w:instrText>
      </w:r>
      <w:r>
        <w:fldChar w:fldCharType="separate"/>
      </w:r>
      <w:r>
        <w:t>82</w:t>
      </w:r>
      <w:r>
        <w:fldChar w:fldCharType="end"/>
      </w:r>
    </w:p>
    <w:p>
      <w:pPr>
        <w:pStyle w:val="TOC8"/>
        <w:rPr>
          <w:rFonts w:asciiTheme="minorHAnsi" w:eastAsiaTheme="minorEastAsia" w:hAnsiTheme="minorHAnsi" w:cstheme="minorBidi"/>
          <w:szCs w:val="22"/>
        </w:rPr>
      </w:pPr>
      <w:r>
        <w:t>115A</w:t>
      </w:r>
      <w:r>
        <w:rPr>
          <w:snapToGrid w:val="0"/>
        </w:rPr>
        <w:t>.</w:t>
      </w:r>
      <w:r>
        <w:rPr>
          <w:snapToGrid w:val="0"/>
        </w:rPr>
        <w:tab/>
        <w:t>Tolerance</w:t>
      </w:r>
      <w:r>
        <w:tab/>
      </w:r>
      <w:r>
        <w:fldChar w:fldCharType="begin"/>
      </w:r>
      <w:r>
        <w:instrText xml:space="preserve"> PAGEREF _Toc390077174 \h </w:instrText>
      </w:r>
      <w:r>
        <w:fldChar w:fldCharType="separate"/>
      </w:r>
      <w:r>
        <w:t>83</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Chondrometer</w:t>
      </w:r>
      <w:r>
        <w:tab/>
      </w:r>
      <w:r>
        <w:fldChar w:fldCharType="begin"/>
      </w:r>
      <w:r>
        <w:instrText xml:space="preserve"> PAGEREF _Toc390077175 \h </w:instrText>
      </w:r>
      <w:r>
        <w:fldChar w:fldCharType="separate"/>
      </w:r>
      <w:r>
        <w:t>83</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Steelyards of chondrometers</w:t>
      </w:r>
      <w:r>
        <w:tab/>
      </w:r>
      <w:r>
        <w:fldChar w:fldCharType="begin"/>
      </w:r>
      <w:r>
        <w:instrText xml:space="preserve"> PAGEREF _Toc390077176 \h </w:instrText>
      </w:r>
      <w:r>
        <w:fldChar w:fldCharType="separate"/>
      </w:r>
      <w:r>
        <w:t>84</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Graduations on chondrometers</w:t>
      </w:r>
      <w:r>
        <w:tab/>
      </w:r>
      <w:r>
        <w:fldChar w:fldCharType="begin"/>
      </w:r>
      <w:r>
        <w:instrText xml:space="preserve"> PAGEREF _Toc390077177 \h </w:instrText>
      </w:r>
      <w:r>
        <w:fldChar w:fldCharType="separate"/>
      </w:r>
      <w:r>
        <w:t>84</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Tolerance</w:t>
      </w:r>
      <w:r>
        <w:tab/>
      </w:r>
      <w:r>
        <w:fldChar w:fldCharType="begin"/>
      </w:r>
      <w:r>
        <w:instrText xml:space="preserve"> PAGEREF _Toc390077178 \h </w:instrText>
      </w:r>
      <w:r>
        <w:fldChar w:fldCharType="separate"/>
      </w:r>
      <w:r>
        <w:t>84</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Chondrometers to be cased</w:t>
      </w:r>
      <w:r>
        <w:tab/>
      </w:r>
      <w:r>
        <w:fldChar w:fldCharType="begin"/>
      </w:r>
      <w:r>
        <w:instrText xml:space="preserve"> PAGEREF _Toc390077179 \h </w:instrText>
      </w:r>
      <w:r>
        <w:fldChar w:fldCharType="separate"/>
      </w:r>
      <w:r>
        <w:t>84</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Application for verification</w:t>
      </w:r>
      <w:r>
        <w:tab/>
      </w:r>
      <w:r>
        <w:fldChar w:fldCharType="begin"/>
      </w:r>
      <w:r>
        <w:instrText xml:space="preserve"> PAGEREF _Toc390077180 \h </w:instrText>
      </w:r>
      <w:r>
        <w:fldChar w:fldCharType="separate"/>
      </w:r>
      <w:r>
        <w:t>85</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Verification in metropolitan office</w:t>
      </w:r>
      <w:r>
        <w:tab/>
      </w:r>
      <w:r>
        <w:fldChar w:fldCharType="begin"/>
      </w:r>
      <w:r>
        <w:instrText xml:space="preserve"> PAGEREF _Toc390077181 \h </w:instrText>
      </w:r>
      <w:r>
        <w:fldChar w:fldCharType="separate"/>
      </w:r>
      <w:r>
        <w:t>85</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Verification of weighbridges and fixed instruments</w:t>
      </w:r>
      <w:r>
        <w:tab/>
      </w:r>
      <w:r>
        <w:fldChar w:fldCharType="begin"/>
      </w:r>
      <w:r>
        <w:instrText xml:space="preserve"> PAGEREF _Toc390077182 \h </w:instrText>
      </w:r>
      <w:r>
        <w:fldChar w:fldCharType="separate"/>
      </w:r>
      <w:r>
        <w:t>85</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Verification of other weights, measures and instruments</w:t>
      </w:r>
      <w:r>
        <w:tab/>
      </w:r>
      <w:r>
        <w:fldChar w:fldCharType="begin"/>
      </w:r>
      <w:r>
        <w:instrText xml:space="preserve"> PAGEREF _Toc390077183 \h </w:instrText>
      </w:r>
      <w:r>
        <w:fldChar w:fldCharType="separate"/>
      </w:r>
      <w:r>
        <w:t>86</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Obligations of applicant</w:t>
      </w:r>
      <w:r>
        <w:tab/>
      </w:r>
      <w:r>
        <w:fldChar w:fldCharType="begin"/>
      </w:r>
      <w:r>
        <w:instrText xml:space="preserve"> PAGEREF _Toc390077184 \h </w:instrText>
      </w:r>
      <w:r>
        <w:fldChar w:fldCharType="separate"/>
      </w:r>
      <w:r>
        <w:t>86</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Further obligations of applicant</w:t>
      </w:r>
      <w:r>
        <w:tab/>
      </w:r>
      <w:r>
        <w:fldChar w:fldCharType="begin"/>
      </w:r>
      <w:r>
        <w:instrText xml:space="preserve"> PAGEREF _Toc390077185 \h </w:instrText>
      </w:r>
      <w:r>
        <w:fldChar w:fldCharType="separate"/>
      </w:r>
      <w:r>
        <w:t>87</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Exemption from stamping</w:t>
      </w:r>
      <w:r>
        <w:tab/>
      </w:r>
      <w:r>
        <w:fldChar w:fldCharType="begin"/>
      </w:r>
      <w:r>
        <w:instrText xml:space="preserve"> PAGEREF _Toc390077186 \h </w:instrText>
      </w:r>
      <w:r>
        <w:fldChar w:fldCharType="separate"/>
      </w:r>
      <w:r>
        <w:t>88</w:t>
      </w:r>
      <w:r>
        <w:fldChar w:fldCharType="end"/>
      </w:r>
    </w:p>
    <w:p>
      <w:pPr>
        <w:pStyle w:val="TOC8"/>
        <w:rPr>
          <w:rFonts w:asciiTheme="minorHAnsi" w:eastAsiaTheme="minorEastAsia" w:hAnsiTheme="minorHAnsi" w:cstheme="minorBidi"/>
          <w:szCs w:val="22"/>
        </w:rPr>
      </w:pPr>
      <w:r>
        <w:t>128</w:t>
      </w:r>
      <w:r>
        <w:rPr>
          <w:snapToGrid w:val="0"/>
        </w:rPr>
        <w:t>.</w:t>
      </w:r>
      <w:r>
        <w:rPr>
          <w:snapToGrid w:val="0"/>
        </w:rPr>
        <w:tab/>
        <w:t>Weighbridges</w:t>
      </w:r>
      <w:r>
        <w:tab/>
      </w:r>
      <w:r>
        <w:fldChar w:fldCharType="begin"/>
      </w:r>
      <w:r>
        <w:instrText xml:space="preserve"> PAGEREF _Toc390077187 \h </w:instrText>
      </w:r>
      <w:r>
        <w:fldChar w:fldCharType="separate"/>
      </w:r>
      <w:r>
        <w:t>88</w:t>
      </w:r>
      <w:r>
        <w:fldChar w:fldCharType="end"/>
      </w:r>
    </w:p>
    <w:p>
      <w:pPr>
        <w:pStyle w:val="TOC8"/>
        <w:rPr>
          <w:rFonts w:asciiTheme="minorHAnsi" w:eastAsiaTheme="minorEastAsia" w:hAnsiTheme="minorHAnsi" w:cstheme="minorBidi"/>
          <w:szCs w:val="22"/>
        </w:rPr>
      </w:pPr>
      <w:r>
        <w:t>128A</w:t>
      </w:r>
      <w:r>
        <w:rPr>
          <w:snapToGrid w:val="0"/>
        </w:rPr>
        <w:t>.</w:t>
      </w:r>
      <w:r>
        <w:rPr>
          <w:snapToGrid w:val="0"/>
        </w:rPr>
        <w:tab/>
        <w:t>Calibrating measures</w:t>
      </w:r>
      <w:r>
        <w:tab/>
      </w:r>
      <w:r>
        <w:fldChar w:fldCharType="begin"/>
      </w:r>
      <w:r>
        <w:instrText xml:space="preserve"> PAGEREF _Toc390077188 \h </w:instrText>
      </w:r>
      <w:r>
        <w:fldChar w:fldCharType="separate"/>
      </w:r>
      <w:r>
        <w:t>88</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Pit</w:t>
      </w:r>
      <w:r>
        <w:rPr>
          <w:snapToGrid w:val="0"/>
        </w:rPr>
        <w:noBreakHyphen/>
        <w:t>bank weighing instruments</w:t>
      </w:r>
      <w:r>
        <w:tab/>
      </w:r>
      <w:r>
        <w:fldChar w:fldCharType="begin"/>
      </w:r>
      <w:r>
        <w:instrText xml:space="preserve"> PAGEREF _Toc390077189 \h </w:instrText>
      </w:r>
      <w:r>
        <w:fldChar w:fldCharType="separate"/>
      </w:r>
      <w:r>
        <w:t>88</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Notification to coal mine owners</w:t>
      </w:r>
      <w:r>
        <w:tab/>
      </w:r>
      <w:r>
        <w:fldChar w:fldCharType="begin"/>
      </w:r>
      <w:r>
        <w:instrText xml:space="preserve"> PAGEREF _Toc390077190 \h </w:instrText>
      </w:r>
      <w:r>
        <w:fldChar w:fldCharType="separate"/>
      </w:r>
      <w:r>
        <w:t>89</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Obligation of owner etc. of coal mine</w:t>
      </w:r>
      <w:r>
        <w:tab/>
      </w:r>
      <w:r>
        <w:fldChar w:fldCharType="begin"/>
      </w:r>
      <w:r>
        <w:instrText xml:space="preserve"> PAGEREF _Toc390077191 \h </w:instrText>
      </w:r>
      <w:r>
        <w:fldChar w:fldCharType="separate"/>
      </w:r>
      <w:r>
        <w:t>89</w:t>
      </w:r>
      <w:r>
        <w:fldChar w:fldCharType="end"/>
      </w:r>
    </w:p>
    <w:p>
      <w:pPr>
        <w:pStyle w:val="TOC2"/>
        <w:tabs>
          <w:tab w:val="right" w:leader="dot" w:pos="7078"/>
        </w:tabs>
        <w:rPr>
          <w:rFonts w:asciiTheme="minorHAnsi" w:eastAsiaTheme="minorEastAsia" w:hAnsiTheme="minorHAnsi" w:cstheme="minorBidi"/>
          <w:b w:val="0"/>
          <w:sz w:val="22"/>
          <w:szCs w:val="22"/>
        </w:rPr>
      </w:pPr>
      <w:r>
        <w:t>Part V</w:t>
      </w:r>
    </w:p>
    <w:p>
      <w:pPr>
        <w:pStyle w:val="TOC8"/>
        <w:rPr>
          <w:rFonts w:asciiTheme="minorHAnsi" w:eastAsiaTheme="minorEastAsia" w:hAnsiTheme="minorHAnsi" w:cstheme="minorBidi"/>
          <w:szCs w:val="22"/>
        </w:rPr>
      </w:pPr>
      <w:r>
        <w:t>1</w:t>
      </w:r>
      <w:r>
        <w:rPr>
          <w:snapToGrid w:val="0"/>
        </w:rPr>
        <w:t>.</w:t>
      </w:r>
      <w:r>
        <w:rPr>
          <w:snapToGrid w:val="0"/>
        </w:rPr>
        <w:tab/>
        <w:t>Use of weights etc. other than for intended purpose</w:t>
      </w:r>
      <w:r>
        <w:tab/>
      </w:r>
      <w:r>
        <w:fldChar w:fldCharType="begin"/>
      </w:r>
      <w:r>
        <w:instrText xml:space="preserve"> PAGEREF _Toc390077193 \h </w:instrText>
      </w:r>
      <w:r>
        <w:fldChar w:fldCharType="separate"/>
      </w:r>
      <w:r>
        <w:t>90</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Measuring liquid for sale</w:t>
      </w:r>
      <w:r>
        <w:tab/>
      </w:r>
      <w:r>
        <w:fldChar w:fldCharType="begin"/>
      </w:r>
      <w:r>
        <w:instrText xml:space="preserve"> PAGEREF _Toc390077194 \h </w:instrText>
      </w:r>
      <w:r>
        <w:fldChar w:fldCharType="separate"/>
      </w:r>
      <w:r>
        <w:t>91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Limitations on use of weights, measures and instruments</w:t>
      </w:r>
      <w:r>
        <w:tab/>
      </w:r>
      <w:r>
        <w:fldChar w:fldCharType="begin"/>
      </w:r>
      <w:r>
        <w:instrText xml:space="preserve"> PAGEREF _Toc390077195 \h </w:instrText>
      </w:r>
      <w:r>
        <w:fldChar w:fldCharType="separate"/>
      </w:r>
      <w:r>
        <w:t>92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Spillage to be prevented when delivering liquid</w:t>
      </w:r>
      <w:r>
        <w:tab/>
      </w:r>
      <w:r>
        <w:fldChar w:fldCharType="begin"/>
      </w:r>
      <w:r>
        <w:instrText xml:space="preserve"> PAGEREF _Toc390077196 \h </w:instrText>
      </w:r>
      <w:r>
        <w:fldChar w:fldCharType="separate"/>
      </w:r>
      <w:r>
        <w:t>93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Instruments to be identified if 2 or more on same premises</w:t>
      </w:r>
      <w:r>
        <w:tab/>
      </w:r>
      <w:r>
        <w:fldChar w:fldCharType="begin"/>
      </w:r>
      <w:r>
        <w:instrText xml:space="preserve"> PAGEREF _Toc390077197 \h </w:instrText>
      </w:r>
      <w:r>
        <w:fldChar w:fldCharType="separate"/>
      </w:r>
      <w:r>
        <w:t>93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Change of ownership of weighing machine or instrument</w:t>
      </w:r>
      <w:r>
        <w:tab/>
      </w:r>
      <w:r>
        <w:fldChar w:fldCharType="begin"/>
      </w:r>
      <w:r>
        <w:instrText xml:space="preserve"> PAGEREF _Toc390077198 \h </w:instrText>
      </w:r>
      <w:r>
        <w:fldChar w:fldCharType="separate"/>
      </w:r>
      <w:r>
        <w:t>94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Notification of sale by manufacturer or trader</w:t>
      </w:r>
      <w:r>
        <w:tab/>
      </w:r>
      <w:r>
        <w:fldChar w:fldCharType="begin"/>
      </w:r>
      <w:r>
        <w:instrText xml:space="preserve"> PAGEREF _Toc390077199 \h </w:instrText>
      </w:r>
      <w:r>
        <w:fldChar w:fldCharType="separate"/>
      </w:r>
      <w:r>
        <w:t>94</w:t>
      </w:r>
      <w:r>
        <w:fldChar w:fldCharType="end"/>
      </w:r>
    </w:p>
    <w:p>
      <w:pPr>
        <w:pStyle w:val="TOC2"/>
        <w:tabs>
          <w:tab w:val="right" w:leader="dot" w:pos="7078"/>
        </w:tabs>
        <w:rPr>
          <w:rFonts w:asciiTheme="minorHAnsi" w:eastAsiaTheme="minorEastAsia" w:hAnsiTheme="minorHAnsi" w:cstheme="minorBidi"/>
          <w:b w:val="0"/>
          <w:sz w:val="22"/>
          <w:szCs w:val="22"/>
        </w:rPr>
      </w:pPr>
      <w:r>
        <w:t>Part IX</w:t>
      </w:r>
    </w:p>
    <w:p>
      <w:pPr>
        <w:pStyle w:val="TOC8"/>
        <w:rPr>
          <w:rFonts w:asciiTheme="minorHAnsi" w:eastAsiaTheme="minorEastAsia" w:hAnsiTheme="minorHAnsi" w:cstheme="minorBidi"/>
          <w:szCs w:val="22"/>
        </w:rPr>
      </w:pPr>
      <w:r>
        <w:t>1</w:t>
      </w:r>
      <w:r>
        <w:rPr>
          <w:snapToGrid w:val="0"/>
        </w:rPr>
        <w:t>.</w:t>
      </w:r>
      <w:r>
        <w:rPr>
          <w:snapToGrid w:val="0"/>
        </w:rPr>
        <w:tab/>
        <w:t>Interpretation</w:t>
      </w:r>
      <w:r>
        <w:tab/>
      </w:r>
      <w:r>
        <w:fldChar w:fldCharType="begin"/>
      </w:r>
      <w:r>
        <w:instrText xml:space="preserve"> PAGEREF _Toc390077201 \h </w:instrText>
      </w:r>
      <w:r>
        <w:fldChar w:fldCharType="separate"/>
      </w:r>
      <w:r>
        <w:t>95</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Application of Part IX</w:t>
      </w:r>
      <w:r>
        <w:tab/>
      </w:r>
      <w:r>
        <w:fldChar w:fldCharType="begin"/>
      </w:r>
      <w:r>
        <w:instrText xml:space="preserve"> PAGEREF _Toc390077202 \h </w:instrText>
      </w:r>
      <w:r>
        <w:fldChar w:fldCharType="separate"/>
      </w:r>
      <w:r>
        <w:t>95</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Retail seller to provide weighing instrument</w:t>
      </w:r>
      <w:r>
        <w:tab/>
      </w:r>
      <w:r>
        <w:fldChar w:fldCharType="begin"/>
      </w:r>
      <w:r>
        <w:instrText xml:space="preserve"> PAGEREF _Toc390077203 \h </w:instrText>
      </w:r>
      <w:r>
        <w:fldChar w:fldCharType="separate"/>
      </w:r>
      <w:r>
        <w:t>95</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Hawking of coal or firewood</w:t>
      </w:r>
      <w:r>
        <w:tab/>
      </w:r>
      <w:r>
        <w:fldChar w:fldCharType="begin"/>
      </w:r>
      <w:r>
        <w:instrText xml:space="preserve"> PAGEREF _Toc390077204 \h </w:instrText>
      </w:r>
      <w:r>
        <w:fldChar w:fldCharType="separate"/>
      </w:r>
      <w:r>
        <w:t>95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Hawking of coke</w:t>
      </w:r>
      <w:r>
        <w:tab/>
      </w:r>
      <w:r>
        <w:fldChar w:fldCharType="begin"/>
      </w:r>
      <w:r>
        <w:instrText xml:space="preserve"> PAGEREF _Toc390077205 \h </w:instrText>
      </w:r>
      <w:r>
        <w:fldChar w:fldCharType="separate"/>
      </w:r>
      <w:r>
        <w:t>96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Sacks to be marked with net weight</w:t>
      </w:r>
      <w:r>
        <w:tab/>
      </w:r>
      <w:r>
        <w:fldChar w:fldCharType="begin"/>
      </w:r>
      <w:r>
        <w:instrText xml:space="preserve"> PAGEREF _Toc390077206 \h </w:instrText>
      </w:r>
      <w:r>
        <w:fldChar w:fldCharType="separate"/>
      </w:r>
      <w:r>
        <w:t>96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Coal delivered by vehicle</w:t>
      </w:r>
      <w:r>
        <w:tab/>
      </w:r>
      <w:r>
        <w:fldChar w:fldCharType="begin"/>
      </w:r>
      <w:r>
        <w:instrText xml:space="preserve"> PAGEREF _Toc390077207 \h </w:instrText>
      </w:r>
      <w:r>
        <w:fldChar w:fldCharType="separate"/>
      </w:r>
      <w:r>
        <w:t>96</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Coke delivered by vehicle</w:t>
      </w:r>
      <w:r>
        <w:tab/>
      </w:r>
      <w:r>
        <w:fldChar w:fldCharType="begin"/>
      </w:r>
      <w:r>
        <w:instrText xml:space="preserve"> PAGEREF _Toc390077208 \h </w:instrText>
      </w:r>
      <w:r>
        <w:fldChar w:fldCharType="separate"/>
      </w:r>
      <w:r>
        <w:t>96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Labelling of sacks</w:t>
      </w:r>
      <w:r>
        <w:tab/>
      </w:r>
      <w:r>
        <w:fldChar w:fldCharType="begin"/>
      </w:r>
      <w:r>
        <w:instrText xml:space="preserve"> PAGEREF _Toc390077209 \h </w:instrText>
      </w:r>
      <w:r>
        <w:fldChar w:fldCharType="separate"/>
      </w:r>
      <w:r>
        <w:t>97</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Delivery note for coal etc. in sacks</w:t>
      </w:r>
      <w:r>
        <w:tab/>
      </w:r>
      <w:r>
        <w:fldChar w:fldCharType="begin"/>
      </w:r>
      <w:r>
        <w:instrText xml:space="preserve"> PAGEREF _Toc390077210 \h </w:instrText>
      </w:r>
      <w:r>
        <w:fldChar w:fldCharType="separate"/>
      </w:r>
      <w:r>
        <w:t>97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Sacks to be allocated to purchasers</w:t>
      </w:r>
      <w:r>
        <w:tab/>
      </w:r>
      <w:r>
        <w:fldChar w:fldCharType="begin"/>
      </w:r>
      <w:r>
        <w:instrText xml:space="preserve"> PAGEREF _Toc390077211 \h </w:instrText>
      </w:r>
      <w:r>
        <w:fldChar w:fldCharType="separate"/>
      </w:r>
      <w:r>
        <w:t>97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Delivery note for bulk coal or coke</w:t>
      </w:r>
      <w:r>
        <w:tab/>
      </w:r>
      <w:r>
        <w:fldChar w:fldCharType="begin"/>
      </w:r>
      <w:r>
        <w:instrText xml:space="preserve"> PAGEREF _Toc390077212 \h </w:instrText>
      </w:r>
      <w:r>
        <w:fldChar w:fldCharType="separate"/>
      </w:r>
      <w:r>
        <w:t>97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Delivery note for bulk firewood</w:t>
      </w:r>
      <w:r>
        <w:tab/>
      </w:r>
      <w:r>
        <w:fldChar w:fldCharType="begin"/>
      </w:r>
      <w:r>
        <w:instrText xml:space="preserve"> PAGEREF _Toc390077213 \h </w:instrText>
      </w:r>
      <w:r>
        <w:fldChar w:fldCharType="separate"/>
      </w:r>
      <w:r>
        <w:t>98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Bulk coal or coke for different purchasers to be carried on separate vehicles</w:t>
      </w:r>
      <w:r>
        <w:tab/>
      </w:r>
      <w:r>
        <w:fldChar w:fldCharType="begin"/>
      </w:r>
      <w:r>
        <w:instrText xml:space="preserve"> PAGEREF _Toc390077214 \h </w:instrText>
      </w:r>
      <w:r>
        <w:fldChar w:fldCharType="separate"/>
      </w:r>
      <w:r>
        <w:t>98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Inspector may require coal or coke to be bagged</w:t>
      </w:r>
      <w:r>
        <w:tab/>
      </w:r>
      <w:r>
        <w:fldChar w:fldCharType="begin"/>
      </w:r>
      <w:r>
        <w:instrText xml:space="preserve"> PAGEREF _Toc390077215 \h </w:instrText>
      </w:r>
      <w:r>
        <w:fldChar w:fldCharType="separate"/>
      </w:r>
      <w:r>
        <w:t>98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Bulk firewood for different purchasers to be kept separate</w:t>
      </w:r>
      <w:r>
        <w:tab/>
      </w:r>
      <w:r>
        <w:fldChar w:fldCharType="begin"/>
      </w:r>
      <w:r>
        <w:instrText xml:space="preserve"> PAGEREF _Toc390077216 \h </w:instrText>
      </w:r>
      <w:r>
        <w:fldChar w:fldCharType="separate"/>
      </w:r>
      <w:r>
        <w:t>98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Powers of inspectors</w:t>
      </w:r>
      <w:r>
        <w:tab/>
      </w:r>
      <w:r>
        <w:fldChar w:fldCharType="begin"/>
      </w:r>
      <w:r>
        <w:instrText xml:space="preserve"> PAGEREF _Toc390077217 \h </w:instrText>
      </w:r>
      <w:r>
        <w:fldChar w:fldCharType="separate"/>
      </w:r>
      <w:r>
        <w:t>99</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Sale of underweight sacks an offence</w:t>
      </w:r>
      <w:r>
        <w:tab/>
      </w:r>
      <w:r>
        <w:fldChar w:fldCharType="begin"/>
      </w:r>
      <w:r>
        <w:instrText xml:space="preserve"> PAGEREF _Toc390077218 \h </w:instrText>
      </w:r>
      <w:r>
        <w:fldChar w:fldCharType="separate"/>
      </w:r>
      <w:r>
        <w:t>99</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Application of the Part to delivery by rail</w:t>
      </w:r>
      <w:r>
        <w:tab/>
      </w:r>
      <w:r>
        <w:fldChar w:fldCharType="begin"/>
      </w:r>
      <w:r>
        <w:instrText xml:space="preserve"> PAGEREF _Toc390077219 \h </w:instrText>
      </w:r>
      <w:r>
        <w:fldChar w:fldCharType="separate"/>
      </w:r>
      <w:r>
        <w:t>99</w:t>
      </w:r>
      <w:r>
        <w:fldChar w:fldCharType="end"/>
      </w:r>
    </w:p>
    <w:p>
      <w:pPr>
        <w:pStyle w:val="TOC2"/>
        <w:tabs>
          <w:tab w:val="right" w:leader="dot" w:pos="7078"/>
        </w:tabs>
        <w:rPr>
          <w:rFonts w:asciiTheme="minorHAnsi" w:eastAsiaTheme="minorEastAsia" w:hAnsiTheme="minorHAnsi" w:cstheme="minorBidi"/>
          <w:b w:val="0"/>
          <w:sz w:val="22"/>
          <w:szCs w:val="22"/>
        </w:rPr>
      </w:pPr>
      <w:r>
        <w:t>Part X</w:t>
      </w:r>
    </w:p>
    <w:p>
      <w:pPr>
        <w:pStyle w:val="TOC8"/>
        <w:rPr>
          <w:rFonts w:asciiTheme="minorHAnsi" w:eastAsiaTheme="minorEastAsia" w:hAnsiTheme="minorHAnsi" w:cstheme="minorBidi"/>
          <w:szCs w:val="22"/>
        </w:rPr>
      </w:pPr>
      <w:r>
        <w:t>1</w:t>
      </w:r>
      <w:r>
        <w:rPr>
          <w:snapToGrid w:val="0"/>
        </w:rPr>
        <w:t>.</w:t>
      </w:r>
      <w:r>
        <w:rPr>
          <w:snapToGrid w:val="0"/>
        </w:rPr>
        <w:tab/>
        <w:t>Public weighbridges to be registered</w:t>
      </w:r>
      <w:r>
        <w:tab/>
      </w:r>
      <w:r>
        <w:fldChar w:fldCharType="begin"/>
      </w:r>
      <w:r>
        <w:instrText xml:space="preserve"> PAGEREF _Toc390077221 \h </w:instrText>
      </w:r>
      <w:r>
        <w:fldChar w:fldCharType="separate"/>
      </w:r>
      <w:r>
        <w:t>101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Certificate of registration</w:t>
      </w:r>
      <w:r>
        <w:tab/>
      </w:r>
      <w:r>
        <w:fldChar w:fldCharType="begin"/>
      </w:r>
      <w:r>
        <w:instrText xml:space="preserve"> PAGEREF _Toc390077222 \h </w:instrText>
      </w:r>
      <w:r>
        <w:fldChar w:fldCharType="separate"/>
      </w:r>
      <w:r>
        <w:t>101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Change of ownership of weighbridge</w:t>
      </w:r>
      <w:r>
        <w:tab/>
      </w:r>
      <w:r>
        <w:fldChar w:fldCharType="begin"/>
      </w:r>
      <w:r>
        <w:instrText xml:space="preserve"> PAGEREF _Toc390077223 \h </w:instrText>
      </w:r>
      <w:r>
        <w:fldChar w:fldCharType="separate"/>
      </w:r>
      <w:r>
        <w:t>101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Requirements for registration</w:t>
      </w:r>
      <w:r>
        <w:tab/>
      </w:r>
      <w:r>
        <w:fldChar w:fldCharType="begin"/>
      </w:r>
      <w:r>
        <w:instrText xml:space="preserve"> PAGEREF _Toc390077224 \h </w:instrText>
      </w:r>
      <w:r>
        <w:fldChar w:fldCharType="separate"/>
      </w:r>
      <w:r>
        <w:t>102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Cancellation of registration</w:t>
      </w:r>
      <w:r>
        <w:tab/>
      </w:r>
      <w:r>
        <w:fldChar w:fldCharType="begin"/>
      </w:r>
      <w:r>
        <w:instrText xml:space="preserve"> PAGEREF _Toc390077225 \h </w:instrText>
      </w:r>
      <w:r>
        <w:fldChar w:fldCharType="separate"/>
      </w:r>
      <w:r>
        <w:t>102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Closure of weighbridge to public</w:t>
      </w:r>
      <w:r>
        <w:tab/>
      </w:r>
      <w:r>
        <w:fldChar w:fldCharType="begin"/>
      </w:r>
      <w:r>
        <w:instrText xml:space="preserve"> PAGEREF _Toc390077226 \h </w:instrText>
      </w:r>
      <w:r>
        <w:fldChar w:fldCharType="separate"/>
      </w:r>
      <w:r>
        <w:t>102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Obligation of owner or lessee</w:t>
      </w:r>
      <w:r>
        <w:tab/>
      </w:r>
      <w:r>
        <w:fldChar w:fldCharType="begin"/>
      </w:r>
      <w:r>
        <w:instrText xml:space="preserve"> PAGEREF _Toc390077227 \h </w:instrText>
      </w:r>
      <w:r>
        <w:fldChar w:fldCharType="separate"/>
      </w:r>
      <w:r>
        <w:t>102</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Licenced weighmen</w:t>
      </w:r>
      <w:r>
        <w:tab/>
      </w:r>
      <w:r>
        <w:fldChar w:fldCharType="begin"/>
      </w:r>
      <w:r>
        <w:instrText xml:space="preserve"> PAGEREF _Toc390077228 \h </w:instrText>
      </w:r>
      <w:r>
        <w:fldChar w:fldCharType="separate"/>
      </w:r>
      <w:r>
        <w:t>104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Offences relating to public weighbridges</w:t>
      </w:r>
      <w:r>
        <w:tab/>
      </w:r>
      <w:r>
        <w:fldChar w:fldCharType="begin"/>
      </w:r>
      <w:r>
        <w:instrText xml:space="preserve"> PAGEREF _Toc390077229 \h </w:instrText>
      </w:r>
      <w:r>
        <w:fldChar w:fldCharType="separate"/>
      </w:r>
      <w:r>
        <w:t>104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Weighman’s licence</w:t>
      </w:r>
      <w:r>
        <w:tab/>
      </w:r>
      <w:r>
        <w:fldChar w:fldCharType="begin"/>
      </w:r>
      <w:r>
        <w:instrText xml:space="preserve"> PAGEREF _Toc390077230 \h </w:instrText>
      </w:r>
      <w:r>
        <w:fldChar w:fldCharType="separate"/>
      </w:r>
      <w:r>
        <w:t>104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False statements or misrepresentation</w:t>
      </w:r>
      <w:r>
        <w:tab/>
      </w:r>
      <w:r>
        <w:fldChar w:fldCharType="begin"/>
      </w:r>
      <w:r>
        <w:instrText xml:space="preserve"> PAGEREF _Toc390077231 \h </w:instrText>
      </w:r>
      <w:r>
        <w:fldChar w:fldCharType="separate"/>
      </w:r>
      <w:r>
        <w:t>105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Applicant to appear in person</w:t>
      </w:r>
      <w:r>
        <w:tab/>
      </w:r>
      <w:r>
        <w:fldChar w:fldCharType="begin"/>
      </w:r>
      <w:r>
        <w:instrText xml:space="preserve"> PAGEREF _Toc390077232 \h </w:instrText>
      </w:r>
      <w:r>
        <w:fldChar w:fldCharType="separate"/>
      </w:r>
      <w:r>
        <w:t>105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Suspension or cancellation of weighman’s licence</w:t>
      </w:r>
      <w:r>
        <w:tab/>
      </w:r>
      <w:r>
        <w:fldChar w:fldCharType="begin"/>
      </w:r>
      <w:r>
        <w:instrText xml:space="preserve"> PAGEREF _Toc390077233 \h </w:instrText>
      </w:r>
      <w:r>
        <w:fldChar w:fldCharType="separate"/>
      </w:r>
      <w:r>
        <w:t>105</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Duties of weighmen</w:t>
      </w:r>
      <w:r>
        <w:tab/>
      </w:r>
      <w:r>
        <w:fldChar w:fldCharType="begin"/>
      </w:r>
      <w:r>
        <w:instrText xml:space="preserve"> PAGEREF _Toc390077234 \h </w:instrText>
      </w:r>
      <w:r>
        <w:fldChar w:fldCharType="separate"/>
      </w:r>
      <w:r>
        <w:t>105</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Alteration of weighbridge tickets</w:t>
      </w:r>
      <w:r>
        <w:tab/>
      </w:r>
      <w:r>
        <w:fldChar w:fldCharType="begin"/>
      </w:r>
      <w:r>
        <w:instrText xml:space="preserve"> PAGEREF _Toc390077235 \h </w:instrText>
      </w:r>
      <w:r>
        <w:fldChar w:fldCharType="separate"/>
      </w:r>
      <w:r>
        <w:t>108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Obligations of weighmen</w:t>
      </w:r>
      <w:r>
        <w:tab/>
      </w:r>
      <w:r>
        <w:fldChar w:fldCharType="begin"/>
      </w:r>
      <w:r>
        <w:instrText xml:space="preserve"> PAGEREF _Toc390077236 \h </w:instrText>
      </w:r>
      <w:r>
        <w:fldChar w:fldCharType="separate"/>
      </w:r>
      <w:r>
        <w:t>108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Offences by weighmen</w:t>
      </w:r>
      <w:r>
        <w:tab/>
      </w:r>
      <w:r>
        <w:fldChar w:fldCharType="begin"/>
      </w:r>
      <w:r>
        <w:instrText xml:space="preserve"> PAGEREF _Toc390077237 \h </w:instrText>
      </w:r>
      <w:r>
        <w:fldChar w:fldCharType="separate"/>
      </w:r>
      <w:r>
        <w:t>109</w:t>
      </w:r>
      <w:r>
        <w:fldChar w:fldCharType="end"/>
      </w:r>
    </w:p>
    <w:p>
      <w:pPr>
        <w:pStyle w:val="TOC2"/>
        <w:tabs>
          <w:tab w:val="right" w:leader="dot" w:pos="7078"/>
        </w:tabs>
        <w:rPr>
          <w:rFonts w:asciiTheme="minorHAnsi" w:eastAsiaTheme="minorEastAsia" w:hAnsiTheme="minorHAnsi" w:cstheme="minorBidi"/>
          <w:b w:val="0"/>
          <w:sz w:val="22"/>
          <w:szCs w:val="22"/>
        </w:rPr>
      </w:pPr>
      <w:r>
        <w:t>Part XA — Sale of earth, sand, etc.</w:t>
      </w:r>
    </w:p>
    <w:p>
      <w:pPr>
        <w:pStyle w:val="TOC8"/>
        <w:rPr>
          <w:rFonts w:asciiTheme="minorHAnsi" w:eastAsiaTheme="minorEastAsia" w:hAnsiTheme="minorHAnsi" w:cstheme="minorBidi"/>
          <w:szCs w:val="22"/>
        </w:rPr>
      </w:pPr>
      <w:r>
        <w:t>1</w:t>
      </w:r>
      <w:r>
        <w:rPr>
          <w:snapToGrid w:val="0"/>
        </w:rPr>
        <w:t>.</w:t>
      </w:r>
      <w:r>
        <w:rPr>
          <w:snapToGrid w:val="0"/>
        </w:rPr>
        <w:tab/>
        <w:t>Earth etc. to be measured by weight or volume</w:t>
      </w:r>
      <w:r>
        <w:tab/>
      </w:r>
      <w:r>
        <w:fldChar w:fldCharType="begin"/>
      </w:r>
      <w:r>
        <w:instrText xml:space="preserve"> PAGEREF _Toc390077239 \h </w:instrText>
      </w:r>
      <w:r>
        <w:fldChar w:fldCharType="separate"/>
      </w:r>
      <w:r>
        <w:t>114</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Obligations of seller, driver, etc.</w:t>
      </w:r>
      <w:r>
        <w:tab/>
      </w:r>
      <w:r>
        <w:fldChar w:fldCharType="begin"/>
      </w:r>
      <w:r>
        <w:instrText xml:space="preserve"> PAGEREF _Toc390077240 \h </w:instrText>
      </w:r>
      <w:r>
        <w:fldChar w:fldCharType="separate"/>
      </w:r>
      <w:r>
        <w:t>114</w:t>
      </w:r>
      <w:r>
        <w:fldChar w:fldCharType="end"/>
      </w:r>
    </w:p>
    <w:p>
      <w:pPr>
        <w:pStyle w:val="TOC2"/>
        <w:tabs>
          <w:tab w:val="right" w:leader="dot" w:pos="7078"/>
        </w:tabs>
        <w:rPr>
          <w:rFonts w:asciiTheme="minorHAnsi" w:eastAsiaTheme="minorEastAsia" w:hAnsiTheme="minorHAnsi" w:cstheme="minorBidi"/>
          <w:b w:val="0"/>
          <w:sz w:val="22"/>
          <w:szCs w:val="22"/>
        </w:rPr>
      </w:pPr>
      <w:r>
        <w:t>Part XB — Metric conversion</w:t>
      </w:r>
    </w:p>
    <w:p>
      <w:pPr>
        <w:pStyle w:val="TOC8"/>
        <w:rPr>
          <w:rFonts w:asciiTheme="minorHAnsi" w:eastAsiaTheme="minorEastAsia" w:hAnsiTheme="minorHAnsi" w:cstheme="minorBidi"/>
          <w:szCs w:val="22"/>
        </w:rPr>
      </w:pPr>
      <w:r>
        <w:t>1</w:t>
      </w:r>
      <w:r>
        <w:rPr>
          <w:snapToGrid w:val="0"/>
        </w:rPr>
        <w:t>.</w:t>
      </w:r>
      <w:r>
        <w:rPr>
          <w:snapToGrid w:val="0"/>
        </w:rPr>
        <w:tab/>
        <w:t>Application of Part</w:t>
      </w:r>
      <w:r>
        <w:tab/>
      </w:r>
      <w:r>
        <w:fldChar w:fldCharType="begin"/>
      </w:r>
      <w:r>
        <w:instrText xml:space="preserve"> PAGEREF _Toc390077242 \h </w:instrText>
      </w:r>
      <w:r>
        <w:fldChar w:fldCharType="separate"/>
      </w:r>
      <w:r>
        <w:t>116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Articles to be sold in metric units</w:t>
      </w:r>
      <w:r>
        <w:tab/>
      </w:r>
      <w:r>
        <w:fldChar w:fldCharType="begin"/>
      </w:r>
      <w:r>
        <w:instrText xml:space="preserve"> PAGEREF _Toc390077243 \h </w:instrText>
      </w:r>
      <w:r>
        <w:fldChar w:fldCharType="separate"/>
      </w:r>
      <w:r>
        <w:t>116</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Total price of articles sold at a price per unit</w:t>
      </w:r>
      <w:r>
        <w:tab/>
      </w:r>
      <w:r>
        <w:fldChar w:fldCharType="begin"/>
      </w:r>
      <w:r>
        <w:instrText xml:space="preserve"> PAGEREF _Toc390077244 \h </w:instrText>
      </w:r>
      <w:r>
        <w:fldChar w:fldCharType="separate"/>
      </w:r>
      <w:r>
        <w:t>116</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Non</w:t>
      </w:r>
      <w:r>
        <w:rPr>
          <w:snapToGrid w:val="0"/>
        </w:rPr>
        <w:noBreakHyphen/>
        <w:t>metric instruments not to be used for trade</w:t>
      </w:r>
      <w:r>
        <w:tab/>
      </w:r>
      <w:r>
        <w:fldChar w:fldCharType="begin"/>
      </w:r>
      <w:r>
        <w:instrText xml:space="preserve"> PAGEREF _Toc390077245 \h </w:instrText>
      </w:r>
      <w:r>
        <w:fldChar w:fldCharType="separate"/>
      </w:r>
      <w:r>
        <w:t>116</w:t>
      </w:r>
      <w:r>
        <w:fldChar w:fldCharType="end"/>
      </w:r>
    </w:p>
    <w:p>
      <w:pPr>
        <w:pStyle w:val="TOC2"/>
        <w:tabs>
          <w:tab w:val="right" w:leader="dot" w:pos="7078"/>
        </w:tabs>
        <w:rPr>
          <w:rFonts w:asciiTheme="minorHAnsi" w:eastAsiaTheme="minorEastAsia" w:hAnsiTheme="minorHAnsi" w:cstheme="minorBidi"/>
          <w:b w:val="0"/>
          <w:sz w:val="22"/>
          <w:szCs w:val="22"/>
        </w:rPr>
      </w:pPr>
      <w:r>
        <w:t>Part XC — Regulation of sale of fuel by reference to volume</w:t>
      </w:r>
    </w:p>
    <w:p>
      <w:pPr>
        <w:pStyle w:val="TOC8"/>
        <w:rPr>
          <w:rFonts w:asciiTheme="minorHAnsi" w:eastAsiaTheme="minorEastAsia" w:hAnsiTheme="minorHAnsi" w:cstheme="minorBidi"/>
          <w:szCs w:val="22"/>
        </w:rPr>
      </w:pPr>
      <w:r>
        <w:t>1.</w:t>
      </w:r>
      <w:r>
        <w:tab/>
        <w:t>Definitions</w:t>
      </w:r>
      <w:r>
        <w:tab/>
      </w:r>
      <w:r>
        <w:fldChar w:fldCharType="begin"/>
      </w:r>
      <w:r>
        <w:instrText xml:space="preserve"> PAGEREF _Toc390077247 \h </w:instrText>
      </w:r>
      <w:r>
        <w:fldChar w:fldCharType="separate"/>
      </w:r>
      <w:r>
        <w:t>117</w:t>
      </w:r>
      <w:r>
        <w:fldChar w:fldCharType="end"/>
      </w:r>
    </w:p>
    <w:p>
      <w:pPr>
        <w:pStyle w:val="TOC8"/>
        <w:rPr>
          <w:rFonts w:asciiTheme="minorHAnsi" w:eastAsiaTheme="minorEastAsia" w:hAnsiTheme="minorHAnsi" w:cstheme="minorBidi"/>
          <w:szCs w:val="22"/>
        </w:rPr>
      </w:pPr>
      <w:r>
        <w:t>2.</w:t>
      </w:r>
      <w:r>
        <w:tab/>
        <w:t>Regulation of sale of fuel by reference to volume</w:t>
      </w:r>
      <w:r>
        <w:tab/>
      </w:r>
      <w:r>
        <w:fldChar w:fldCharType="begin"/>
      </w:r>
      <w:r>
        <w:instrText xml:space="preserve"> PAGEREF _Toc390077248 \h </w:instrText>
      </w:r>
      <w:r>
        <w:fldChar w:fldCharType="separate"/>
      </w:r>
      <w:r>
        <w:t>118</w:t>
      </w:r>
      <w:r>
        <w:fldChar w:fldCharType="end"/>
      </w:r>
    </w:p>
    <w:p>
      <w:pPr>
        <w:pStyle w:val="TOC2"/>
        <w:tabs>
          <w:tab w:val="right" w:leader="dot" w:pos="7078"/>
        </w:tabs>
        <w:rPr>
          <w:rFonts w:asciiTheme="minorHAnsi" w:eastAsiaTheme="minorEastAsia" w:hAnsiTheme="minorHAnsi" w:cstheme="minorBidi"/>
          <w:b w:val="0"/>
          <w:sz w:val="22"/>
          <w:szCs w:val="22"/>
        </w:rPr>
      </w:pPr>
      <w:r>
        <w:t>Part XI — Miscellaneous</w:t>
      </w:r>
    </w:p>
    <w:p>
      <w:pPr>
        <w:pStyle w:val="TOC8"/>
        <w:rPr>
          <w:rFonts w:asciiTheme="minorHAnsi" w:eastAsiaTheme="minorEastAsia" w:hAnsiTheme="minorHAnsi" w:cstheme="minorBidi"/>
          <w:szCs w:val="22"/>
        </w:rPr>
      </w:pPr>
      <w:r>
        <w:t>1</w:t>
      </w:r>
      <w:r>
        <w:rPr>
          <w:snapToGrid w:val="0"/>
        </w:rPr>
        <w:t>.</w:t>
      </w:r>
      <w:r>
        <w:rPr>
          <w:snapToGrid w:val="0"/>
        </w:rPr>
        <w:tab/>
        <w:t>Inspector may adjust or service weights etc.</w:t>
      </w:r>
      <w:r>
        <w:tab/>
      </w:r>
      <w:r>
        <w:fldChar w:fldCharType="begin"/>
      </w:r>
      <w:r>
        <w:instrText xml:space="preserve"> PAGEREF _Toc390077250 \h </w:instrText>
      </w:r>
      <w:r>
        <w:fldChar w:fldCharType="separate"/>
      </w:r>
      <w:r>
        <w:t>121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Unstamped scales not to be used for trade</w:t>
      </w:r>
      <w:r>
        <w:tab/>
      </w:r>
      <w:r>
        <w:fldChar w:fldCharType="begin"/>
      </w:r>
      <w:r>
        <w:instrText xml:space="preserve"> PAGEREF _Toc390077251 \h </w:instrText>
      </w:r>
      <w:r>
        <w:fldChar w:fldCharType="separate"/>
      </w:r>
      <w:r>
        <w:t>121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Scale adjusters or repairers</w:t>
      </w:r>
      <w:r>
        <w:tab/>
      </w:r>
      <w:r>
        <w:fldChar w:fldCharType="begin"/>
      </w:r>
      <w:r>
        <w:instrText xml:space="preserve"> PAGEREF _Toc390077252 \h </w:instrText>
      </w:r>
      <w:r>
        <w:fldChar w:fldCharType="separate"/>
      </w:r>
      <w:r>
        <w:t>121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Scale adjuster’s license</w:t>
      </w:r>
      <w:r>
        <w:tab/>
      </w:r>
      <w:r>
        <w:fldChar w:fldCharType="begin"/>
      </w:r>
      <w:r>
        <w:instrText xml:space="preserve"> PAGEREF _Toc390077253 \h </w:instrText>
      </w:r>
      <w:r>
        <w:fldChar w:fldCharType="separate"/>
      </w:r>
      <w:r>
        <w:t>122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Scale repairer’s license</w:t>
      </w:r>
      <w:r>
        <w:tab/>
      </w:r>
      <w:r>
        <w:fldChar w:fldCharType="begin"/>
      </w:r>
      <w:r>
        <w:instrText xml:space="preserve"> PAGEREF _Toc390077254 \h </w:instrText>
      </w:r>
      <w:r>
        <w:fldChar w:fldCharType="separate"/>
      </w:r>
      <w:r>
        <w:t>122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Fees for scale adjuster’s or repairer’s licence</w:t>
      </w:r>
      <w:r>
        <w:tab/>
      </w:r>
      <w:r>
        <w:fldChar w:fldCharType="begin"/>
      </w:r>
      <w:r>
        <w:instrText xml:space="preserve"> PAGEREF _Toc390077255 \h </w:instrText>
      </w:r>
      <w:r>
        <w:fldChar w:fldCharType="separate"/>
      </w:r>
      <w:r>
        <w:t>123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Fees</w:t>
      </w:r>
      <w:r>
        <w:tab/>
      </w:r>
      <w:r>
        <w:fldChar w:fldCharType="begin"/>
      </w:r>
      <w:r>
        <w:instrText xml:space="preserve"> PAGEREF _Toc390077256 \h </w:instrText>
      </w:r>
      <w:r>
        <w:fldChar w:fldCharType="separate"/>
      </w:r>
      <w:r>
        <w:t>123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Tables form part of regulations</w:t>
      </w:r>
      <w:r>
        <w:tab/>
      </w:r>
      <w:r>
        <w:fldChar w:fldCharType="begin"/>
      </w:r>
      <w:r>
        <w:instrText xml:space="preserve"> PAGEREF _Toc390077257 \h </w:instrText>
      </w:r>
      <w:r>
        <w:fldChar w:fldCharType="separate"/>
      </w:r>
      <w:r>
        <w:t>123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Penalty for breach of regulations</w:t>
      </w:r>
      <w:r>
        <w:tab/>
      </w:r>
      <w:r>
        <w:fldChar w:fldCharType="begin"/>
      </w:r>
      <w:r>
        <w:instrText xml:space="preserve"> PAGEREF _Toc390077258 \h </w:instrText>
      </w:r>
      <w:r>
        <w:fldChar w:fldCharType="separate"/>
      </w:r>
      <w:r>
        <w:t>123</w:t>
      </w:r>
      <w:r>
        <w:fldChar w:fldCharType="end"/>
      </w:r>
    </w:p>
    <w:p>
      <w:pPr>
        <w:pStyle w:val="TOC2"/>
        <w:tabs>
          <w:tab w:val="right" w:leader="dot" w:pos="7078"/>
        </w:tabs>
        <w:rPr>
          <w:rFonts w:asciiTheme="minorHAnsi" w:eastAsiaTheme="minorEastAsia" w:hAnsiTheme="minorHAnsi" w:cstheme="minorBidi"/>
          <w:b w:val="0"/>
          <w:sz w:val="22"/>
          <w:szCs w:val="22"/>
        </w:rPr>
      </w:pPr>
      <w:r>
        <w:t>Table I   .</w:t>
      </w:r>
    </w:p>
    <w:p>
      <w:pPr>
        <w:pStyle w:val="TOC2"/>
        <w:tabs>
          <w:tab w:val="right" w:leader="dot" w:pos="7078"/>
        </w:tabs>
        <w:rPr>
          <w:rFonts w:asciiTheme="minorHAnsi" w:eastAsiaTheme="minorEastAsia" w:hAnsiTheme="minorHAnsi" w:cstheme="minorBidi"/>
          <w:b w:val="0"/>
          <w:sz w:val="22"/>
          <w:szCs w:val="22"/>
        </w:rPr>
      </w:pPr>
      <w:r>
        <w:t>Table II</w:t>
      </w:r>
    </w:p>
    <w:p>
      <w:pPr>
        <w:pStyle w:val="TOC2"/>
        <w:tabs>
          <w:tab w:val="right" w:leader="dot" w:pos="7078"/>
        </w:tabs>
        <w:rPr>
          <w:rFonts w:asciiTheme="minorHAnsi" w:eastAsiaTheme="minorEastAsia" w:hAnsiTheme="minorHAnsi" w:cstheme="minorBidi"/>
          <w:b w:val="0"/>
          <w:sz w:val="22"/>
          <w:szCs w:val="22"/>
        </w:rPr>
      </w:pPr>
      <w:r>
        <w:t>Table III</w:t>
      </w:r>
    </w:p>
    <w:p>
      <w:pPr>
        <w:pStyle w:val="TOC2"/>
        <w:tabs>
          <w:tab w:val="right" w:leader="dot" w:pos="7078"/>
        </w:tabs>
        <w:rPr>
          <w:rFonts w:asciiTheme="minorHAnsi" w:eastAsiaTheme="minorEastAsia" w:hAnsiTheme="minorHAnsi" w:cstheme="minorBidi"/>
          <w:b w:val="0"/>
          <w:sz w:val="22"/>
          <w:szCs w:val="22"/>
        </w:rPr>
      </w:pPr>
      <w:r>
        <w:t>Table IV</w:t>
      </w:r>
    </w:p>
    <w:p>
      <w:pPr>
        <w:pStyle w:val="TOC2"/>
        <w:tabs>
          <w:tab w:val="right" w:leader="dot" w:pos="7078"/>
        </w:tabs>
        <w:rPr>
          <w:rFonts w:asciiTheme="minorHAnsi" w:eastAsiaTheme="minorEastAsia" w:hAnsiTheme="minorHAnsi" w:cstheme="minorBidi"/>
          <w:b w:val="0"/>
          <w:sz w:val="22"/>
          <w:szCs w:val="22"/>
        </w:rPr>
      </w:pPr>
      <w:r>
        <w:t>Table V</w:t>
      </w:r>
    </w:p>
    <w:p>
      <w:pPr>
        <w:pStyle w:val="TOC2"/>
        <w:tabs>
          <w:tab w:val="right" w:leader="dot" w:pos="7078"/>
        </w:tabs>
        <w:rPr>
          <w:rFonts w:asciiTheme="minorHAnsi" w:eastAsiaTheme="minorEastAsia" w:hAnsiTheme="minorHAnsi" w:cstheme="minorBidi"/>
          <w:b w:val="0"/>
          <w:sz w:val="22"/>
          <w:szCs w:val="22"/>
        </w:rPr>
      </w:pPr>
      <w:r>
        <w:t>Table VI</w:t>
      </w:r>
    </w:p>
    <w:p>
      <w:pPr>
        <w:pStyle w:val="TOC2"/>
        <w:tabs>
          <w:tab w:val="right" w:leader="dot" w:pos="7078"/>
        </w:tabs>
        <w:rPr>
          <w:rFonts w:asciiTheme="minorHAnsi" w:eastAsiaTheme="minorEastAsia" w:hAnsiTheme="minorHAnsi" w:cstheme="minorBidi"/>
          <w:b w:val="0"/>
          <w:sz w:val="22"/>
          <w:szCs w:val="22"/>
        </w:rPr>
      </w:pPr>
      <w:r>
        <w:t>Table VII</w:t>
      </w:r>
    </w:p>
    <w:p>
      <w:pPr>
        <w:pStyle w:val="TOC2"/>
        <w:tabs>
          <w:tab w:val="right" w:leader="dot" w:pos="7078"/>
        </w:tabs>
        <w:rPr>
          <w:rFonts w:asciiTheme="minorHAnsi" w:eastAsiaTheme="minorEastAsia" w:hAnsiTheme="minorHAnsi" w:cstheme="minorBidi"/>
          <w:b w:val="0"/>
          <w:sz w:val="22"/>
          <w:szCs w:val="22"/>
        </w:rPr>
      </w:pPr>
      <w:r>
        <w:t>Table VIII</w:t>
      </w:r>
    </w:p>
    <w:p>
      <w:pPr>
        <w:pStyle w:val="TOC2"/>
        <w:tabs>
          <w:tab w:val="right" w:leader="dot" w:pos="7078"/>
        </w:tabs>
        <w:rPr>
          <w:rFonts w:asciiTheme="minorHAnsi" w:eastAsiaTheme="minorEastAsia" w:hAnsiTheme="minorHAnsi" w:cstheme="minorBidi"/>
          <w:b w:val="0"/>
          <w:sz w:val="22"/>
          <w:szCs w:val="22"/>
        </w:rPr>
      </w:pPr>
      <w:r>
        <w:t>Table IX</w:t>
      </w:r>
    </w:p>
    <w:p>
      <w:pPr>
        <w:pStyle w:val="TOC2"/>
        <w:tabs>
          <w:tab w:val="right" w:leader="dot" w:pos="7078"/>
        </w:tabs>
        <w:rPr>
          <w:rFonts w:asciiTheme="minorHAnsi" w:eastAsiaTheme="minorEastAsia" w:hAnsiTheme="minorHAnsi" w:cstheme="minorBidi"/>
          <w:b w:val="0"/>
          <w:sz w:val="22"/>
          <w:szCs w:val="22"/>
        </w:rPr>
      </w:pPr>
      <w:r>
        <w:t>Table X</w:t>
      </w:r>
    </w:p>
    <w:p>
      <w:pPr>
        <w:pStyle w:val="TOC2"/>
        <w:tabs>
          <w:tab w:val="right" w:leader="dot" w:pos="7078"/>
        </w:tabs>
        <w:rPr>
          <w:rFonts w:asciiTheme="minorHAnsi" w:eastAsiaTheme="minorEastAsia" w:hAnsiTheme="minorHAnsi" w:cstheme="minorBidi"/>
          <w:b w:val="0"/>
          <w:sz w:val="22"/>
          <w:szCs w:val="22"/>
        </w:rPr>
      </w:pPr>
      <w:r>
        <w:t>Table XI</w:t>
      </w:r>
    </w:p>
    <w:p>
      <w:pPr>
        <w:pStyle w:val="TOC2"/>
        <w:tabs>
          <w:tab w:val="right" w:leader="dot" w:pos="7078"/>
        </w:tabs>
        <w:rPr>
          <w:rFonts w:asciiTheme="minorHAnsi" w:eastAsiaTheme="minorEastAsia" w:hAnsiTheme="minorHAnsi" w:cstheme="minorBidi"/>
          <w:b w:val="0"/>
          <w:sz w:val="22"/>
          <w:szCs w:val="22"/>
        </w:rPr>
      </w:pPr>
      <w:r>
        <w:t>Table XII</w:t>
      </w:r>
    </w:p>
    <w:p>
      <w:pPr>
        <w:pStyle w:val="TOC2"/>
        <w:tabs>
          <w:tab w:val="right" w:leader="dot" w:pos="7078"/>
        </w:tabs>
        <w:rPr>
          <w:rFonts w:asciiTheme="minorHAnsi" w:eastAsiaTheme="minorEastAsia" w:hAnsiTheme="minorHAnsi" w:cstheme="minorBidi"/>
          <w:b w:val="0"/>
          <w:sz w:val="22"/>
          <w:szCs w:val="22"/>
        </w:rPr>
      </w:pPr>
      <w:r>
        <w:t>Table XIII</w:t>
      </w:r>
    </w:p>
    <w:p>
      <w:pPr>
        <w:pStyle w:val="TOC2"/>
        <w:tabs>
          <w:tab w:val="right" w:leader="dot" w:pos="7078"/>
        </w:tabs>
        <w:rPr>
          <w:rFonts w:asciiTheme="minorHAnsi" w:eastAsiaTheme="minorEastAsia" w:hAnsiTheme="minorHAnsi" w:cstheme="minorBidi"/>
          <w:b w:val="0"/>
          <w:sz w:val="22"/>
          <w:szCs w:val="22"/>
        </w:rPr>
      </w:pPr>
      <w:r>
        <w:t>Fees to be paid for testing, verifying or stamping weights and measures, and weighing or measuring instruments</w:t>
      </w:r>
    </w:p>
    <w:p>
      <w:pPr>
        <w:pStyle w:val="TOC2"/>
        <w:tabs>
          <w:tab w:val="right" w:leader="dot" w:pos="7078"/>
        </w:tabs>
        <w:rPr>
          <w:rFonts w:asciiTheme="minorHAnsi" w:eastAsiaTheme="minorEastAsia" w:hAnsiTheme="minorHAnsi" w:cstheme="minorBidi"/>
          <w:b w:val="0"/>
          <w:sz w:val="22"/>
          <w:szCs w:val="22"/>
        </w:rPr>
      </w:pPr>
      <w:r>
        <w:t>Table XIIIB</w:t>
      </w:r>
    </w:p>
    <w:p>
      <w:pPr>
        <w:pStyle w:val="TOC2"/>
        <w:tabs>
          <w:tab w:val="right" w:leader="dot" w:pos="7078"/>
        </w:tabs>
        <w:rPr>
          <w:rFonts w:asciiTheme="minorHAnsi" w:eastAsiaTheme="minorEastAsia" w:hAnsiTheme="minorHAnsi" w:cstheme="minorBidi"/>
          <w:b w:val="0"/>
          <w:sz w:val="22"/>
          <w:szCs w:val="22"/>
        </w:rPr>
      </w:pPr>
      <w:r>
        <w:t>Miscellaneous Fees</w:t>
      </w:r>
    </w:p>
    <w:p>
      <w:pPr>
        <w:pStyle w:val="TOC2"/>
        <w:tabs>
          <w:tab w:val="right" w:leader="dot" w:pos="7078"/>
        </w:tabs>
        <w:rPr>
          <w:rFonts w:asciiTheme="minorHAnsi" w:eastAsiaTheme="minorEastAsia" w:hAnsiTheme="minorHAnsi" w:cstheme="minorBidi"/>
          <w:b w:val="0"/>
          <w:sz w:val="22"/>
          <w:szCs w:val="22"/>
        </w:rPr>
      </w:pPr>
      <w:r>
        <w:t>Table XIV</w:t>
      </w:r>
    </w:p>
    <w:p>
      <w:pPr>
        <w:pStyle w:val="TOC2"/>
        <w:tabs>
          <w:tab w:val="right" w:leader="dot" w:pos="7078"/>
        </w:tabs>
        <w:rPr>
          <w:rFonts w:asciiTheme="minorHAnsi" w:eastAsiaTheme="minorEastAsia" w:hAnsiTheme="minorHAnsi" w:cstheme="minorBidi"/>
          <w:b w:val="0"/>
          <w:sz w:val="22"/>
          <w:szCs w:val="22"/>
        </w:rPr>
      </w:pPr>
      <w:r>
        <w:t>Table XV</w:t>
      </w:r>
    </w:p>
    <w:p>
      <w:pPr>
        <w:pStyle w:val="TOC2"/>
        <w:tabs>
          <w:tab w:val="right" w:leader="dot" w:pos="7078"/>
        </w:tabs>
        <w:rPr>
          <w:rFonts w:asciiTheme="minorHAnsi" w:eastAsiaTheme="minorEastAsia" w:hAnsiTheme="minorHAnsi" w:cstheme="minorBidi"/>
          <w:b w:val="0"/>
          <w:sz w:val="22"/>
          <w:szCs w:val="22"/>
        </w:rPr>
      </w:pPr>
      <w:r>
        <w:t>Table XVI</w:t>
      </w:r>
    </w:p>
    <w:p>
      <w:pPr>
        <w:pStyle w:val="TOC2"/>
        <w:tabs>
          <w:tab w:val="right" w:leader="dot" w:pos="7078"/>
        </w:tabs>
        <w:rPr>
          <w:rFonts w:asciiTheme="minorHAnsi" w:eastAsiaTheme="minorEastAsia" w:hAnsiTheme="minorHAnsi" w:cstheme="minorBidi"/>
          <w:b w:val="0"/>
          <w:sz w:val="22"/>
          <w:szCs w:val="22"/>
        </w:rPr>
      </w:pPr>
      <w:r>
        <w:t>Table XVII</w:t>
      </w:r>
    </w:p>
    <w:p>
      <w:pPr>
        <w:pStyle w:val="TOC2"/>
        <w:tabs>
          <w:tab w:val="right" w:leader="dot" w:pos="7078"/>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_Toc390077280 \h </w:instrText>
      </w:r>
      <w:r>
        <w:fldChar w:fldCharType="separate"/>
      </w:r>
      <w:r>
        <w:t>152</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Weights and Measures Act 1915</w:t>
      </w:r>
    </w:p>
    <w:p>
      <w:pPr>
        <w:pStyle w:val="NameofActReg"/>
      </w:pPr>
      <w:r>
        <w:t>Weights and Measures Regulations 1927</w:t>
      </w:r>
    </w:p>
    <w:p>
      <w:pPr>
        <w:pStyle w:val="Heading2"/>
        <w:pageBreakBefore w:val="0"/>
      </w:pPr>
      <w:bookmarkStart w:id="1" w:name="_Toc390077026"/>
      <w:r>
        <w:rPr>
          <w:rStyle w:val="CharPartNo"/>
        </w:rPr>
        <w:t>Part I</w:t>
      </w:r>
      <w:bookmarkEnd w:id="1"/>
    </w:p>
    <w:p>
      <w:pPr>
        <w:pStyle w:val="MiscellaneousHeading"/>
        <w:rPr>
          <w:b/>
          <w:snapToGrid w:val="0"/>
        </w:rPr>
      </w:pPr>
      <w:r>
        <w:rPr>
          <w:b/>
          <w:snapToGrid w:val="0"/>
        </w:rPr>
        <w:t>Short title</w:t>
      </w:r>
    </w:p>
    <w:p>
      <w:pPr>
        <w:pStyle w:val="Heading5"/>
        <w:rPr>
          <w:snapToGrid w:val="0"/>
        </w:rPr>
      </w:pPr>
      <w:bookmarkStart w:id="2" w:name="_Toc390077027"/>
      <w:r>
        <w:rPr>
          <w:rStyle w:val="CharSectno"/>
        </w:rPr>
        <w:t>1</w:t>
      </w:r>
      <w:r>
        <w:rPr>
          <w:snapToGrid w:val="0"/>
        </w:rPr>
        <w:t>.</w:t>
      </w:r>
      <w:r>
        <w:rPr>
          <w:snapToGrid w:val="0"/>
        </w:rPr>
        <w:tab/>
        <w:t>Citation</w:t>
      </w:r>
      <w:bookmarkEnd w:id="2"/>
    </w:p>
    <w:p>
      <w:pPr>
        <w:pStyle w:val="Subsection"/>
        <w:rPr>
          <w:snapToGrid w:val="0"/>
        </w:rPr>
      </w:pPr>
      <w:r>
        <w:rPr>
          <w:snapToGrid w:val="0"/>
        </w:rPr>
        <w:tab/>
      </w:r>
      <w:r>
        <w:rPr>
          <w:snapToGrid w:val="0"/>
        </w:rPr>
        <w:tab/>
        <w:t xml:space="preserve">These regulations may be cited as the </w:t>
      </w:r>
      <w:r>
        <w:rPr>
          <w:i/>
          <w:snapToGrid w:val="0"/>
        </w:rPr>
        <w:t>Weights and Measures Regulations 1927</w:t>
      </w:r>
      <w:r>
        <w:rPr>
          <w:snapToGrid w:val="0"/>
          <w:vertAlign w:val="superscript"/>
        </w:rPr>
        <w:t> 1</w:t>
      </w:r>
      <w:r>
        <w:rPr>
          <w:snapToGrid w:val="0"/>
        </w:rPr>
        <w:t>.</w:t>
      </w:r>
    </w:p>
    <w:p>
      <w:pPr>
        <w:pStyle w:val="Ednotesection"/>
      </w:pPr>
      <w:r>
        <w:t>[</w:t>
      </w:r>
      <w:r>
        <w:rPr>
          <w:b/>
        </w:rPr>
        <w:t>2.</w:t>
      </w:r>
      <w:r>
        <w:rPr>
          <w:b/>
        </w:rPr>
        <w:tab/>
      </w:r>
      <w:r>
        <w:t>Repealed in Gazette 6 Jan 1998 p. 33.]</w:t>
      </w:r>
    </w:p>
    <w:p>
      <w:pPr>
        <w:pStyle w:val="MiscellaneousHeading"/>
        <w:outlineLvl w:val="0"/>
        <w:rPr>
          <w:b/>
          <w:snapToGrid w:val="0"/>
        </w:rPr>
      </w:pPr>
      <w:r>
        <w:rPr>
          <w:b/>
          <w:snapToGrid w:val="0"/>
        </w:rPr>
        <w:t xml:space="preserve">Definitions </w:t>
      </w:r>
    </w:p>
    <w:p>
      <w:pPr>
        <w:pStyle w:val="Heading5"/>
        <w:rPr>
          <w:snapToGrid w:val="0"/>
        </w:rPr>
      </w:pPr>
      <w:bookmarkStart w:id="3" w:name="_Toc390077028"/>
      <w:r>
        <w:rPr>
          <w:rStyle w:val="CharSectno"/>
        </w:rPr>
        <w:t>3</w:t>
      </w:r>
      <w:r>
        <w:rPr>
          <w:snapToGrid w:val="0"/>
        </w:rPr>
        <w:t>.</w:t>
      </w:r>
      <w:r>
        <w:rPr>
          <w:snapToGrid w:val="0"/>
        </w:rPr>
        <w:tab/>
        <w:t>Interpretation</w:t>
      </w:r>
      <w:bookmarkEnd w:id="3"/>
    </w:p>
    <w:p>
      <w:pPr>
        <w:pStyle w:val="Subsection"/>
        <w:rPr>
          <w:snapToGrid w:val="0"/>
        </w:rPr>
      </w:pPr>
      <w:r>
        <w:rPr>
          <w:snapToGrid w:val="0"/>
        </w:rPr>
        <w:tab/>
      </w:r>
      <w:r>
        <w:rPr>
          <w:snapToGrid w:val="0"/>
        </w:rPr>
        <w:tab/>
        <w:t>In the construction of these regulations — </w:t>
      </w:r>
    </w:p>
    <w:p>
      <w:pPr>
        <w:pStyle w:val="Defstart"/>
      </w:pPr>
      <w:r>
        <w:rPr>
          <w:b/>
        </w:rPr>
        <w:tab/>
        <w:t>“</w:t>
      </w:r>
      <w:r>
        <w:rPr>
          <w:rStyle w:val="CharDefText"/>
        </w:rPr>
        <w:t>the date of the regulations</w:t>
      </w:r>
      <w:r>
        <w:rPr>
          <w:b/>
        </w:rPr>
        <w:t>”</w:t>
      </w:r>
      <w:r>
        <w:t xml:space="preserve"> means 1 July 1927;</w:t>
      </w:r>
    </w:p>
    <w:p>
      <w:pPr>
        <w:pStyle w:val="Defstart"/>
      </w:pPr>
      <w:r>
        <w:rPr>
          <w:b/>
        </w:rPr>
        <w:tab/>
        <w:t>“</w:t>
      </w:r>
      <w:r>
        <w:rPr>
          <w:rStyle w:val="CharDefText"/>
        </w:rPr>
        <w:t>the Act</w:t>
      </w:r>
      <w:r>
        <w:rPr>
          <w:b/>
        </w:rPr>
        <w:t>”</w:t>
      </w:r>
      <w:r>
        <w:t xml:space="preserve"> means the </w:t>
      </w:r>
      <w:r>
        <w:rPr>
          <w:i/>
        </w:rPr>
        <w:t>Weights and Measures Act</w:t>
      </w:r>
      <w:r>
        <w:t>, No. 50 of 1915, as amended from time to time;</w:t>
      </w:r>
    </w:p>
    <w:p>
      <w:pPr>
        <w:pStyle w:val="Defstart"/>
      </w:pPr>
      <w:r>
        <w:rPr>
          <w:b/>
        </w:rPr>
        <w:tab/>
        <w:t>“</w:t>
      </w:r>
      <w:r>
        <w:rPr>
          <w:rStyle w:val="CharDefText"/>
        </w:rPr>
        <w:t>ballast</w:t>
      </w:r>
      <w:r>
        <w:rPr>
          <w:b/>
        </w:rPr>
        <w:t>”</w:t>
      </w:r>
      <w:r>
        <w:t xml:space="preserve"> means crushed or broken stone, solidified furnace slag, ashes, screenings, stone chippings, and other like material sold, conveyed, or otherwise dealt with in the course of trade, and used, intended to be used, or capable of being used, for road or building construction or for similar purposes;</w:t>
      </w:r>
    </w:p>
    <w:p>
      <w:pPr>
        <w:pStyle w:val="Defstart"/>
      </w:pPr>
      <w:r>
        <w:rPr>
          <w:b/>
        </w:rPr>
        <w:tab/>
        <w:t>“</w:t>
      </w:r>
      <w:r>
        <w:rPr>
          <w:rStyle w:val="CharDefText"/>
        </w:rPr>
        <w:t>calibrating measure or instrument</w:t>
      </w:r>
      <w:r>
        <w:rPr>
          <w:b/>
        </w:rPr>
        <w:t>”</w:t>
      </w:r>
      <w:r>
        <w:t xml:space="preserve"> means any measure of instrument primarily used for the purpose of calibration of trade measures and liquid measuring instruments to standard;</w:t>
      </w:r>
    </w:p>
    <w:p>
      <w:pPr>
        <w:pStyle w:val="Defstart"/>
      </w:pPr>
      <w:r>
        <w:rPr>
          <w:b/>
        </w:rPr>
        <w:tab/>
        <w:t>“</w:t>
      </w:r>
      <w:r>
        <w:rPr>
          <w:rStyle w:val="CharDefText"/>
        </w:rPr>
        <w:t>capacity</w:t>
      </w:r>
      <w:r>
        <w:rPr>
          <w:b/>
        </w:rPr>
        <w:t>”</w:t>
      </w:r>
      <w:r>
        <w:t>, in reference to a weighing instrument, means the maximum load it is constructed to weigh, including the weight represented by tare</w:t>
      </w:r>
      <w:r>
        <w:noBreakHyphen/>
        <w:t>weight beams or other equivalent devices, but shall not include the weight value of any auxiliary device such as a small bar and poise designed to determine weights intermediate between graduations on the principal beam when the maximum weight value of such device does not exceed approximately 1% of the sum of the principal weight values;</w:t>
      </w:r>
    </w:p>
    <w:p>
      <w:pPr>
        <w:pStyle w:val="Defstart"/>
      </w:pPr>
      <w:r>
        <w:rPr>
          <w:b/>
        </w:rPr>
        <w:tab/>
        <w:t>“</w:t>
      </w:r>
      <w:r>
        <w:rPr>
          <w:rStyle w:val="CharDefText"/>
        </w:rPr>
        <w:t>correct</w:t>
      </w:r>
      <w:r>
        <w:rPr>
          <w:b/>
        </w:rPr>
        <w:t>”</w:t>
      </w:r>
      <w:r>
        <w:t>, in reference to a weight, measure, or weighing or measuring instrument, means correct within the limits of error specified in Tables II to XI, where not repugnant to the context;</w:t>
      </w:r>
    </w:p>
    <w:p>
      <w:pPr>
        <w:pStyle w:val="Defstart"/>
      </w:pPr>
      <w:r>
        <w:rPr>
          <w:b/>
        </w:rPr>
        <w:tab/>
        <w:t>“</w:t>
      </w:r>
      <w:r>
        <w:rPr>
          <w:rStyle w:val="CharDefText"/>
        </w:rPr>
        <w:t>earth</w:t>
      </w:r>
      <w:r>
        <w:rPr>
          <w:b/>
        </w:rPr>
        <w:t>”</w:t>
      </w:r>
      <w:r>
        <w:t xml:space="preserve"> means any kind of earth sold, conveyed or otherwise dealt with in the course of trade and includes earth used, or intended to be used, or capable of being used, for filling purposes or for agricultural, horticultural or gardening purposes;</w:t>
      </w:r>
    </w:p>
    <w:p>
      <w:pPr>
        <w:pStyle w:val="Defstart"/>
      </w:pPr>
      <w:r>
        <w:rPr>
          <w:b/>
        </w:rPr>
        <w:tab/>
        <w:t>“</w:t>
      </w:r>
      <w:r>
        <w:rPr>
          <w:rStyle w:val="CharDefText"/>
        </w:rPr>
        <w:t>error</w:t>
      </w:r>
      <w:r>
        <w:rPr>
          <w:b/>
        </w:rPr>
        <w:t>”</w:t>
      </w:r>
      <w:r>
        <w:t>, in reference to a weighing instrument, includes deficiency in sensitiveness, where not repugnant to the context;</w:t>
      </w:r>
    </w:p>
    <w:p>
      <w:pPr>
        <w:pStyle w:val="Defstart"/>
      </w:pPr>
      <w:r>
        <w:rPr>
          <w:b/>
        </w:rPr>
        <w:tab/>
        <w:t>“</w:t>
      </w:r>
      <w:r>
        <w:rPr>
          <w:rStyle w:val="CharDefText"/>
        </w:rPr>
        <w:t>fabric measuring instrument</w:t>
      </w:r>
      <w:r>
        <w:rPr>
          <w:b/>
        </w:rPr>
        <w:t>”</w:t>
      </w:r>
      <w:r>
        <w:t xml:space="preserve"> is a measuring instrument equipped with a mechanism for measuring and for indicating automatically the length of fabric passed through it;</w:t>
      </w:r>
    </w:p>
    <w:p>
      <w:pPr>
        <w:pStyle w:val="Defstart"/>
      </w:pPr>
      <w:r>
        <w:rPr>
          <w:b/>
        </w:rPr>
        <w:tab/>
        <w:t>“</w:t>
      </w:r>
      <w:r>
        <w:rPr>
          <w:rStyle w:val="CharDefText"/>
        </w:rPr>
        <w:t>fancy package</w:t>
      </w:r>
      <w:r>
        <w:rPr>
          <w:b/>
        </w:rPr>
        <w:t>”</w:t>
      </w:r>
      <w:r>
        <w:t xml:space="preserve"> means any package of which the substantial value is the container and on which there is no advertising matter, but for the purposes of this definition, the manufacturers’ name and address and a factual description of the article contained in the package does not constitute advertising matter;</w:t>
      </w:r>
    </w:p>
    <w:p>
      <w:pPr>
        <w:pStyle w:val="Defstart"/>
      </w:pPr>
      <w:r>
        <w:rPr>
          <w:b/>
        </w:rPr>
        <w:tab/>
        <w:t>“</w:t>
      </w:r>
      <w:r>
        <w:rPr>
          <w:rStyle w:val="CharDefText"/>
        </w:rPr>
        <w:t>farm milk tank</w:t>
      </w:r>
      <w:r>
        <w:rPr>
          <w:b/>
        </w:rPr>
        <w:t>”</w:t>
      </w:r>
      <w:r>
        <w:t xml:space="preserve"> means a measure having a capacity of not less that 50 gallons for measuring milk or liquid milk products, provided with a suitable graduated scale by reference to which the quantity of liquid in the tank may be determined;</w:t>
      </w:r>
    </w:p>
    <w:p>
      <w:pPr>
        <w:pStyle w:val="Defstart"/>
      </w:pPr>
      <w:r>
        <w:rPr>
          <w:b/>
        </w:rPr>
        <w:tab/>
        <w:t>“</w:t>
      </w:r>
      <w:r>
        <w:rPr>
          <w:rStyle w:val="CharDefText"/>
        </w:rPr>
        <w:t>flow meter</w:t>
      </w:r>
      <w:r>
        <w:rPr>
          <w:b/>
        </w:rPr>
        <w:t>”</w:t>
      </w:r>
      <w:r>
        <w:t xml:space="preserve"> means any fixed instrument designed to measure and deliver liquid by volume as it flows through such instrument;</w:t>
      </w:r>
    </w:p>
    <w:p>
      <w:pPr>
        <w:pStyle w:val="Defstart"/>
      </w:pPr>
      <w:r>
        <w:rPr>
          <w:b/>
        </w:rPr>
        <w:tab/>
        <w:t>“</w:t>
      </w:r>
      <w:r>
        <w:rPr>
          <w:rStyle w:val="CharDefText"/>
        </w:rPr>
        <w:t>instrument</w:t>
      </w:r>
      <w:r>
        <w:rPr>
          <w:b/>
        </w:rPr>
        <w:t>”</w:t>
      </w:r>
      <w:r>
        <w:t xml:space="preserve"> means weighing instrument, but includes measuring instrument where the wider meaning is not excluded by the context;</w:t>
      </w:r>
    </w:p>
    <w:p>
      <w:pPr>
        <w:pStyle w:val="Defstart"/>
      </w:pPr>
      <w:r>
        <w:rPr>
          <w:b/>
        </w:rPr>
        <w:tab/>
        <w:t>“</w:t>
      </w:r>
      <w:r>
        <w:rPr>
          <w:rStyle w:val="CharDefText"/>
        </w:rPr>
        <w:t>leather measuring instrument</w:t>
      </w:r>
      <w:r>
        <w:rPr>
          <w:b/>
        </w:rPr>
        <w:t>”</w:t>
      </w:r>
      <w:r>
        <w:t xml:space="preserve"> means any instrument designed to measure the area of any piece of leather;</w:t>
      </w:r>
    </w:p>
    <w:p>
      <w:pPr>
        <w:pStyle w:val="Defstart"/>
      </w:pPr>
      <w:r>
        <w:rPr>
          <w:b/>
        </w:rPr>
        <w:tab/>
        <w:t>“</w:t>
      </w:r>
      <w:r>
        <w:rPr>
          <w:rStyle w:val="CharDefText"/>
        </w:rPr>
        <w:t>retail flow meter</w:t>
      </w:r>
      <w:r>
        <w:rPr>
          <w:b/>
        </w:rPr>
        <w:t>”</w:t>
      </w:r>
      <w:r>
        <w:t xml:space="preserve"> means any flow meter obviously designed for retailed deliveries to individual consumers which has a maximum indicating capacity (excluding any totaliser mechanism) not exceeding 100 gallons;</w:t>
      </w:r>
    </w:p>
    <w:p>
      <w:pPr>
        <w:pStyle w:val="Defstart"/>
      </w:pPr>
      <w:r>
        <w:rPr>
          <w:b/>
        </w:rPr>
        <w:tab/>
        <w:t>“</w:t>
      </w:r>
      <w:r>
        <w:rPr>
          <w:rStyle w:val="CharDefText"/>
        </w:rPr>
        <w:t>sand</w:t>
      </w:r>
      <w:r>
        <w:rPr>
          <w:b/>
        </w:rPr>
        <w:t>”</w:t>
      </w:r>
      <w:r>
        <w:t xml:space="preserve"> means any kind of sand sold, conveyed or otherwise dealt with in the course of trade and includes foundry moulding sand used, or intended to be used, or capable or being used for road or building construction or for agricultural, horticultural or gardening purposes;</w:t>
      </w:r>
    </w:p>
    <w:p>
      <w:pPr>
        <w:pStyle w:val="Defstart"/>
      </w:pPr>
      <w:r>
        <w:rPr>
          <w:b/>
        </w:rPr>
        <w:tab/>
        <w:t>“</w:t>
      </w:r>
      <w:r>
        <w:rPr>
          <w:rStyle w:val="CharDefText"/>
        </w:rPr>
        <w:t>undercut</w:t>
      </w:r>
      <w:r>
        <w:rPr>
          <w:b/>
        </w:rPr>
        <w:t>”</w:t>
      </w:r>
      <w:r>
        <w:t xml:space="preserve"> in reference to a hole intended to contain lead for the purpose of stamping, adjusting or sealing any weight, measure or instrument, means tapered in such manner that the cross section of the hole is smallest at its opening;</w:t>
      </w:r>
    </w:p>
    <w:p>
      <w:pPr>
        <w:pStyle w:val="Defstart"/>
      </w:pPr>
      <w:r>
        <w:rPr>
          <w:b/>
        </w:rPr>
        <w:tab/>
        <w:t>“</w:t>
      </w:r>
      <w:r>
        <w:rPr>
          <w:rStyle w:val="CharDefText"/>
        </w:rPr>
        <w:t>wholesale flow meter</w:t>
      </w:r>
      <w:r>
        <w:rPr>
          <w:b/>
        </w:rPr>
        <w:t>”</w:t>
      </w:r>
      <w:r>
        <w:t xml:space="preserve"> means any flow meter of the type not defined as a “Retail Flow Meter”.</w:t>
      </w:r>
    </w:p>
    <w:p>
      <w:pPr>
        <w:pStyle w:val="Footnotesection"/>
      </w:pPr>
      <w:r>
        <w:tab/>
        <w:t>[Regulation 3 amended in Gazette 24 Feb 1950 p. 329; 12 Oct 1951 p. 2712; 23 May 1960 p. 1393</w:t>
      </w:r>
      <w:r>
        <w:noBreakHyphen/>
        <w:t xml:space="preserve">4; 9 Sep 1968 p. 2743; 31 Aug 1984 p. 2829.] </w:t>
      </w:r>
    </w:p>
    <w:p>
      <w:pPr>
        <w:pStyle w:val="Heading2"/>
      </w:pPr>
      <w:bookmarkStart w:id="4" w:name="_Toc390077029"/>
      <w:r>
        <w:rPr>
          <w:rStyle w:val="CharPartNo"/>
        </w:rPr>
        <w:t>Part II</w:t>
      </w:r>
      <w:bookmarkEnd w:id="4"/>
    </w:p>
    <w:p>
      <w:pPr>
        <w:pStyle w:val="MiscellaneousHeading"/>
        <w:rPr>
          <w:b/>
          <w:snapToGrid w:val="0"/>
        </w:rPr>
      </w:pPr>
      <w:r>
        <w:rPr>
          <w:b/>
          <w:snapToGrid w:val="0"/>
        </w:rPr>
        <w:t>Standards</w:t>
      </w:r>
    </w:p>
    <w:p>
      <w:pPr>
        <w:pStyle w:val="MiscellaneousHeading"/>
        <w:rPr>
          <w:b/>
          <w:snapToGrid w:val="0"/>
        </w:rPr>
      </w:pPr>
      <w:r>
        <w:rPr>
          <w:b/>
          <w:snapToGrid w:val="0"/>
        </w:rPr>
        <w:t>Departmental Standards</w:t>
      </w:r>
    </w:p>
    <w:p>
      <w:pPr>
        <w:pStyle w:val="Heading5"/>
        <w:spacing w:before="180"/>
        <w:rPr>
          <w:snapToGrid w:val="0"/>
        </w:rPr>
      </w:pPr>
      <w:bookmarkStart w:id="5" w:name="_Toc390077030"/>
      <w:r>
        <w:rPr>
          <w:rStyle w:val="CharSectno"/>
        </w:rPr>
        <w:t>1</w:t>
      </w:r>
      <w:r>
        <w:rPr>
          <w:snapToGrid w:val="0"/>
        </w:rPr>
        <w:t>.</w:t>
      </w:r>
      <w:r>
        <w:rPr>
          <w:snapToGrid w:val="0"/>
        </w:rPr>
        <w:tab/>
        <w:t>Departmental Standards</w:t>
      </w:r>
      <w:bookmarkEnd w:id="5"/>
    </w:p>
    <w:p>
      <w:pPr>
        <w:pStyle w:val="Subsection"/>
        <w:spacing w:before="140"/>
        <w:rPr>
          <w:snapToGrid w:val="0"/>
        </w:rPr>
      </w:pPr>
      <w:r>
        <w:rPr>
          <w:snapToGrid w:val="0"/>
        </w:rPr>
        <w:tab/>
      </w:r>
      <w:r>
        <w:rPr>
          <w:snapToGrid w:val="0"/>
        </w:rPr>
        <w:tab/>
        <w:t>Departmental Standards shall consist of a complete set of copies and models of the Standards of Western Australia, as shown in the Act, Schedule A, or proclaimed under the Act. Departmental Standards shall be verified by comparison Standards of Western Australia once at least in every 5 years. Such comparison shall be verified to the satisfaction of the Treasurer, and evidences by a certificate signed by him.</w:t>
      </w:r>
    </w:p>
    <w:p>
      <w:pPr>
        <w:pStyle w:val="Heading5"/>
        <w:spacing w:before="200"/>
        <w:rPr>
          <w:snapToGrid w:val="0"/>
        </w:rPr>
      </w:pPr>
      <w:bookmarkStart w:id="6" w:name="_Toc390077031"/>
      <w:r>
        <w:rPr>
          <w:rStyle w:val="CharSectno"/>
        </w:rPr>
        <w:t>2</w:t>
      </w:r>
      <w:r>
        <w:rPr>
          <w:snapToGrid w:val="0"/>
        </w:rPr>
        <w:t>.</w:t>
      </w:r>
      <w:r>
        <w:rPr>
          <w:snapToGrid w:val="0"/>
        </w:rPr>
        <w:tab/>
        <w:t>Tolerance</w:t>
      </w:r>
      <w:bookmarkEnd w:id="6"/>
    </w:p>
    <w:p>
      <w:pPr>
        <w:pStyle w:val="Subsection"/>
        <w:spacing w:before="140"/>
        <w:rPr>
          <w:snapToGrid w:val="0"/>
        </w:rPr>
      </w:pPr>
      <w:r>
        <w:rPr>
          <w:snapToGrid w:val="0"/>
        </w:rPr>
        <w:tab/>
      </w:r>
      <w:r>
        <w:rPr>
          <w:snapToGrid w:val="0"/>
        </w:rPr>
        <w:tab/>
        <w:t>No error shall be tolerated on verification of Departmental Standards.</w:t>
      </w:r>
    </w:p>
    <w:p>
      <w:pPr>
        <w:pStyle w:val="MiscellaneousHeading"/>
        <w:outlineLvl w:val="0"/>
        <w:rPr>
          <w:b/>
          <w:snapToGrid w:val="0"/>
        </w:rPr>
      </w:pPr>
      <w:r>
        <w:rPr>
          <w:b/>
          <w:snapToGrid w:val="0"/>
        </w:rPr>
        <w:t xml:space="preserve">Local Standards </w:t>
      </w:r>
    </w:p>
    <w:p>
      <w:pPr>
        <w:pStyle w:val="Heading5"/>
        <w:spacing w:before="180"/>
        <w:rPr>
          <w:snapToGrid w:val="0"/>
        </w:rPr>
      </w:pPr>
      <w:bookmarkStart w:id="7" w:name="_Toc390077032"/>
      <w:r>
        <w:rPr>
          <w:rStyle w:val="CharSectno"/>
        </w:rPr>
        <w:t>3</w:t>
      </w:r>
      <w:r>
        <w:rPr>
          <w:snapToGrid w:val="0"/>
        </w:rPr>
        <w:t>.</w:t>
      </w:r>
      <w:r>
        <w:rPr>
          <w:snapToGrid w:val="0"/>
        </w:rPr>
        <w:tab/>
        <w:t>Local Standards</w:t>
      </w:r>
      <w:bookmarkEnd w:id="7"/>
    </w:p>
    <w:p>
      <w:pPr>
        <w:pStyle w:val="Subsection"/>
        <w:spacing w:before="140"/>
        <w:rPr>
          <w:snapToGrid w:val="0"/>
        </w:rPr>
      </w:pPr>
      <w:r>
        <w:rPr>
          <w:snapToGrid w:val="0"/>
        </w:rPr>
        <w:tab/>
      </w:r>
      <w:r>
        <w:rPr>
          <w:snapToGrid w:val="0"/>
        </w:rPr>
        <w:tab/>
        <w:t>Local Standards shall be verified by comparison with the Departmental Standards to the satisfaction of the Chief Inspector, and evidenced by a certificate signed by him.</w:t>
      </w:r>
    </w:p>
    <w:p>
      <w:pPr>
        <w:pStyle w:val="Footnotesection"/>
      </w:pPr>
      <w:r>
        <w:tab/>
        <w:t xml:space="preserve">[Regulation 3 amended in Gazette 9 Sep 1968 p. 2743; 31 Aug 1984 p. 2829.] </w:t>
      </w:r>
    </w:p>
    <w:p>
      <w:pPr>
        <w:pStyle w:val="Heading5"/>
        <w:spacing w:before="200"/>
        <w:rPr>
          <w:snapToGrid w:val="0"/>
        </w:rPr>
      </w:pPr>
      <w:bookmarkStart w:id="8" w:name="_Toc390077033"/>
      <w:r>
        <w:rPr>
          <w:rStyle w:val="CharSectno"/>
        </w:rPr>
        <w:t>4</w:t>
      </w:r>
      <w:r>
        <w:rPr>
          <w:snapToGrid w:val="0"/>
        </w:rPr>
        <w:t>.</w:t>
      </w:r>
      <w:r>
        <w:rPr>
          <w:snapToGrid w:val="0"/>
        </w:rPr>
        <w:tab/>
        <w:t>Tolerance</w:t>
      </w:r>
      <w:bookmarkEnd w:id="8"/>
    </w:p>
    <w:p>
      <w:pPr>
        <w:pStyle w:val="Subsection"/>
        <w:spacing w:before="140"/>
        <w:rPr>
          <w:snapToGrid w:val="0"/>
        </w:rPr>
      </w:pPr>
      <w:r>
        <w:rPr>
          <w:snapToGrid w:val="0"/>
        </w:rPr>
        <w:tab/>
      </w:r>
      <w:r>
        <w:rPr>
          <w:snapToGrid w:val="0"/>
        </w:rPr>
        <w:tab/>
        <w:t>The errors permissible on verification of Local Standards shall be as specified in Table II.</w:t>
      </w:r>
    </w:p>
    <w:p>
      <w:pPr>
        <w:pStyle w:val="Heading5"/>
        <w:spacing w:before="200"/>
        <w:rPr>
          <w:snapToGrid w:val="0"/>
        </w:rPr>
      </w:pPr>
      <w:bookmarkStart w:id="9" w:name="_Toc390077034"/>
      <w:r>
        <w:rPr>
          <w:rStyle w:val="CharSectno"/>
        </w:rPr>
        <w:t>5</w:t>
      </w:r>
      <w:r>
        <w:rPr>
          <w:snapToGrid w:val="0"/>
        </w:rPr>
        <w:t>.</w:t>
      </w:r>
      <w:r>
        <w:rPr>
          <w:snapToGrid w:val="0"/>
        </w:rPr>
        <w:tab/>
        <w:t>Inspectors</w:t>
      </w:r>
      <w:bookmarkEnd w:id="9"/>
    </w:p>
    <w:p>
      <w:pPr>
        <w:pStyle w:val="Subsection"/>
        <w:spacing w:before="140"/>
        <w:rPr>
          <w:snapToGrid w:val="0"/>
        </w:rPr>
      </w:pPr>
      <w:r>
        <w:rPr>
          <w:snapToGrid w:val="0"/>
        </w:rPr>
        <w:tab/>
      </w:r>
      <w:r>
        <w:rPr>
          <w:snapToGrid w:val="0"/>
        </w:rPr>
        <w:tab/>
        <w:t>Each Inspector shall — </w:t>
      </w:r>
    </w:p>
    <w:p>
      <w:pPr>
        <w:pStyle w:val="Indenta"/>
        <w:spacing w:before="60"/>
        <w:rPr>
          <w:snapToGrid w:val="0"/>
        </w:rPr>
      </w:pPr>
      <w:r>
        <w:rPr>
          <w:snapToGrid w:val="0"/>
        </w:rPr>
        <w:tab/>
        <w:t>(a)</w:t>
      </w:r>
      <w:r>
        <w:rPr>
          <w:snapToGrid w:val="0"/>
        </w:rPr>
        <w:tab/>
        <w:t>be supplied with a complete set of brass avoirdupois weights and such other Local Standards, balances, and other articles for the proper performance of his duties as the Chief Inspector deems necessary;</w:t>
      </w:r>
    </w:p>
    <w:p>
      <w:pPr>
        <w:pStyle w:val="Indenta"/>
        <w:rPr>
          <w:snapToGrid w:val="0"/>
        </w:rPr>
      </w:pPr>
      <w:r>
        <w:rPr>
          <w:snapToGrid w:val="0"/>
        </w:rPr>
        <w:tab/>
        <w:t>(b)</w:t>
      </w:r>
      <w:r>
        <w:rPr>
          <w:snapToGrid w:val="0"/>
        </w:rPr>
        <w:tab/>
        <w:t>safely and securely keep the Local Standards and other material issued to him;</w:t>
      </w:r>
    </w:p>
    <w:p>
      <w:pPr>
        <w:pStyle w:val="Indenta"/>
        <w:rPr>
          <w:snapToGrid w:val="0"/>
        </w:rPr>
      </w:pPr>
      <w:r>
        <w:rPr>
          <w:snapToGrid w:val="0"/>
        </w:rPr>
        <w:tab/>
        <w:t>(c)</w:t>
      </w:r>
      <w:r>
        <w:rPr>
          <w:snapToGrid w:val="0"/>
        </w:rPr>
        <w:tab/>
        <w:t>be held responsible for any loss of damage resulting thereto.</w:t>
      </w:r>
    </w:p>
    <w:p>
      <w:pPr>
        <w:pStyle w:val="Footnotesection"/>
      </w:pPr>
      <w:r>
        <w:tab/>
        <w:t xml:space="preserve">[Regulation 5 amended in Gazette 9 Sep 1968 p. 2743; 31 Aug 1984 p. 2829.] </w:t>
      </w:r>
    </w:p>
    <w:p>
      <w:pPr>
        <w:pStyle w:val="Heading2"/>
      </w:pPr>
      <w:bookmarkStart w:id="10" w:name="_Toc390077035"/>
      <w:r>
        <w:rPr>
          <w:rStyle w:val="CharPartNo"/>
        </w:rPr>
        <w:t>Part III</w:t>
      </w:r>
      <w:bookmarkEnd w:id="10"/>
    </w:p>
    <w:p>
      <w:pPr>
        <w:pStyle w:val="MiscellaneousHeading"/>
        <w:rPr>
          <w:b/>
          <w:snapToGrid w:val="0"/>
        </w:rPr>
      </w:pPr>
      <w:r>
        <w:rPr>
          <w:b/>
          <w:snapToGrid w:val="0"/>
        </w:rPr>
        <w:t>Inspection</w:t>
      </w:r>
    </w:p>
    <w:p>
      <w:pPr>
        <w:pStyle w:val="Heading5"/>
        <w:rPr>
          <w:snapToGrid w:val="0"/>
        </w:rPr>
      </w:pPr>
      <w:bookmarkStart w:id="11" w:name="_Toc390077036"/>
      <w:r>
        <w:rPr>
          <w:rStyle w:val="CharSectno"/>
        </w:rPr>
        <w:t>1</w:t>
      </w:r>
      <w:r>
        <w:rPr>
          <w:snapToGrid w:val="0"/>
        </w:rPr>
        <w:t>.</w:t>
      </w:r>
      <w:r>
        <w:rPr>
          <w:snapToGrid w:val="0"/>
        </w:rPr>
        <w:tab/>
        <w:t>Power of Inspectors</w:t>
      </w:r>
      <w:bookmarkEnd w:id="11"/>
    </w:p>
    <w:p>
      <w:pPr>
        <w:pStyle w:val="Subsection"/>
        <w:rPr>
          <w:snapToGrid w:val="0"/>
        </w:rPr>
      </w:pPr>
      <w:r>
        <w:rPr>
          <w:snapToGrid w:val="0"/>
        </w:rPr>
        <w:tab/>
      </w:r>
      <w:r>
        <w:rPr>
          <w:snapToGrid w:val="0"/>
        </w:rPr>
        <w:tab/>
        <w:t>On inspection at traders’ premises an Inspector may obliterate the stamp and date mark — </w:t>
      </w:r>
    </w:p>
    <w:p>
      <w:pPr>
        <w:pStyle w:val="Indenta"/>
        <w:rPr>
          <w:snapToGrid w:val="0"/>
        </w:rPr>
      </w:pPr>
      <w:r>
        <w:rPr>
          <w:snapToGrid w:val="0"/>
        </w:rPr>
        <w:tab/>
        <w:t>(a)</w:t>
      </w:r>
      <w:r>
        <w:rPr>
          <w:snapToGrid w:val="0"/>
        </w:rPr>
        <w:tab/>
        <w:t>on a weight or measure of capacity — </w:t>
      </w:r>
    </w:p>
    <w:p>
      <w:pPr>
        <w:pStyle w:val="Indenti"/>
        <w:rPr>
          <w:snapToGrid w:val="0"/>
        </w:rPr>
      </w:pPr>
      <w:r>
        <w:rPr>
          <w:snapToGrid w:val="0"/>
        </w:rPr>
        <w:tab/>
        <w:t>(1)</w:t>
      </w:r>
      <w:r>
        <w:rPr>
          <w:snapToGrid w:val="0"/>
        </w:rPr>
        <w:tab/>
        <w:t>if the deficiency exceeds half the amount allowed in excess on verification, of if the excess exceeds the amount allowed on verification;</w:t>
      </w:r>
    </w:p>
    <w:p>
      <w:pPr>
        <w:pStyle w:val="Indenti"/>
        <w:rPr>
          <w:snapToGrid w:val="0"/>
        </w:rPr>
      </w:pPr>
      <w:r>
        <w:rPr>
          <w:snapToGrid w:val="0"/>
        </w:rPr>
        <w:tab/>
        <w:t>(2)</w:t>
      </w:r>
      <w:r>
        <w:rPr>
          <w:snapToGrid w:val="0"/>
        </w:rPr>
        <w:tab/>
        <w:t>which is broken, much damaged, indented, or distorted;</w:t>
      </w:r>
    </w:p>
    <w:p>
      <w:pPr>
        <w:pStyle w:val="Indenti"/>
        <w:rPr>
          <w:snapToGrid w:val="0"/>
        </w:rPr>
      </w:pPr>
      <w:r>
        <w:rPr>
          <w:snapToGrid w:val="0"/>
        </w:rPr>
        <w:tab/>
        <w:t>(3)</w:t>
      </w:r>
      <w:r>
        <w:rPr>
          <w:snapToGrid w:val="0"/>
        </w:rPr>
        <w:tab/>
        <w:t>which since last stamping has been altered, repaired, or adjusted;</w:t>
      </w:r>
    </w:p>
    <w:p>
      <w:pPr>
        <w:pStyle w:val="Indenta"/>
        <w:rPr>
          <w:snapToGrid w:val="0"/>
        </w:rPr>
      </w:pPr>
      <w:r>
        <w:rPr>
          <w:snapToGrid w:val="0"/>
        </w:rPr>
        <w:tab/>
        <w:t>(b)</w:t>
      </w:r>
      <w:r>
        <w:rPr>
          <w:snapToGrid w:val="0"/>
        </w:rPr>
        <w:tab/>
        <w:t>on a measure of length — </w:t>
      </w:r>
    </w:p>
    <w:p>
      <w:pPr>
        <w:pStyle w:val="Indenti"/>
        <w:rPr>
          <w:snapToGrid w:val="0"/>
        </w:rPr>
      </w:pPr>
      <w:r>
        <w:rPr>
          <w:snapToGrid w:val="0"/>
        </w:rPr>
        <w:tab/>
        <w:t>(1)</w:t>
      </w:r>
      <w:r>
        <w:rPr>
          <w:snapToGrid w:val="0"/>
        </w:rPr>
        <w:tab/>
        <w:t>if the deficiency or excess exceeds twice the amount allowed in excess on verification;</w:t>
      </w:r>
    </w:p>
    <w:p>
      <w:pPr>
        <w:pStyle w:val="Indenti"/>
        <w:rPr>
          <w:snapToGrid w:val="0"/>
        </w:rPr>
      </w:pPr>
      <w:r>
        <w:rPr>
          <w:snapToGrid w:val="0"/>
        </w:rPr>
        <w:tab/>
        <w:t>(2)</w:t>
      </w:r>
      <w:r>
        <w:rPr>
          <w:snapToGrid w:val="0"/>
        </w:rPr>
        <w:tab/>
        <w:t>which is bent, broken, twisted, or otherwise damaged to such an extent as to be unfit for use;</w:t>
      </w:r>
    </w:p>
    <w:p>
      <w:pPr>
        <w:pStyle w:val="Indenti"/>
        <w:rPr>
          <w:snapToGrid w:val="0"/>
        </w:rPr>
      </w:pPr>
      <w:r>
        <w:rPr>
          <w:snapToGrid w:val="0"/>
        </w:rPr>
        <w:tab/>
        <w:t>(3)</w:t>
      </w:r>
      <w:r>
        <w:rPr>
          <w:snapToGrid w:val="0"/>
        </w:rPr>
        <w:tab/>
        <w:t>which since last stamping has been altered or repaired;</w:t>
      </w:r>
    </w:p>
    <w:p>
      <w:pPr>
        <w:pStyle w:val="Indenta"/>
        <w:rPr>
          <w:snapToGrid w:val="0"/>
        </w:rPr>
      </w:pPr>
      <w:r>
        <w:rPr>
          <w:snapToGrid w:val="0"/>
        </w:rPr>
        <w:tab/>
        <w:t>(c)</w:t>
      </w:r>
      <w:r>
        <w:rPr>
          <w:snapToGrid w:val="0"/>
        </w:rPr>
        <w:tab/>
        <w:t>on a weighing instrument — </w:t>
      </w:r>
    </w:p>
    <w:p>
      <w:pPr>
        <w:pStyle w:val="Indenti"/>
        <w:rPr>
          <w:snapToGrid w:val="0"/>
        </w:rPr>
      </w:pPr>
      <w:r>
        <w:rPr>
          <w:snapToGrid w:val="0"/>
        </w:rPr>
        <w:tab/>
        <w:t>(1)</w:t>
      </w:r>
      <w:r>
        <w:rPr>
          <w:snapToGrid w:val="0"/>
        </w:rPr>
        <w:tab/>
        <w:t>if the error exceeds twice, or the deficiency in sensitiveness exceeds 3 times the amount allowed on verification:</w:t>
      </w:r>
    </w:p>
    <w:p>
      <w:pPr>
        <w:pStyle w:val="Indenti"/>
        <w:rPr>
          <w:snapToGrid w:val="0"/>
        </w:rPr>
      </w:pPr>
      <w:r>
        <w:rPr>
          <w:snapToGrid w:val="0"/>
        </w:rPr>
        <w:tab/>
      </w:r>
      <w:r>
        <w:rPr>
          <w:snapToGrid w:val="0"/>
        </w:rPr>
        <w:tab/>
        <w:t>Provided that on an automatic weighing machine the stamp may be defaced if the error exceeds the amount allowed on verification;</w:t>
      </w:r>
    </w:p>
    <w:p>
      <w:pPr>
        <w:pStyle w:val="Indenti"/>
        <w:rPr>
          <w:snapToGrid w:val="0"/>
        </w:rPr>
      </w:pPr>
      <w:r>
        <w:rPr>
          <w:snapToGrid w:val="0"/>
        </w:rPr>
        <w:tab/>
        <w:t>(2)</w:t>
      </w:r>
      <w:r>
        <w:rPr>
          <w:snapToGrid w:val="0"/>
        </w:rPr>
        <w:tab/>
        <w:t>which since last stamping has been so repaired, altered, or adjusted that it has become necessary to ascertain that the indications of the instrument remain correct;</w:t>
      </w:r>
    </w:p>
    <w:p>
      <w:pPr>
        <w:pStyle w:val="Indenta"/>
        <w:rPr>
          <w:snapToGrid w:val="0"/>
        </w:rPr>
      </w:pPr>
      <w:r>
        <w:rPr>
          <w:snapToGrid w:val="0"/>
        </w:rPr>
        <w:tab/>
        <w:t>(d)</w:t>
      </w:r>
      <w:r>
        <w:rPr>
          <w:snapToGrid w:val="0"/>
        </w:rPr>
        <w:tab/>
        <w:t>on any weight, measure, or instrument — </w:t>
      </w:r>
    </w:p>
    <w:p>
      <w:pPr>
        <w:pStyle w:val="Indenti"/>
        <w:spacing w:before="60"/>
        <w:rPr>
          <w:snapToGrid w:val="0"/>
        </w:rPr>
      </w:pPr>
      <w:r>
        <w:rPr>
          <w:snapToGrid w:val="0"/>
        </w:rPr>
        <w:tab/>
        <w:t>(1)</w:t>
      </w:r>
      <w:r>
        <w:rPr>
          <w:snapToGrid w:val="0"/>
        </w:rPr>
        <w:tab/>
        <w:t>which is of such type, material, or construction as not to comply with the regulations, or the condition of which is such that its use for trade would facilitate fraud;</w:t>
      </w:r>
    </w:p>
    <w:p>
      <w:pPr>
        <w:pStyle w:val="Indenti"/>
        <w:spacing w:before="60"/>
        <w:rPr>
          <w:snapToGrid w:val="0"/>
        </w:rPr>
      </w:pPr>
      <w:r>
        <w:rPr>
          <w:snapToGrid w:val="0"/>
        </w:rPr>
        <w:tab/>
        <w:t>(2)</w:t>
      </w:r>
      <w:r>
        <w:rPr>
          <w:snapToGrid w:val="0"/>
        </w:rPr>
        <w:tab/>
        <w:t>on which the verification or date stamp is illegible;</w:t>
      </w:r>
    </w:p>
    <w:p>
      <w:pPr>
        <w:pStyle w:val="Indenti"/>
        <w:spacing w:before="60"/>
        <w:rPr>
          <w:snapToGrid w:val="0"/>
        </w:rPr>
      </w:pPr>
      <w:r>
        <w:rPr>
          <w:snapToGrid w:val="0"/>
        </w:rPr>
        <w:tab/>
        <w:t>(3)</w:t>
      </w:r>
      <w:r>
        <w:rPr>
          <w:snapToGrid w:val="0"/>
        </w:rPr>
        <w:tab/>
        <w:t>on which the capacity, denomination, or graduations are illegible or have been altered since last stamping;</w:t>
      </w:r>
    </w:p>
    <w:p>
      <w:pPr>
        <w:pStyle w:val="Indenti"/>
        <w:spacing w:before="60"/>
        <w:rPr>
          <w:snapToGrid w:val="0"/>
        </w:rPr>
      </w:pPr>
      <w:r>
        <w:rPr>
          <w:snapToGrid w:val="0"/>
        </w:rPr>
        <w:tab/>
        <w:t>(4)</w:t>
      </w:r>
      <w:r>
        <w:rPr>
          <w:snapToGrid w:val="0"/>
        </w:rPr>
        <w:tab/>
        <w:t>which has not been re</w:t>
      </w:r>
      <w:r>
        <w:rPr>
          <w:snapToGrid w:val="0"/>
        </w:rPr>
        <w:noBreakHyphen/>
        <w:t>verified and stamped within the period prescribed by the Act or regulations;</w:t>
      </w:r>
    </w:p>
    <w:p>
      <w:pPr>
        <w:pStyle w:val="Indenta"/>
        <w:spacing w:before="60"/>
        <w:rPr>
          <w:snapToGrid w:val="0"/>
        </w:rPr>
      </w:pPr>
      <w:r>
        <w:rPr>
          <w:snapToGrid w:val="0"/>
        </w:rPr>
        <w:tab/>
        <w:t>(e)</w:t>
      </w:r>
      <w:r>
        <w:rPr>
          <w:snapToGrid w:val="0"/>
        </w:rPr>
        <w:tab/>
        <w:t>on a measuring instrument for liquids — </w:t>
      </w:r>
    </w:p>
    <w:p>
      <w:pPr>
        <w:pStyle w:val="Indenti"/>
        <w:spacing w:before="60"/>
        <w:rPr>
          <w:snapToGrid w:val="0"/>
        </w:rPr>
      </w:pPr>
      <w:r>
        <w:rPr>
          <w:snapToGrid w:val="0"/>
        </w:rPr>
        <w:tab/>
        <w:t>(1)</w:t>
      </w:r>
      <w:r>
        <w:rPr>
          <w:snapToGrid w:val="0"/>
        </w:rPr>
        <w:tab/>
        <w:t>if the deficiency exceeds half the amount allowed in excess on verification;</w:t>
      </w:r>
    </w:p>
    <w:p>
      <w:pPr>
        <w:pStyle w:val="Indenti"/>
        <w:spacing w:before="60"/>
        <w:rPr>
          <w:snapToGrid w:val="0"/>
        </w:rPr>
      </w:pPr>
      <w:r>
        <w:rPr>
          <w:snapToGrid w:val="0"/>
        </w:rPr>
        <w:tab/>
        <w:t>(2)</w:t>
      </w:r>
      <w:r>
        <w:rPr>
          <w:snapToGrid w:val="0"/>
        </w:rPr>
        <w:tab/>
        <w:t>if any seal is unstamped of broken;</w:t>
      </w:r>
    </w:p>
    <w:p>
      <w:pPr>
        <w:pStyle w:val="Indenti"/>
        <w:spacing w:before="60"/>
        <w:rPr>
          <w:snapToGrid w:val="0"/>
        </w:rPr>
      </w:pPr>
      <w:r>
        <w:rPr>
          <w:snapToGrid w:val="0"/>
        </w:rPr>
        <w:tab/>
        <w:t>(3)</w:t>
      </w:r>
      <w:r>
        <w:rPr>
          <w:snapToGrid w:val="0"/>
        </w:rPr>
        <w:tab/>
        <w:t>if any joint, valve, tap, hose connection or other part is leaking or any essential part is broken or damaged or the condition of the instrument is such that in the opinion of the Inspector, it is liable to measure unjustly or facilitate fraud;</w:t>
      </w:r>
    </w:p>
    <w:p>
      <w:pPr>
        <w:pStyle w:val="Indenta"/>
        <w:spacing w:before="60"/>
        <w:rPr>
          <w:snapToGrid w:val="0"/>
        </w:rPr>
      </w:pPr>
      <w:r>
        <w:rPr>
          <w:snapToGrid w:val="0"/>
        </w:rPr>
        <w:tab/>
        <w:t>(ee)</w:t>
      </w:r>
      <w:r>
        <w:rPr>
          <w:snapToGrid w:val="0"/>
        </w:rPr>
        <w:tab/>
        <w:t>on a retail flow meter if the retail flow meter does not conform to the requirements of paragraph (e)(2) or (3), and if the error in excess is more than one</w:t>
      </w:r>
      <w:r>
        <w:rPr>
          <w:snapToGrid w:val="0"/>
        </w:rPr>
        <w:noBreakHyphen/>
        <w:t>half as much again as the error allowed on verification;</w:t>
      </w:r>
    </w:p>
    <w:p>
      <w:pPr>
        <w:pStyle w:val="Indenta"/>
        <w:spacing w:before="60"/>
        <w:rPr>
          <w:snapToGrid w:val="0"/>
        </w:rPr>
      </w:pPr>
      <w:r>
        <w:rPr>
          <w:snapToGrid w:val="0"/>
        </w:rPr>
        <w:tab/>
        <w:t>(f)</w:t>
      </w:r>
      <w:r>
        <w:rPr>
          <w:snapToGrid w:val="0"/>
        </w:rPr>
        <w:tab/>
        <w:t>on a fixed weighing or measuring instrument which has been moved from the position where last verified and stamped.</w:t>
      </w:r>
    </w:p>
    <w:p>
      <w:pPr>
        <w:pStyle w:val="Footnotesection"/>
      </w:pPr>
      <w:r>
        <w:tab/>
        <w:t xml:space="preserve">[Regulation 1 amended in Gazette 23 May 1960 p. 1394.] </w:t>
      </w:r>
    </w:p>
    <w:p>
      <w:pPr>
        <w:pStyle w:val="Heading5"/>
        <w:spacing w:before="200"/>
        <w:rPr>
          <w:snapToGrid w:val="0"/>
        </w:rPr>
      </w:pPr>
      <w:bookmarkStart w:id="12" w:name="_Toc390077037"/>
      <w:r>
        <w:rPr>
          <w:rStyle w:val="CharSectno"/>
        </w:rPr>
        <w:t>2</w:t>
      </w:r>
      <w:r>
        <w:rPr>
          <w:snapToGrid w:val="0"/>
        </w:rPr>
        <w:t>.</w:t>
      </w:r>
      <w:r>
        <w:rPr>
          <w:snapToGrid w:val="0"/>
        </w:rPr>
        <w:tab/>
        <w:t>Inspector may issue notice to re</w:t>
      </w:r>
      <w:r>
        <w:rPr>
          <w:snapToGrid w:val="0"/>
        </w:rPr>
        <w:noBreakHyphen/>
        <w:t>stamp or remove</w:t>
      </w:r>
      <w:bookmarkEnd w:id="12"/>
    </w:p>
    <w:p>
      <w:pPr>
        <w:pStyle w:val="Subsection"/>
        <w:spacing w:before="140"/>
        <w:rPr>
          <w:snapToGrid w:val="0"/>
        </w:rPr>
      </w:pPr>
      <w:r>
        <w:rPr>
          <w:snapToGrid w:val="0"/>
        </w:rPr>
        <w:tab/>
      </w:r>
      <w:r>
        <w:rPr>
          <w:snapToGrid w:val="0"/>
        </w:rPr>
        <w:tab/>
        <w:t>When the provisions of regulation 1 are not complied with, but, in the opinion of the Inspector, the contravention is not such as to require the immediate obliteration of the stamp, he shall leave with the trader a notice requiring him to have the weight, measure, or instrument re</w:t>
      </w:r>
      <w:r>
        <w:rPr>
          <w:snapToGrid w:val="0"/>
        </w:rPr>
        <w:noBreakHyphen/>
        <w:t>stamped or removed from any premises where trade is carried on within a stated period not to exceed, except in special circumstances, 28 days.</w:t>
      </w:r>
    </w:p>
    <w:p>
      <w:pPr>
        <w:pStyle w:val="Subsection"/>
        <w:rPr>
          <w:snapToGrid w:val="0"/>
        </w:rPr>
      </w:pPr>
      <w:r>
        <w:rPr>
          <w:snapToGrid w:val="0"/>
        </w:rPr>
        <w:tab/>
      </w:r>
      <w:r>
        <w:rPr>
          <w:snapToGrid w:val="0"/>
        </w:rPr>
        <w:tab/>
        <w:t xml:space="preserve">Any trader to whom such notice has been given shall comply therewith. </w:t>
      </w:r>
    </w:p>
    <w:p>
      <w:pPr>
        <w:pStyle w:val="Heading5"/>
        <w:rPr>
          <w:snapToGrid w:val="0"/>
        </w:rPr>
      </w:pPr>
      <w:bookmarkStart w:id="13" w:name="_Toc390077038"/>
      <w:r>
        <w:rPr>
          <w:rStyle w:val="CharSectno"/>
        </w:rPr>
        <w:t>3</w:t>
      </w:r>
      <w:r>
        <w:rPr>
          <w:snapToGrid w:val="0"/>
        </w:rPr>
        <w:t>.</w:t>
      </w:r>
      <w:r>
        <w:rPr>
          <w:snapToGrid w:val="0"/>
        </w:rPr>
        <w:tab/>
        <w:t>When re</w:t>
      </w:r>
      <w:r>
        <w:rPr>
          <w:snapToGrid w:val="0"/>
        </w:rPr>
        <w:noBreakHyphen/>
        <w:t>balancing required</w:t>
      </w:r>
      <w:bookmarkEnd w:id="13"/>
    </w:p>
    <w:p>
      <w:pPr>
        <w:pStyle w:val="Subsection"/>
        <w:rPr>
          <w:snapToGrid w:val="0"/>
        </w:rPr>
      </w:pPr>
      <w:r>
        <w:rPr>
          <w:snapToGrid w:val="0"/>
        </w:rPr>
        <w:tab/>
      </w:r>
      <w:r>
        <w:rPr>
          <w:snapToGrid w:val="0"/>
        </w:rPr>
        <w:tab/>
        <w:t>When the incorrectness of a weighing instrument is due merely to a need for re</w:t>
      </w:r>
      <w:r>
        <w:rPr>
          <w:snapToGrid w:val="0"/>
        </w:rPr>
        <w:noBreakHyphen/>
        <w:t>balancing, which can be effected by the means provided for such purpose, and this is immediately done in the Inspector’s presence, the stamp shall not be obliterated.</w:t>
      </w:r>
    </w:p>
    <w:p>
      <w:pPr>
        <w:pStyle w:val="Heading2"/>
      </w:pPr>
      <w:bookmarkStart w:id="14" w:name="_Toc390077039"/>
      <w:r>
        <w:rPr>
          <w:rStyle w:val="CharPartNo"/>
        </w:rPr>
        <w:t>Part IV</w:t>
      </w:r>
      <w:bookmarkEnd w:id="14"/>
    </w:p>
    <w:p>
      <w:pPr>
        <w:pStyle w:val="MiscellaneousHeading"/>
        <w:rPr>
          <w:b/>
          <w:snapToGrid w:val="0"/>
        </w:rPr>
      </w:pPr>
      <w:r>
        <w:rPr>
          <w:b/>
          <w:snapToGrid w:val="0"/>
        </w:rPr>
        <w:t>Verification</w:t>
      </w:r>
    </w:p>
    <w:p>
      <w:pPr>
        <w:pStyle w:val="MiscellaneousHeading"/>
        <w:rPr>
          <w:b/>
          <w:snapToGrid w:val="0"/>
        </w:rPr>
      </w:pPr>
      <w:r>
        <w:rPr>
          <w:b/>
          <w:snapToGrid w:val="0"/>
        </w:rPr>
        <w:t>General</w:t>
      </w:r>
    </w:p>
    <w:p>
      <w:pPr>
        <w:pStyle w:val="Heading5"/>
        <w:rPr>
          <w:snapToGrid w:val="0"/>
        </w:rPr>
      </w:pPr>
      <w:bookmarkStart w:id="15" w:name="_Toc390077040"/>
      <w:r>
        <w:rPr>
          <w:rStyle w:val="CharSectno"/>
        </w:rPr>
        <w:t>1</w:t>
      </w:r>
      <w:r>
        <w:rPr>
          <w:snapToGrid w:val="0"/>
        </w:rPr>
        <w:t>.</w:t>
      </w:r>
      <w:r>
        <w:rPr>
          <w:snapToGrid w:val="0"/>
        </w:rPr>
        <w:tab/>
        <w:t>Inspector may verify weight, measure or instrument</w:t>
      </w:r>
      <w:bookmarkEnd w:id="15"/>
    </w:p>
    <w:p>
      <w:pPr>
        <w:pStyle w:val="Subsection"/>
        <w:rPr>
          <w:snapToGrid w:val="0"/>
        </w:rPr>
      </w:pPr>
      <w:r>
        <w:rPr>
          <w:snapToGrid w:val="0"/>
        </w:rPr>
        <w:tab/>
      </w:r>
      <w:r>
        <w:rPr>
          <w:snapToGrid w:val="0"/>
        </w:rPr>
        <w:tab/>
        <w:t>When any weight, measure, or instrument submitted for verification has been tested and approved by an Inspector he shall, unless the small size of the article or other sufficient reason renders it impracticable, impress thereon a stamp of verification, and where practicable also impress a date mark indicating the month and year of such stamping:</w:t>
      </w:r>
    </w:p>
    <w:p>
      <w:pPr>
        <w:pStyle w:val="Subsection"/>
        <w:rPr>
          <w:snapToGrid w:val="0"/>
        </w:rPr>
      </w:pPr>
      <w:r>
        <w:rPr>
          <w:snapToGrid w:val="0"/>
        </w:rPr>
        <w:tab/>
      </w:r>
      <w:r>
        <w:rPr>
          <w:snapToGrid w:val="0"/>
        </w:rPr>
        <w:tab/>
        <w:t>Provided — </w:t>
      </w:r>
    </w:p>
    <w:p>
      <w:pPr>
        <w:pStyle w:val="Indenta"/>
        <w:rPr>
          <w:snapToGrid w:val="0"/>
        </w:rPr>
      </w:pPr>
      <w:r>
        <w:rPr>
          <w:snapToGrid w:val="0"/>
        </w:rPr>
        <w:tab/>
        <w:t>(a)</w:t>
      </w:r>
      <w:r>
        <w:rPr>
          <w:snapToGrid w:val="0"/>
        </w:rPr>
        <w:tab/>
        <w:t>that on a weighing or measuring instrument so constructed that the impression of a stamp or date would be liable to injure such instrument, such stamp or mark may be impressed on a lead seal attached thereto in an approved manner;</w:t>
      </w:r>
    </w:p>
    <w:p>
      <w:pPr>
        <w:pStyle w:val="Indenta"/>
        <w:rPr>
          <w:snapToGrid w:val="0"/>
        </w:rPr>
      </w:pPr>
      <w:r>
        <w:rPr>
          <w:snapToGrid w:val="0"/>
        </w:rPr>
        <w:tab/>
        <w:t>(b)</w:t>
      </w:r>
      <w:r>
        <w:rPr>
          <w:snapToGrid w:val="0"/>
        </w:rPr>
        <w:tab/>
        <w:t>that where a weight, measure, or instrument bears a legible stamp an Inspector may, at his discretion, impress thereon a date mark only.</w:t>
      </w:r>
    </w:p>
    <w:p>
      <w:pPr>
        <w:pStyle w:val="Subsection"/>
        <w:rPr>
          <w:snapToGrid w:val="0"/>
        </w:rPr>
      </w:pPr>
      <w:r>
        <w:rPr>
          <w:snapToGrid w:val="0"/>
        </w:rPr>
        <w:tab/>
      </w:r>
      <w:r>
        <w:rPr>
          <w:snapToGrid w:val="0"/>
        </w:rPr>
        <w:tab/>
        <w:t>In the impression of a date mark the month of the stamping may be indicated by a letter and the year by the last figure of such year, or in any other manner approved by the Chief Inspector.</w:t>
      </w:r>
    </w:p>
    <w:p>
      <w:pPr>
        <w:pStyle w:val="Footnotesection"/>
      </w:pPr>
      <w:r>
        <w:tab/>
        <w:t xml:space="preserve">[Regulation 1 amended in Gazette 9 Sep 1968 p. 2743; 31 Aug 1984 p. 2829.] </w:t>
      </w:r>
    </w:p>
    <w:p>
      <w:pPr>
        <w:pStyle w:val="Heading5"/>
        <w:rPr>
          <w:snapToGrid w:val="0"/>
        </w:rPr>
      </w:pPr>
      <w:bookmarkStart w:id="16" w:name="_Toc390077041"/>
      <w:r>
        <w:rPr>
          <w:rStyle w:val="CharSectno"/>
        </w:rPr>
        <w:t>2</w:t>
      </w:r>
      <w:r>
        <w:rPr>
          <w:snapToGrid w:val="0"/>
        </w:rPr>
        <w:t>.</w:t>
      </w:r>
      <w:r>
        <w:rPr>
          <w:snapToGrid w:val="0"/>
        </w:rPr>
        <w:tab/>
        <w:t>Requirements for verification</w:t>
      </w:r>
      <w:bookmarkEnd w:id="16"/>
    </w:p>
    <w:p>
      <w:pPr>
        <w:pStyle w:val="Subsection"/>
        <w:rPr>
          <w:snapToGrid w:val="0"/>
        </w:rPr>
      </w:pPr>
      <w:r>
        <w:rPr>
          <w:snapToGrid w:val="0"/>
        </w:rPr>
        <w:tab/>
      </w:r>
      <w:r>
        <w:rPr>
          <w:snapToGrid w:val="0"/>
        </w:rPr>
        <w:tab/>
        <w:t>An Inspector shall not — </w:t>
      </w:r>
    </w:p>
    <w:p>
      <w:pPr>
        <w:pStyle w:val="Indenta"/>
        <w:rPr>
          <w:snapToGrid w:val="0"/>
        </w:rPr>
      </w:pPr>
      <w:r>
        <w:rPr>
          <w:snapToGrid w:val="0"/>
        </w:rPr>
        <w:tab/>
        <w:t>(a)</w:t>
      </w:r>
      <w:r>
        <w:rPr>
          <w:snapToGrid w:val="0"/>
        </w:rPr>
        <w:tab/>
        <w:t>stamp any weight or measure which is not of a denomination provided in the Act, Schedule A, or proclaimed a Standard under the Act, or set out in Table XIV of these regulations;</w:t>
      </w:r>
    </w:p>
    <w:p>
      <w:pPr>
        <w:pStyle w:val="Indenta"/>
        <w:rPr>
          <w:snapToGrid w:val="0"/>
        </w:rPr>
      </w:pPr>
      <w:r>
        <w:rPr>
          <w:snapToGrid w:val="0"/>
        </w:rPr>
        <w:tab/>
        <w:t>(b)</w:t>
      </w:r>
      <w:r>
        <w:rPr>
          <w:snapToGrid w:val="0"/>
        </w:rPr>
        <w:tab/>
        <w:t>stamp any weight, measure, or instrument which — </w:t>
      </w:r>
    </w:p>
    <w:p>
      <w:pPr>
        <w:pStyle w:val="Indenti"/>
        <w:spacing w:before="60"/>
        <w:rPr>
          <w:snapToGrid w:val="0"/>
        </w:rPr>
      </w:pPr>
      <w:r>
        <w:rPr>
          <w:snapToGrid w:val="0"/>
        </w:rPr>
        <w:tab/>
        <w:t>(1)</w:t>
      </w:r>
      <w:r>
        <w:rPr>
          <w:snapToGrid w:val="0"/>
        </w:rPr>
        <w:tab/>
        <w:t>is of such type, material, or construction as would in use for trade facilitate fraud;</w:t>
      </w:r>
    </w:p>
    <w:p>
      <w:pPr>
        <w:pStyle w:val="Indenti"/>
        <w:spacing w:before="60"/>
        <w:rPr>
          <w:snapToGrid w:val="0"/>
        </w:rPr>
      </w:pPr>
      <w:r>
        <w:rPr>
          <w:snapToGrid w:val="0"/>
        </w:rPr>
        <w:tab/>
        <w:t>(2)</w:t>
      </w:r>
      <w:r>
        <w:rPr>
          <w:snapToGrid w:val="0"/>
        </w:rPr>
        <w:tab/>
        <w:t>is not sufficiently strong to withstand the wear and tear of ordinary use in trade, or is much damaged;</w:t>
      </w:r>
    </w:p>
    <w:p>
      <w:pPr>
        <w:pStyle w:val="Indenti"/>
        <w:spacing w:before="60"/>
        <w:rPr>
          <w:snapToGrid w:val="0"/>
        </w:rPr>
      </w:pPr>
      <w:r>
        <w:rPr>
          <w:snapToGrid w:val="0"/>
        </w:rPr>
        <w:tab/>
        <w:t>(3)</w:t>
      </w:r>
      <w:r>
        <w:rPr>
          <w:snapToGrid w:val="0"/>
        </w:rPr>
        <w:tab/>
        <w:t>is not complete in itself;</w:t>
      </w:r>
    </w:p>
    <w:p>
      <w:pPr>
        <w:pStyle w:val="Indenti"/>
        <w:spacing w:before="60"/>
        <w:rPr>
          <w:snapToGrid w:val="0"/>
        </w:rPr>
      </w:pPr>
      <w:r>
        <w:rPr>
          <w:snapToGrid w:val="0"/>
        </w:rPr>
        <w:tab/>
        <w:t>(4)</w:t>
      </w:r>
      <w:r>
        <w:rPr>
          <w:snapToGrid w:val="0"/>
        </w:rPr>
        <w:tab/>
        <w:t>is denominated or has its capacity marked otherwise than as prescribed by the regulations;</w:t>
      </w:r>
    </w:p>
    <w:p>
      <w:pPr>
        <w:pStyle w:val="Indenti"/>
        <w:spacing w:before="60"/>
        <w:rPr>
          <w:snapToGrid w:val="0"/>
        </w:rPr>
      </w:pPr>
      <w:r>
        <w:rPr>
          <w:snapToGrid w:val="0"/>
        </w:rPr>
        <w:tab/>
        <w:t>(5)</w:t>
      </w:r>
      <w:r>
        <w:rPr>
          <w:snapToGrid w:val="0"/>
        </w:rPr>
        <w:tab/>
        <w:t>bears a manufacturer’s or other mark which may be mistaken for a verification stamp;</w:t>
      </w:r>
    </w:p>
    <w:p>
      <w:pPr>
        <w:pStyle w:val="Indenti"/>
        <w:spacing w:before="60"/>
        <w:rPr>
          <w:snapToGrid w:val="0"/>
        </w:rPr>
      </w:pPr>
      <w:r>
        <w:rPr>
          <w:snapToGrid w:val="0"/>
        </w:rPr>
        <w:tab/>
        <w:t>(6)</w:t>
      </w:r>
      <w:r>
        <w:rPr>
          <w:snapToGrid w:val="0"/>
        </w:rPr>
        <w:tab/>
        <w:t>is of rough, crude, or unworkmanlike construction, or of inferior material;</w:t>
      </w:r>
    </w:p>
    <w:p>
      <w:pPr>
        <w:pStyle w:val="Indenti"/>
        <w:spacing w:before="60"/>
        <w:rPr>
          <w:snapToGrid w:val="0"/>
        </w:rPr>
      </w:pPr>
      <w:r>
        <w:rPr>
          <w:snapToGrid w:val="0"/>
        </w:rPr>
        <w:tab/>
        <w:t>(7)</w:t>
      </w:r>
      <w:r>
        <w:rPr>
          <w:snapToGrid w:val="0"/>
        </w:rPr>
        <w:tab/>
        <w:t>is not clean or the painted parts of which are not dry;</w:t>
      </w:r>
    </w:p>
    <w:p>
      <w:pPr>
        <w:pStyle w:val="Indenti"/>
        <w:spacing w:before="60"/>
        <w:rPr>
          <w:snapToGrid w:val="0"/>
        </w:rPr>
      </w:pPr>
      <w:r>
        <w:rPr>
          <w:snapToGrid w:val="0"/>
        </w:rPr>
        <w:tab/>
        <w:t>(8)</w:t>
      </w:r>
      <w:r>
        <w:rPr>
          <w:snapToGrid w:val="0"/>
        </w:rPr>
        <w:tab/>
        <w:t>does not comply with the requirements of the regulations:</w:t>
      </w:r>
    </w:p>
    <w:p>
      <w:pPr>
        <w:pStyle w:val="Indenti"/>
        <w:spacing w:before="60"/>
        <w:rPr>
          <w:snapToGrid w:val="0"/>
        </w:rPr>
      </w:pPr>
      <w:r>
        <w:rPr>
          <w:snapToGrid w:val="0"/>
        </w:rPr>
        <w:tab/>
      </w:r>
      <w:r>
        <w:rPr>
          <w:snapToGrid w:val="0"/>
        </w:rPr>
        <w:tab/>
        <w:t>Provided that when a weight, measure, or instrument which has been in use for trade prior to the date of the regulations does not comply therewith in some minor respect only, and no period of allowance is provided, an Inspector may at his discretion stamp such weight, measure, or instrument for 10 years from such date;</w:t>
      </w:r>
    </w:p>
    <w:p>
      <w:pPr>
        <w:pStyle w:val="Indenta"/>
        <w:spacing w:before="60"/>
        <w:rPr>
          <w:snapToGrid w:val="0"/>
        </w:rPr>
      </w:pPr>
      <w:r>
        <w:rPr>
          <w:snapToGrid w:val="0"/>
        </w:rPr>
        <w:tab/>
        <w:t>(c)</w:t>
      </w:r>
      <w:r>
        <w:rPr>
          <w:snapToGrid w:val="0"/>
        </w:rPr>
        <w:tab/>
        <w:t>stamp any weight, measure, or weighing instrument presenting novel features, or any measuring instrument unless a weight, measure, or instrument of similar type, material, and design has been approved by the Chief Inspector; and the Inspector may withhold the verification stamp until he has had reasonable time to verify such approval.</w:t>
      </w:r>
    </w:p>
    <w:p>
      <w:pPr>
        <w:pStyle w:val="Footnotesection"/>
      </w:pPr>
      <w:r>
        <w:tab/>
        <w:t xml:space="preserve">[Regulation 2 amended in Gazette 23 May 1960 p. 1394; 9 Sep 1968 p. 2743; 31 Aug 1984 p. 2829.] </w:t>
      </w:r>
    </w:p>
    <w:p>
      <w:pPr>
        <w:pStyle w:val="Heading5"/>
        <w:rPr>
          <w:snapToGrid w:val="0"/>
        </w:rPr>
      </w:pPr>
      <w:bookmarkStart w:id="17" w:name="_Toc390077042"/>
      <w:r>
        <w:rPr>
          <w:rStyle w:val="CharSectno"/>
        </w:rPr>
        <w:t>2A</w:t>
      </w:r>
      <w:r>
        <w:rPr>
          <w:snapToGrid w:val="0"/>
        </w:rPr>
        <w:t>.</w:t>
      </w:r>
      <w:r>
        <w:rPr>
          <w:snapToGrid w:val="0"/>
        </w:rPr>
        <w:tab/>
        <w:t>Consent required for certain verifications</w:t>
      </w:r>
      <w:bookmarkEnd w:id="17"/>
    </w:p>
    <w:p>
      <w:pPr>
        <w:pStyle w:val="Subsection"/>
        <w:rPr>
          <w:snapToGrid w:val="0"/>
        </w:rPr>
      </w:pPr>
      <w:r>
        <w:rPr>
          <w:snapToGrid w:val="0"/>
        </w:rPr>
        <w:tab/>
        <w:t>(1)</w:t>
      </w:r>
      <w:r>
        <w:rPr>
          <w:snapToGrid w:val="0"/>
        </w:rPr>
        <w:tab/>
        <w:t>An Inspector shall not</w:t>
      </w:r>
    </w:p>
    <w:p>
      <w:pPr>
        <w:pStyle w:val="Indenta"/>
        <w:spacing w:before="70"/>
        <w:rPr>
          <w:snapToGrid w:val="0"/>
        </w:rPr>
      </w:pPr>
      <w:r>
        <w:rPr>
          <w:snapToGrid w:val="0"/>
        </w:rPr>
        <w:tab/>
        <w:t>(a)</w:t>
      </w:r>
      <w:r>
        <w:rPr>
          <w:snapToGrid w:val="0"/>
        </w:rPr>
        <w:tab/>
        <w:t>on and after 1 March 1975 admit to verification a new instrument that is calibrated in terms of Commonwealth legal units of measurement of the imperial system;</w:t>
      </w:r>
    </w:p>
    <w:p>
      <w:pPr>
        <w:pStyle w:val="Indenta"/>
        <w:spacing w:before="70"/>
        <w:rPr>
          <w:snapToGrid w:val="0"/>
        </w:rPr>
      </w:pPr>
      <w:r>
        <w:rPr>
          <w:snapToGrid w:val="0"/>
        </w:rPr>
        <w:tab/>
        <w:t>(b)</w:t>
      </w:r>
      <w:r>
        <w:rPr>
          <w:snapToGrid w:val="0"/>
        </w:rPr>
        <w:tab/>
        <w:t>on and after 1 January 1978 admit to verification any instrument that is calibrated in terms of Commonwealth legal units of measurement of the imperial system,</w:t>
      </w:r>
    </w:p>
    <w:p>
      <w:pPr>
        <w:pStyle w:val="Subsection"/>
        <w:spacing w:before="80"/>
        <w:rPr>
          <w:snapToGrid w:val="0"/>
        </w:rPr>
      </w:pPr>
      <w:r>
        <w:rPr>
          <w:snapToGrid w:val="0"/>
        </w:rPr>
        <w:tab/>
      </w:r>
      <w:r>
        <w:rPr>
          <w:snapToGrid w:val="0"/>
        </w:rPr>
        <w:tab/>
        <w:t>unless the Chief Inspector is satisfied that it is reasonable to do so and consents to the admission to verification of an instrument so calibrated.</w:t>
      </w:r>
    </w:p>
    <w:p>
      <w:pPr>
        <w:pStyle w:val="Footnotesection"/>
      </w:pPr>
      <w:r>
        <w:tab/>
        <w:t xml:space="preserve">[Regulation 2A inserted in Gazette 20 Dec 1974 p. 5655; amended in Gazette 31 Aug 1984 p. 2829.] </w:t>
      </w:r>
    </w:p>
    <w:p>
      <w:pPr>
        <w:pStyle w:val="Heading5"/>
        <w:rPr>
          <w:snapToGrid w:val="0"/>
        </w:rPr>
      </w:pPr>
      <w:bookmarkStart w:id="18" w:name="_Toc390077043"/>
      <w:r>
        <w:rPr>
          <w:rStyle w:val="CharSectno"/>
        </w:rPr>
        <w:t>3</w:t>
      </w:r>
      <w:r>
        <w:rPr>
          <w:snapToGrid w:val="0"/>
        </w:rPr>
        <w:t>.</w:t>
      </w:r>
      <w:r>
        <w:rPr>
          <w:snapToGrid w:val="0"/>
        </w:rPr>
        <w:tab/>
        <w:t>Inspector may obliterate stamp on rejected weight etc.</w:t>
      </w:r>
      <w:bookmarkEnd w:id="18"/>
    </w:p>
    <w:p>
      <w:pPr>
        <w:pStyle w:val="Subsection"/>
        <w:rPr>
          <w:snapToGrid w:val="0"/>
        </w:rPr>
      </w:pPr>
      <w:r>
        <w:rPr>
          <w:snapToGrid w:val="0"/>
        </w:rPr>
        <w:tab/>
      </w:r>
      <w:r>
        <w:rPr>
          <w:snapToGrid w:val="0"/>
        </w:rPr>
        <w:tab/>
        <w:t>When a weight, measure or instrument submitted for verification has been rejected an Inspector may obliterate any stamp or date mark thereon.</w:t>
      </w:r>
    </w:p>
    <w:p>
      <w:pPr>
        <w:pStyle w:val="Heading5"/>
        <w:rPr>
          <w:snapToGrid w:val="0"/>
        </w:rPr>
      </w:pPr>
      <w:bookmarkStart w:id="19" w:name="_Toc390077044"/>
      <w:r>
        <w:rPr>
          <w:rStyle w:val="CharSectno"/>
        </w:rPr>
        <w:t>4</w:t>
      </w:r>
      <w:r>
        <w:rPr>
          <w:snapToGrid w:val="0"/>
        </w:rPr>
        <w:t>.</w:t>
      </w:r>
      <w:r>
        <w:rPr>
          <w:snapToGrid w:val="0"/>
        </w:rPr>
        <w:tab/>
        <w:t>Approval of instrument etc. with novel features</w:t>
      </w:r>
      <w:bookmarkEnd w:id="19"/>
    </w:p>
    <w:p>
      <w:pPr>
        <w:pStyle w:val="Subsection"/>
        <w:rPr>
          <w:snapToGrid w:val="0"/>
        </w:rPr>
      </w:pPr>
      <w:r>
        <w:rPr>
          <w:snapToGrid w:val="0"/>
        </w:rPr>
        <w:tab/>
      </w:r>
      <w:r>
        <w:rPr>
          <w:snapToGrid w:val="0"/>
        </w:rPr>
        <w:tab/>
        <w:t>Any person desiring approval by the Chief Inspector of any weight, measure, or instrument presenting novel features shall — </w:t>
      </w:r>
    </w:p>
    <w:p>
      <w:pPr>
        <w:pStyle w:val="Indenta"/>
        <w:rPr>
          <w:snapToGrid w:val="0"/>
        </w:rPr>
      </w:pPr>
      <w:r>
        <w:rPr>
          <w:snapToGrid w:val="0"/>
        </w:rPr>
        <w:tab/>
        <w:t>(a)</w:t>
      </w:r>
      <w:r>
        <w:rPr>
          <w:snapToGrid w:val="0"/>
        </w:rPr>
        <w:tab/>
        <w:t>submit a sample weight, measure, or instrument for examination, and such specification and drawings as the Chief Inspector may require;</w:t>
      </w:r>
    </w:p>
    <w:p>
      <w:pPr>
        <w:pStyle w:val="Indenta"/>
        <w:rPr>
          <w:snapToGrid w:val="0"/>
        </w:rPr>
      </w:pPr>
      <w:r>
        <w:rPr>
          <w:snapToGrid w:val="0"/>
        </w:rPr>
        <w:tab/>
        <w:t>(b)</w:t>
      </w:r>
      <w:r>
        <w:rPr>
          <w:snapToGrid w:val="0"/>
        </w:rPr>
        <w:tab/>
        <w:t>pay an examination fee of $2.</w:t>
      </w:r>
    </w:p>
    <w:p>
      <w:pPr>
        <w:pStyle w:val="Footnotesection"/>
      </w:pPr>
      <w:r>
        <w:tab/>
        <w:t xml:space="preserve">[Regulation 4 amended by Act No. 113 of 1965 s. 8; amended in Gazette 9 Sep 1968 p. 2743; 31 Aug 1984 p. 2829.] </w:t>
      </w:r>
    </w:p>
    <w:p>
      <w:pPr>
        <w:pStyle w:val="Heading5"/>
        <w:rPr>
          <w:snapToGrid w:val="0"/>
        </w:rPr>
      </w:pPr>
      <w:bookmarkStart w:id="20" w:name="_Toc390077045"/>
      <w:r>
        <w:rPr>
          <w:rStyle w:val="CharSectno"/>
        </w:rPr>
        <w:t>5</w:t>
      </w:r>
      <w:r>
        <w:rPr>
          <w:snapToGrid w:val="0"/>
        </w:rPr>
        <w:t>.</w:t>
      </w:r>
      <w:r>
        <w:rPr>
          <w:snapToGrid w:val="0"/>
        </w:rPr>
        <w:tab/>
        <w:t>Approval and certificate of Chief Inspector</w:t>
      </w:r>
      <w:bookmarkEnd w:id="20"/>
    </w:p>
    <w:p>
      <w:pPr>
        <w:pStyle w:val="Subsection"/>
        <w:rPr>
          <w:snapToGrid w:val="0"/>
        </w:rPr>
      </w:pPr>
      <w:r>
        <w:rPr>
          <w:snapToGrid w:val="0"/>
        </w:rPr>
        <w:tab/>
      </w:r>
      <w:r>
        <w:rPr>
          <w:snapToGrid w:val="0"/>
        </w:rPr>
        <w:tab/>
        <w:t>The Chief Inspector may approve and issue a certificate for any weight, measure, or instrument the type, material, and design of which in his opinion is suitable for use for trade and would not facilitate fraud.</w:t>
      </w:r>
    </w:p>
    <w:p>
      <w:pPr>
        <w:pStyle w:val="Footnotesection"/>
      </w:pPr>
      <w:r>
        <w:tab/>
        <w:t xml:space="preserve">[Regulation 5 amended in Gazette 23 May 1960 p. 1394; 9 Sep 1968 p. 2743; 31 Aug 1984 p. 2829.] </w:t>
      </w:r>
    </w:p>
    <w:p>
      <w:pPr>
        <w:pStyle w:val="Heading5"/>
        <w:rPr>
          <w:snapToGrid w:val="0"/>
        </w:rPr>
      </w:pPr>
      <w:bookmarkStart w:id="21" w:name="_Toc390077046"/>
      <w:r>
        <w:rPr>
          <w:rStyle w:val="CharSectno"/>
        </w:rPr>
        <w:t>6</w:t>
      </w:r>
      <w:r>
        <w:rPr>
          <w:snapToGrid w:val="0"/>
        </w:rPr>
        <w:t>.</w:t>
      </w:r>
      <w:r>
        <w:rPr>
          <w:snapToGrid w:val="0"/>
        </w:rPr>
        <w:tab/>
        <w:t>Certificate may be conditional</w:t>
      </w:r>
      <w:bookmarkEnd w:id="21"/>
    </w:p>
    <w:p>
      <w:pPr>
        <w:pStyle w:val="Subsection"/>
        <w:spacing w:before="120"/>
        <w:rPr>
          <w:snapToGrid w:val="0"/>
        </w:rPr>
      </w:pPr>
      <w:r>
        <w:rPr>
          <w:snapToGrid w:val="0"/>
        </w:rPr>
        <w:tab/>
      </w:r>
      <w:r>
        <w:rPr>
          <w:snapToGrid w:val="0"/>
        </w:rPr>
        <w:tab/>
        <w:t>Such certificate may be general, or may limit the trade or purpose for which a weight, measure, or instrument of such type, material, and design may be used.</w:t>
      </w:r>
    </w:p>
    <w:p>
      <w:pPr>
        <w:pStyle w:val="Heading5"/>
        <w:rPr>
          <w:snapToGrid w:val="0"/>
        </w:rPr>
      </w:pPr>
      <w:bookmarkStart w:id="22" w:name="_Toc390077047"/>
      <w:r>
        <w:rPr>
          <w:rStyle w:val="CharSectno"/>
        </w:rPr>
        <w:t>7</w:t>
      </w:r>
      <w:r>
        <w:rPr>
          <w:snapToGrid w:val="0"/>
        </w:rPr>
        <w:t>.</w:t>
      </w:r>
      <w:r>
        <w:rPr>
          <w:snapToGrid w:val="0"/>
        </w:rPr>
        <w:tab/>
        <w:t>Inspector to stamp approved weight etc.</w:t>
      </w:r>
      <w:bookmarkEnd w:id="22"/>
    </w:p>
    <w:p>
      <w:pPr>
        <w:pStyle w:val="Subsection"/>
        <w:spacing w:before="120"/>
        <w:rPr>
          <w:snapToGrid w:val="0"/>
        </w:rPr>
      </w:pPr>
      <w:r>
        <w:rPr>
          <w:snapToGrid w:val="0"/>
        </w:rPr>
        <w:tab/>
      </w:r>
      <w:r>
        <w:rPr>
          <w:snapToGrid w:val="0"/>
        </w:rPr>
        <w:tab/>
        <w:t>When such a certificate has been issued an Inspector shall not refuse to stamp a weight, measure, or instrument identical in type, material, and design with that so approved, if the requirements of the regulations are otherwise complied with.</w:t>
      </w:r>
    </w:p>
    <w:p>
      <w:pPr>
        <w:pStyle w:val="MiscellaneousHeading"/>
        <w:outlineLvl w:val="0"/>
        <w:rPr>
          <w:b/>
          <w:snapToGrid w:val="0"/>
        </w:rPr>
      </w:pPr>
      <w:r>
        <w:rPr>
          <w:b/>
          <w:snapToGrid w:val="0"/>
        </w:rPr>
        <w:t>Weights</w:t>
      </w:r>
    </w:p>
    <w:p>
      <w:pPr>
        <w:pStyle w:val="Heading5"/>
        <w:spacing w:before="180"/>
        <w:rPr>
          <w:snapToGrid w:val="0"/>
        </w:rPr>
      </w:pPr>
      <w:bookmarkStart w:id="23" w:name="_Toc390077048"/>
      <w:r>
        <w:rPr>
          <w:rStyle w:val="CharSectno"/>
        </w:rPr>
        <w:t>8</w:t>
      </w:r>
      <w:r>
        <w:rPr>
          <w:snapToGrid w:val="0"/>
        </w:rPr>
        <w:t>.</w:t>
      </w:r>
      <w:r>
        <w:rPr>
          <w:snapToGrid w:val="0"/>
        </w:rPr>
        <w:tab/>
        <w:t>Avoirdupois weights</w:t>
      </w:r>
      <w:bookmarkEnd w:id="23"/>
    </w:p>
    <w:p>
      <w:pPr>
        <w:pStyle w:val="Subsection"/>
        <w:spacing w:before="120"/>
        <w:rPr>
          <w:snapToGrid w:val="0"/>
        </w:rPr>
      </w:pPr>
      <w:r>
        <w:rPr>
          <w:snapToGrid w:val="0"/>
        </w:rPr>
        <w:tab/>
      </w:r>
      <w:r>
        <w:rPr>
          <w:snapToGrid w:val="0"/>
        </w:rPr>
        <w:tab/>
        <w:t>Avoirdupois weights shall be made entirely of iron, brass, gunmetal, or other approved hard metal or alloy of high density, and shall be either flat</w:t>
      </w:r>
      <w:r>
        <w:rPr>
          <w:snapToGrid w:val="0"/>
        </w:rPr>
        <w:noBreakHyphen/>
        <w:t>circular, bar, bell</w:t>
      </w:r>
      <w:r>
        <w:rPr>
          <w:snapToGrid w:val="0"/>
        </w:rPr>
        <w:noBreakHyphen/>
        <w:t>shape, or ring weights.</w:t>
      </w:r>
    </w:p>
    <w:p>
      <w:pPr>
        <w:pStyle w:val="Heading5"/>
        <w:rPr>
          <w:snapToGrid w:val="0"/>
        </w:rPr>
      </w:pPr>
      <w:bookmarkStart w:id="24" w:name="_Toc390077049"/>
      <w:r>
        <w:rPr>
          <w:rStyle w:val="CharSectno"/>
        </w:rPr>
        <w:t>9</w:t>
      </w:r>
      <w:r>
        <w:rPr>
          <w:snapToGrid w:val="0"/>
        </w:rPr>
        <w:t>.</w:t>
      </w:r>
      <w:r>
        <w:rPr>
          <w:snapToGrid w:val="0"/>
        </w:rPr>
        <w:tab/>
        <w:t>Troy, apothecaries’ and decimal grain weights</w:t>
      </w:r>
      <w:bookmarkEnd w:id="24"/>
    </w:p>
    <w:p>
      <w:pPr>
        <w:pStyle w:val="Subsection"/>
        <w:spacing w:before="120"/>
        <w:rPr>
          <w:snapToGrid w:val="0"/>
        </w:rPr>
      </w:pPr>
      <w:r>
        <w:rPr>
          <w:snapToGrid w:val="0"/>
        </w:rPr>
        <w:tab/>
      </w:r>
      <w:r>
        <w:rPr>
          <w:snapToGrid w:val="0"/>
        </w:rPr>
        <w:tab/>
        <w:t>Troy and apothecaries’ weights of 1 oz. and upwards and decimal grain weights of 500 grains and upwards shall be made of brass, gunmetal, or bronze, and shall be cylindrical with handles or knobs.</w:t>
      </w:r>
    </w:p>
    <w:p>
      <w:pPr>
        <w:pStyle w:val="Subsection"/>
        <w:spacing w:before="120"/>
        <w:rPr>
          <w:snapToGrid w:val="0"/>
        </w:rPr>
      </w:pPr>
      <w:r>
        <w:rPr>
          <w:snapToGrid w:val="0"/>
        </w:rPr>
        <w:tab/>
      </w:r>
      <w:r>
        <w:rPr>
          <w:snapToGrid w:val="0"/>
        </w:rPr>
        <w:tab/>
        <w:t xml:space="preserve">Weights below 1 ounce or 500 grains shall be made of brass, gunmetal, bronze, platinum, or aluminium, and may be flat or of wire. </w:t>
      </w:r>
    </w:p>
    <w:p>
      <w:pPr>
        <w:pStyle w:val="Heading5"/>
        <w:rPr>
          <w:snapToGrid w:val="0"/>
        </w:rPr>
      </w:pPr>
      <w:bookmarkStart w:id="25" w:name="_Toc390077050"/>
      <w:r>
        <w:rPr>
          <w:rStyle w:val="CharSectno"/>
        </w:rPr>
        <w:t>10</w:t>
      </w:r>
      <w:r>
        <w:rPr>
          <w:snapToGrid w:val="0"/>
        </w:rPr>
        <w:t>.</w:t>
      </w:r>
      <w:r>
        <w:rPr>
          <w:snapToGrid w:val="0"/>
        </w:rPr>
        <w:tab/>
        <w:t>Metric carat weights</w:t>
      </w:r>
      <w:bookmarkEnd w:id="25"/>
    </w:p>
    <w:p>
      <w:pPr>
        <w:pStyle w:val="Subsection"/>
        <w:spacing w:before="120"/>
        <w:rPr>
          <w:snapToGrid w:val="0"/>
        </w:rPr>
      </w:pPr>
      <w:r>
        <w:rPr>
          <w:snapToGrid w:val="0"/>
        </w:rPr>
        <w:tab/>
      </w:r>
      <w:r>
        <w:rPr>
          <w:snapToGrid w:val="0"/>
        </w:rPr>
        <w:tab/>
        <w:t>Metric carat weights of 5 carats and upwards shall be of hard brass, gunmetal, or bronze, shall be cylindrical with a knob, and of equal diameter and depth. Weights of 2 carats to .005 carat shall be of aluminium, and may be flat shape.</w:t>
      </w:r>
    </w:p>
    <w:p>
      <w:pPr>
        <w:pStyle w:val="Heading5"/>
        <w:rPr>
          <w:snapToGrid w:val="0"/>
        </w:rPr>
      </w:pPr>
      <w:bookmarkStart w:id="26" w:name="_Toc390077051"/>
      <w:r>
        <w:rPr>
          <w:rStyle w:val="CharSectno"/>
        </w:rPr>
        <w:t>11</w:t>
      </w:r>
      <w:r>
        <w:rPr>
          <w:snapToGrid w:val="0"/>
        </w:rPr>
        <w:t>.</w:t>
      </w:r>
      <w:r>
        <w:rPr>
          <w:snapToGrid w:val="0"/>
        </w:rPr>
        <w:tab/>
        <w:t>Avoirdupois weights 1 ounce and over to have adjusting hole</w:t>
      </w:r>
      <w:bookmarkEnd w:id="26"/>
    </w:p>
    <w:p>
      <w:pPr>
        <w:pStyle w:val="Subsection"/>
        <w:rPr>
          <w:snapToGrid w:val="0"/>
        </w:rPr>
      </w:pPr>
      <w:r>
        <w:rPr>
          <w:snapToGrid w:val="0"/>
        </w:rPr>
        <w:tab/>
      </w:r>
      <w:r>
        <w:rPr>
          <w:snapToGrid w:val="0"/>
        </w:rPr>
        <w:tab/>
        <w:t>Avoirdupois weights of 1 ounce and over shall be provided with one adjusting hole only.</w:t>
      </w:r>
    </w:p>
    <w:p>
      <w:pPr>
        <w:pStyle w:val="Footnotesection"/>
      </w:pPr>
      <w:r>
        <w:tab/>
        <w:t xml:space="preserve">[Regulation 11 amended in Gazette 23 May 1960 p. 1395.] </w:t>
      </w:r>
    </w:p>
    <w:p>
      <w:pPr>
        <w:pStyle w:val="Heading5"/>
        <w:rPr>
          <w:snapToGrid w:val="0"/>
        </w:rPr>
      </w:pPr>
      <w:bookmarkStart w:id="27" w:name="_Toc390077052"/>
      <w:r>
        <w:rPr>
          <w:rStyle w:val="CharSectno"/>
        </w:rPr>
        <w:t>12</w:t>
      </w:r>
      <w:r>
        <w:rPr>
          <w:snapToGrid w:val="0"/>
        </w:rPr>
        <w:t>.</w:t>
      </w:r>
      <w:r>
        <w:rPr>
          <w:snapToGrid w:val="0"/>
        </w:rPr>
        <w:tab/>
        <w:t>Weights that may have an adjusting hole</w:t>
      </w:r>
      <w:bookmarkEnd w:id="27"/>
    </w:p>
    <w:p>
      <w:pPr>
        <w:pStyle w:val="Subsection"/>
        <w:rPr>
          <w:snapToGrid w:val="0"/>
        </w:rPr>
      </w:pPr>
      <w:r>
        <w:rPr>
          <w:snapToGrid w:val="0"/>
        </w:rPr>
        <w:tab/>
      </w:r>
      <w:r>
        <w:rPr>
          <w:snapToGrid w:val="0"/>
        </w:rPr>
        <w:tab/>
        <w:t>Troy and apothecaries weights of 1 ounce and over, and decimal grain weights of 500 grains and over, may have one adjusting hole.</w:t>
      </w:r>
    </w:p>
    <w:p>
      <w:pPr>
        <w:pStyle w:val="Heading5"/>
        <w:rPr>
          <w:snapToGrid w:val="0"/>
        </w:rPr>
      </w:pPr>
      <w:bookmarkStart w:id="28" w:name="_Toc390077053"/>
      <w:r>
        <w:rPr>
          <w:rStyle w:val="CharSectno"/>
        </w:rPr>
        <w:t>13</w:t>
      </w:r>
      <w:r>
        <w:rPr>
          <w:snapToGrid w:val="0"/>
        </w:rPr>
        <w:t>.</w:t>
      </w:r>
      <w:r>
        <w:rPr>
          <w:snapToGrid w:val="0"/>
        </w:rPr>
        <w:tab/>
        <w:t>Weights where adjusting holes not permitted</w:t>
      </w:r>
      <w:bookmarkEnd w:id="28"/>
    </w:p>
    <w:p>
      <w:pPr>
        <w:pStyle w:val="Subsection"/>
        <w:rPr>
          <w:snapToGrid w:val="0"/>
        </w:rPr>
      </w:pPr>
      <w:r>
        <w:rPr>
          <w:snapToGrid w:val="0"/>
        </w:rPr>
        <w:tab/>
      </w:r>
      <w:r>
        <w:rPr>
          <w:snapToGrid w:val="0"/>
        </w:rPr>
        <w:tab/>
        <w:t>Adjusting holes shall not be permitted — </w:t>
      </w:r>
    </w:p>
    <w:p>
      <w:pPr>
        <w:pStyle w:val="Indenta"/>
        <w:rPr>
          <w:snapToGrid w:val="0"/>
        </w:rPr>
      </w:pPr>
      <w:r>
        <w:rPr>
          <w:snapToGrid w:val="0"/>
        </w:rPr>
        <w:tab/>
        <w:t>(a)</w:t>
      </w:r>
      <w:r>
        <w:rPr>
          <w:snapToGrid w:val="0"/>
        </w:rPr>
        <w:tab/>
        <w:t>in avoirdupois, troy, or apothecaries’ weights of less than 1 ounce;</w:t>
      </w:r>
    </w:p>
    <w:p>
      <w:pPr>
        <w:pStyle w:val="Indenta"/>
        <w:rPr>
          <w:snapToGrid w:val="0"/>
        </w:rPr>
      </w:pPr>
      <w:r>
        <w:rPr>
          <w:snapToGrid w:val="0"/>
        </w:rPr>
        <w:tab/>
        <w:t>(b)</w:t>
      </w:r>
      <w:r>
        <w:rPr>
          <w:snapToGrid w:val="0"/>
        </w:rPr>
        <w:tab/>
        <w:t>in decimal grain weights of less than 500 grains;</w:t>
      </w:r>
    </w:p>
    <w:p>
      <w:pPr>
        <w:pStyle w:val="Indenta"/>
        <w:rPr>
          <w:snapToGrid w:val="0"/>
        </w:rPr>
      </w:pPr>
      <w:r>
        <w:rPr>
          <w:snapToGrid w:val="0"/>
        </w:rPr>
        <w:tab/>
        <w:t>(c)</w:t>
      </w:r>
      <w:r>
        <w:rPr>
          <w:snapToGrid w:val="0"/>
        </w:rPr>
        <w:tab/>
        <w:t>in metric carat weights.</w:t>
      </w:r>
    </w:p>
    <w:p>
      <w:pPr>
        <w:pStyle w:val="Heading5"/>
        <w:rPr>
          <w:snapToGrid w:val="0"/>
        </w:rPr>
      </w:pPr>
      <w:bookmarkStart w:id="29" w:name="_Toc390077054"/>
      <w:r>
        <w:rPr>
          <w:rStyle w:val="CharSectno"/>
        </w:rPr>
        <w:t>14</w:t>
      </w:r>
      <w:r>
        <w:rPr>
          <w:snapToGrid w:val="0"/>
        </w:rPr>
        <w:t>.</w:t>
      </w:r>
      <w:r>
        <w:rPr>
          <w:snapToGrid w:val="0"/>
        </w:rPr>
        <w:tab/>
        <w:t>Adjusting holes</w:t>
      </w:r>
      <w:bookmarkEnd w:id="29"/>
    </w:p>
    <w:p>
      <w:pPr>
        <w:pStyle w:val="Subsection"/>
        <w:rPr>
          <w:snapToGrid w:val="0"/>
        </w:rPr>
      </w:pPr>
      <w:r>
        <w:rPr>
          <w:snapToGrid w:val="0"/>
        </w:rPr>
        <w:tab/>
      </w:r>
      <w:r>
        <w:rPr>
          <w:snapToGrid w:val="0"/>
        </w:rPr>
        <w:tab/>
        <w:t>An adjusting hole in a weight shall — </w:t>
      </w:r>
    </w:p>
    <w:p>
      <w:pPr>
        <w:pStyle w:val="Indenta"/>
        <w:rPr>
          <w:snapToGrid w:val="0"/>
        </w:rPr>
      </w:pPr>
      <w:r>
        <w:rPr>
          <w:snapToGrid w:val="0"/>
        </w:rPr>
        <w:tab/>
        <w:t>(a)</w:t>
      </w:r>
      <w:r>
        <w:rPr>
          <w:snapToGrid w:val="0"/>
        </w:rPr>
        <w:tab/>
        <w:t>be in the under surface, and not extend to the upper surface;</w:t>
      </w:r>
    </w:p>
    <w:p>
      <w:pPr>
        <w:pStyle w:val="Indenta"/>
        <w:rPr>
          <w:snapToGrid w:val="0"/>
        </w:rPr>
      </w:pPr>
      <w:r>
        <w:rPr>
          <w:snapToGrid w:val="0"/>
        </w:rPr>
        <w:tab/>
        <w:t>(b)</w:t>
      </w:r>
      <w:r>
        <w:rPr>
          <w:snapToGrid w:val="0"/>
        </w:rPr>
        <w:tab/>
        <w:t>be undercut, or shaped in such manner as to securely hold the lead adjustment;</w:t>
      </w:r>
    </w:p>
    <w:p>
      <w:pPr>
        <w:pStyle w:val="Indenta"/>
        <w:rPr>
          <w:snapToGrid w:val="0"/>
        </w:rPr>
      </w:pPr>
      <w:r>
        <w:rPr>
          <w:snapToGrid w:val="0"/>
        </w:rPr>
        <w:tab/>
        <w:t>(c)</w:t>
      </w:r>
      <w:r>
        <w:rPr>
          <w:snapToGrid w:val="0"/>
        </w:rPr>
        <w:tab/>
        <w:t>have a clear and definite edge;</w:t>
      </w:r>
    </w:p>
    <w:p>
      <w:pPr>
        <w:pStyle w:val="Indenta"/>
        <w:rPr>
          <w:snapToGrid w:val="0"/>
        </w:rPr>
      </w:pPr>
      <w:r>
        <w:rPr>
          <w:snapToGrid w:val="0"/>
        </w:rPr>
        <w:tab/>
        <w:t>(d)</w:t>
      </w:r>
      <w:r>
        <w:rPr>
          <w:snapToGrid w:val="0"/>
        </w:rPr>
        <w:tab/>
        <w:t>be plugged with lead which shall — </w:t>
      </w:r>
    </w:p>
    <w:p>
      <w:pPr>
        <w:pStyle w:val="Indenti"/>
        <w:rPr>
          <w:snapToGrid w:val="0"/>
        </w:rPr>
      </w:pPr>
      <w:r>
        <w:rPr>
          <w:snapToGrid w:val="0"/>
        </w:rPr>
        <w:tab/>
        <w:t>(1)</w:t>
      </w:r>
      <w:r>
        <w:rPr>
          <w:snapToGrid w:val="0"/>
        </w:rPr>
        <w:tab/>
        <w:t>cover the bottom of the hole to a depth of at least 1/16th inch in weights of 1 to 4 ounces inclusive, and 1/8th inch, or such greater depths as may be necessary to render the adjustment secure, in weights above 4 ounces;</w:t>
      </w:r>
    </w:p>
    <w:p>
      <w:pPr>
        <w:pStyle w:val="Indenti"/>
        <w:rPr>
          <w:snapToGrid w:val="0"/>
        </w:rPr>
      </w:pPr>
      <w:r>
        <w:rPr>
          <w:snapToGrid w:val="0"/>
        </w:rPr>
        <w:tab/>
        <w:t>(2)</w:t>
      </w:r>
      <w:r>
        <w:rPr>
          <w:snapToGrid w:val="0"/>
        </w:rPr>
        <w:tab/>
        <w:t>be firmly and securely set down below the surface of the adjusting hole, but not so far below such surface as to render stamping difficult or impracticable or prevent the stamp and date mark being readily readable;</w:t>
      </w:r>
    </w:p>
    <w:p>
      <w:pPr>
        <w:pStyle w:val="Indenti"/>
        <w:rPr>
          <w:snapToGrid w:val="0"/>
        </w:rPr>
      </w:pPr>
      <w:r>
        <w:rPr>
          <w:snapToGrid w:val="0"/>
        </w:rPr>
        <w:tab/>
        <w:t>(3)</w:t>
      </w:r>
      <w:r>
        <w:rPr>
          <w:snapToGrid w:val="0"/>
        </w:rPr>
        <w:tab/>
        <w:t>have a clean and even surface, free from flakes or layers or a fringe around the walls of the adjusting hole.</w:t>
      </w:r>
    </w:p>
    <w:p>
      <w:pPr>
        <w:pStyle w:val="Heading5"/>
        <w:rPr>
          <w:snapToGrid w:val="0"/>
        </w:rPr>
      </w:pPr>
      <w:bookmarkStart w:id="30" w:name="_Toc390077055"/>
      <w:r>
        <w:rPr>
          <w:rStyle w:val="CharSectno"/>
        </w:rPr>
        <w:t>15</w:t>
      </w:r>
      <w:r>
        <w:rPr>
          <w:snapToGrid w:val="0"/>
        </w:rPr>
        <w:t>.</w:t>
      </w:r>
      <w:r>
        <w:rPr>
          <w:snapToGrid w:val="0"/>
        </w:rPr>
        <w:tab/>
        <w:t>Adjusting holes in flat circular iron weights</w:t>
      </w:r>
      <w:bookmarkEnd w:id="30"/>
    </w:p>
    <w:p>
      <w:pPr>
        <w:pStyle w:val="Subsection"/>
        <w:spacing w:after="80"/>
        <w:rPr>
          <w:snapToGrid w:val="0"/>
        </w:rPr>
      </w:pPr>
      <w:r>
        <w:rPr>
          <w:snapToGrid w:val="0"/>
        </w:rPr>
        <w:tab/>
      </w:r>
      <w:r>
        <w:rPr>
          <w:snapToGrid w:val="0"/>
        </w:rPr>
        <w:tab/>
        <w:t>Adjusting holes in flat</w:t>
      </w:r>
      <w:r>
        <w:rPr>
          <w:snapToGrid w:val="0"/>
        </w:rPr>
        <w:noBreakHyphen/>
        <w:t>circular iron weights shall be circular and of approximately the following diameter — </w:t>
      </w:r>
    </w:p>
    <w:tbl>
      <w:tblPr>
        <w:tblW w:w="0" w:type="auto"/>
        <w:tblInd w:w="922" w:type="dxa"/>
        <w:tblLayout w:type="fixed"/>
        <w:tblCellMar>
          <w:left w:w="71" w:type="dxa"/>
          <w:right w:w="71" w:type="dxa"/>
        </w:tblCellMar>
        <w:tblLook w:val="0000" w:firstRow="0" w:lastRow="0" w:firstColumn="0" w:lastColumn="0" w:noHBand="0" w:noVBand="0"/>
      </w:tblPr>
      <w:tblGrid>
        <w:gridCol w:w="3756"/>
        <w:gridCol w:w="2481"/>
      </w:tblGrid>
      <w:tr>
        <w:tc>
          <w:tcPr>
            <w:tcW w:w="3756" w:type="dxa"/>
          </w:tcPr>
          <w:p>
            <w:pPr>
              <w:pStyle w:val="Table"/>
              <w:spacing w:before="0"/>
            </w:pPr>
            <w:r>
              <w:t>4 lb. and 2 lb. ..................................</w:t>
            </w:r>
          </w:p>
        </w:tc>
        <w:tc>
          <w:tcPr>
            <w:tcW w:w="2481" w:type="dxa"/>
          </w:tcPr>
          <w:p>
            <w:pPr>
              <w:pStyle w:val="Table"/>
              <w:spacing w:before="0"/>
            </w:pPr>
            <w:r>
              <w:t>1 inch.</w:t>
            </w:r>
          </w:p>
        </w:tc>
      </w:tr>
      <w:tr>
        <w:tc>
          <w:tcPr>
            <w:tcW w:w="3756" w:type="dxa"/>
          </w:tcPr>
          <w:p>
            <w:pPr>
              <w:pStyle w:val="Table"/>
              <w:spacing w:before="0"/>
            </w:pPr>
            <w:r>
              <w:t>1 lb. ..................................................</w:t>
            </w:r>
          </w:p>
        </w:tc>
        <w:tc>
          <w:tcPr>
            <w:tcW w:w="2481" w:type="dxa"/>
          </w:tcPr>
          <w:p>
            <w:pPr>
              <w:pStyle w:val="Table"/>
              <w:spacing w:before="0"/>
            </w:pPr>
            <w:r>
              <w:t>¾ inch.</w:t>
            </w:r>
          </w:p>
        </w:tc>
      </w:tr>
      <w:tr>
        <w:tc>
          <w:tcPr>
            <w:tcW w:w="3756" w:type="dxa"/>
          </w:tcPr>
          <w:p>
            <w:pPr>
              <w:pStyle w:val="Table"/>
              <w:spacing w:before="0"/>
            </w:pPr>
            <w:r>
              <w:t>8 and 4 oz. ........................................</w:t>
            </w:r>
          </w:p>
        </w:tc>
        <w:tc>
          <w:tcPr>
            <w:tcW w:w="2481" w:type="dxa"/>
          </w:tcPr>
          <w:p>
            <w:pPr>
              <w:pStyle w:val="Table"/>
              <w:spacing w:before="0"/>
            </w:pPr>
            <w:r>
              <w:t>½ inch.</w:t>
            </w:r>
          </w:p>
        </w:tc>
      </w:tr>
    </w:tbl>
    <w:p>
      <w:pPr>
        <w:pStyle w:val="Heading5"/>
        <w:rPr>
          <w:snapToGrid w:val="0"/>
        </w:rPr>
      </w:pPr>
      <w:bookmarkStart w:id="31" w:name="_Toc390077056"/>
      <w:r>
        <w:rPr>
          <w:rStyle w:val="CharSectno"/>
        </w:rPr>
        <w:t>16</w:t>
      </w:r>
      <w:r>
        <w:rPr>
          <w:snapToGrid w:val="0"/>
        </w:rPr>
        <w:t>.</w:t>
      </w:r>
      <w:r>
        <w:rPr>
          <w:snapToGrid w:val="0"/>
        </w:rPr>
        <w:tab/>
        <w:t>Adjusting holes in other iron weights</w:t>
      </w:r>
      <w:bookmarkEnd w:id="31"/>
    </w:p>
    <w:p>
      <w:pPr>
        <w:pStyle w:val="Subsection"/>
        <w:spacing w:after="80"/>
        <w:rPr>
          <w:snapToGrid w:val="0"/>
        </w:rPr>
      </w:pPr>
      <w:r>
        <w:rPr>
          <w:snapToGrid w:val="0"/>
        </w:rPr>
        <w:tab/>
      </w:r>
      <w:r>
        <w:rPr>
          <w:snapToGrid w:val="0"/>
        </w:rPr>
        <w:tab/>
        <w:t>Adjusting holes in other iron weights shall be circular or rectangular and of approximately the following dimensions — </w:t>
      </w:r>
    </w:p>
    <w:tbl>
      <w:tblPr>
        <w:tblW w:w="0" w:type="auto"/>
        <w:tblInd w:w="993" w:type="dxa"/>
        <w:tblLayout w:type="fixed"/>
        <w:tblCellMar>
          <w:left w:w="142" w:type="dxa"/>
          <w:right w:w="142" w:type="dxa"/>
        </w:tblCellMar>
        <w:tblLook w:val="0000" w:firstRow="0" w:lastRow="0" w:firstColumn="0" w:lastColumn="0" w:noHBand="0" w:noVBand="0"/>
      </w:tblPr>
      <w:tblGrid>
        <w:gridCol w:w="2551"/>
        <w:gridCol w:w="1134"/>
        <w:gridCol w:w="993"/>
        <w:gridCol w:w="1559"/>
      </w:tblGrid>
      <w:tr>
        <w:trPr>
          <w:cantSplit/>
          <w:tblHeader/>
        </w:trPr>
        <w:tc>
          <w:tcPr>
            <w:tcW w:w="2551" w:type="dxa"/>
            <w:vMerge w:val="restart"/>
            <w:tcBorders>
              <w:top w:val="single" w:sz="4" w:space="0" w:color="auto"/>
              <w:bottom w:val="nil"/>
            </w:tcBorders>
          </w:tcPr>
          <w:p>
            <w:pPr>
              <w:pStyle w:val="Table"/>
              <w:jc w:val="center"/>
              <w:rPr>
                <w:b/>
                <w:sz w:val="18"/>
              </w:rPr>
            </w:pPr>
            <w:r>
              <w:rPr>
                <w:b/>
                <w:sz w:val="18"/>
              </w:rPr>
              <w:t>Weight</w:t>
            </w:r>
          </w:p>
        </w:tc>
        <w:tc>
          <w:tcPr>
            <w:tcW w:w="2127" w:type="dxa"/>
            <w:gridSpan w:val="2"/>
            <w:tcBorders>
              <w:top w:val="single" w:sz="4" w:space="0" w:color="auto"/>
              <w:left w:val="single" w:sz="4" w:space="0" w:color="auto"/>
              <w:bottom w:val="single" w:sz="4" w:space="0" w:color="auto"/>
            </w:tcBorders>
          </w:tcPr>
          <w:p>
            <w:pPr>
              <w:pStyle w:val="Table"/>
              <w:jc w:val="center"/>
              <w:rPr>
                <w:b/>
                <w:sz w:val="18"/>
              </w:rPr>
            </w:pPr>
            <w:r>
              <w:rPr>
                <w:b/>
                <w:sz w:val="18"/>
              </w:rPr>
              <w:t>Rectangular Holes</w:t>
            </w:r>
          </w:p>
        </w:tc>
        <w:tc>
          <w:tcPr>
            <w:tcW w:w="1559" w:type="dxa"/>
            <w:tcBorders>
              <w:top w:val="single" w:sz="4" w:space="0" w:color="auto"/>
              <w:left w:val="single" w:sz="4" w:space="0" w:color="auto"/>
              <w:bottom w:val="single" w:sz="4" w:space="0" w:color="auto"/>
            </w:tcBorders>
          </w:tcPr>
          <w:p>
            <w:pPr>
              <w:pStyle w:val="Table"/>
              <w:jc w:val="center"/>
              <w:rPr>
                <w:b/>
                <w:sz w:val="18"/>
              </w:rPr>
            </w:pPr>
            <w:r>
              <w:rPr>
                <w:b/>
                <w:sz w:val="18"/>
              </w:rPr>
              <w:t>Circular Holes</w:t>
            </w:r>
          </w:p>
        </w:tc>
      </w:tr>
      <w:tr>
        <w:trPr>
          <w:cantSplit/>
          <w:tblHeader/>
        </w:trPr>
        <w:tc>
          <w:tcPr>
            <w:tcW w:w="2551" w:type="dxa"/>
            <w:vMerge/>
            <w:tcBorders>
              <w:top w:val="nil"/>
            </w:tcBorders>
          </w:tcPr>
          <w:p>
            <w:pPr>
              <w:pStyle w:val="Table"/>
              <w:jc w:val="center"/>
              <w:rPr>
                <w:b/>
                <w:sz w:val="18"/>
              </w:rPr>
            </w:pPr>
          </w:p>
        </w:tc>
        <w:tc>
          <w:tcPr>
            <w:tcW w:w="1134" w:type="dxa"/>
            <w:tcBorders>
              <w:top w:val="single" w:sz="4" w:space="0" w:color="auto"/>
              <w:left w:val="single" w:sz="4" w:space="0" w:color="auto"/>
            </w:tcBorders>
          </w:tcPr>
          <w:p>
            <w:pPr>
              <w:pStyle w:val="Table"/>
              <w:jc w:val="center"/>
              <w:rPr>
                <w:b/>
                <w:sz w:val="18"/>
              </w:rPr>
            </w:pPr>
            <w:r>
              <w:rPr>
                <w:b/>
                <w:sz w:val="18"/>
              </w:rPr>
              <w:t>Length</w:t>
            </w:r>
          </w:p>
        </w:tc>
        <w:tc>
          <w:tcPr>
            <w:tcW w:w="993" w:type="dxa"/>
            <w:tcBorders>
              <w:top w:val="single" w:sz="4" w:space="0" w:color="auto"/>
              <w:left w:val="single" w:sz="4" w:space="0" w:color="auto"/>
              <w:right w:val="single" w:sz="4" w:space="0" w:color="auto"/>
            </w:tcBorders>
          </w:tcPr>
          <w:p>
            <w:pPr>
              <w:pStyle w:val="Table"/>
              <w:jc w:val="center"/>
              <w:rPr>
                <w:b/>
                <w:sz w:val="18"/>
              </w:rPr>
            </w:pPr>
            <w:r>
              <w:rPr>
                <w:b/>
                <w:sz w:val="18"/>
              </w:rPr>
              <w:t>Width</w:t>
            </w:r>
          </w:p>
        </w:tc>
        <w:tc>
          <w:tcPr>
            <w:tcW w:w="1559" w:type="dxa"/>
            <w:tcBorders>
              <w:top w:val="single" w:sz="4" w:space="0" w:color="auto"/>
              <w:left w:val="nil"/>
            </w:tcBorders>
          </w:tcPr>
          <w:p>
            <w:pPr>
              <w:pStyle w:val="Table"/>
              <w:jc w:val="center"/>
              <w:rPr>
                <w:b/>
                <w:sz w:val="18"/>
              </w:rPr>
            </w:pPr>
            <w:r>
              <w:rPr>
                <w:b/>
                <w:sz w:val="18"/>
              </w:rPr>
              <w:t>Diameter</w:t>
            </w:r>
          </w:p>
        </w:tc>
      </w:tr>
      <w:tr>
        <w:tc>
          <w:tcPr>
            <w:tcW w:w="2551" w:type="dxa"/>
            <w:tcBorders>
              <w:top w:val="single" w:sz="4" w:space="0" w:color="auto"/>
            </w:tcBorders>
          </w:tcPr>
          <w:p>
            <w:pPr>
              <w:pStyle w:val="Table"/>
              <w:jc w:val="center"/>
              <w:rPr>
                <w:b/>
                <w:sz w:val="18"/>
              </w:rPr>
            </w:pPr>
          </w:p>
        </w:tc>
        <w:tc>
          <w:tcPr>
            <w:tcW w:w="1134" w:type="dxa"/>
            <w:tcBorders>
              <w:top w:val="single" w:sz="4" w:space="0" w:color="auto"/>
              <w:left w:val="single" w:sz="4" w:space="0" w:color="auto"/>
            </w:tcBorders>
          </w:tcPr>
          <w:p>
            <w:pPr>
              <w:pStyle w:val="Table"/>
              <w:jc w:val="center"/>
              <w:rPr>
                <w:b/>
                <w:sz w:val="18"/>
              </w:rPr>
            </w:pPr>
            <w:r>
              <w:rPr>
                <w:b/>
                <w:sz w:val="18"/>
              </w:rPr>
              <w:t>inch</w:t>
            </w:r>
          </w:p>
        </w:tc>
        <w:tc>
          <w:tcPr>
            <w:tcW w:w="993" w:type="dxa"/>
            <w:tcBorders>
              <w:top w:val="single" w:sz="4" w:space="0" w:color="auto"/>
              <w:left w:val="single" w:sz="4" w:space="0" w:color="auto"/>
              <w:right w:val="single" w:sz="4" w:space="0" w:color="auto"/>
            </w:tcBorders>
          </w:tcPr>
          <w:p>
            <w:pPr>
              <w:pStyle w:val="Table"/>
              <w:jc w:val="center"/>
              <w:rPr>
                <w:b/>
                <w:sz w:val="18"/>
              </w:rPr>
            </w:pPr>
            <w:r>
              <w:rPr>
                <w:b/>
                <w:sz w:val="18"/>
              </w:rPr>
              <w:t>inch</w:t>
            </w:r>
          </w:p>
        </w:tc>
        <w:tc>
          <w:tcPr>
            <w:tcW w:w="1559" w:type="dxa"/>
            <w:tcBorders>
              <w:top w:val="single" w:sz="4" w:space="0" w:color="auto"/>
              <w:left w:val="nil"/>
            </w:tcBorders>
          </w:tcPr>
          <w:p>
            <w:pPr>
              <w:pStyle w:val="Table"/>
              <w:jc w:val="center"/>
              <w:rPr>
                <w:b/>
                <w:sz w:val="18"/>
              </w:rPr>
            </w:pPr>
            <w:r>
              <w:rPr>
                <w:b/>
                <w:sz w:val="18"/>
              </w:rPr>
              <w:t>inch</w:t>
            </w:r>
          </w:p>
        </w:tc>
      </w:tr>
      <w:tr>
        <w:tc>
          <w:tcPr>
            <w:tcW w:w="2551" w:type="dxa"/>
          </w:tcPr>
          <w:p>
            <w:pPr>
              <w:pStyle w:val="Table"/>
              <w:rPr>
                <w:sz w:val="18"/>
              </w:rPr>
            </w:pPr>
            <w:r>
              <w:rPr>
                <w:sz w:val="18"/>
              </w:rPr>
              <w:t xml:space="preserve">56 lb. ........................................ </w:t>
            </w:r>
          </w:p>
        </w:tc>
        <w:tc>
          <w:tcPr>
            <w:tcW w:w="1134" w:type="dxa"/>
            <w:tcBorders>
              <w:left w:val="single" w:sz="4" w:space="0" w:color="auto"/>
            </w:tcBorders>
          </w:tcPr>
          <w:p>
            <w:pPr>
              <w:pStyle w:val="Table"/>
              <w:jc w:val="center"/>
              <w:rPr>
                <w:sz w:val="18"/>
              </w:rPr>
            </w:pPr>
            <w:r>
              <w:rPr>
                <w:sz w:val="18"/>
              </w:rPr>
              <w:t xml:space="preserve">2 ½ </w:t>
            </w:r>
          </w:p>
        </w:tc>
        <w:tc>
          <w:tcPr>
            <w:tcW w:w="993" w:type="dxa"/>
            <w:tcBorders>
              <w:left w:val="single" w:sz="4" w:space="0" w:color="auto"/>
              <w:right w:val="single" w:sz="4" w:space="0" w:color="auto"/>
            </w:tcBorders>
          </w:tcPr>
          <w:p>
            <w:pPr>
              <w:pStyle w:val="Table"/>
              <w:jc w:val="center"/>
              <w:rPr>
                <w:sz w:val="18"/>
              </w:rPr>
            </w:pPr>
            <w:r>
              <w:rPr>
                <w:sz w:val="18"/>
              </w:rPr>
              <w:t xml:space="preserve">1 ¼ </w:t>
            </w:r>
          </w:p>
        </w:tc>
        <w:tc>
          <w:tcPr>
            <w:tcW w:w="1559" w:type="dxa"/>
            <w:tcBorders>
              <w:left w:val="nil"/>
            </w:tcBorders>
          </w:tcPr>
          <w:p>
            <w:pPr>
              <w:pStyle w:val="Table"/>
              <w:jc w:val="center"/>
              <w:rPr>
                <w:sz w:val="18"/>
              </w:rPr>
            </w:pPr>
            <w:r>
              <w:rPr>
                <w:sz w:val="18"/>
              </w:rPr>
              <w:t>2</w:t>
            </w:r>
          </w:p>
        </w:tc>
      </w:tr>
      <w:tr>
        <w:tc>
          <w:tcPr>
            <w:tcW w:w="2551" w:type="dxa"/>
          </w:tcPr>
          <w:p>
            <w:pPr>
              <w:pStyle w:val="Table"/>
              <w:spacing w:before="0"/>
              <w:rPr>
                <w:sz w:val="18"/>
              </w:rPr>
            </w:pPr>
            <w:r>
              <w:rPr>
                <w:sz w:val="18"/>
              </w:rPr>
              <w:t xml:space="preserve">28 lb. ........................................ </w:t>
            </w:r>
          </w:p>
        </w:tc>
        <w:tc>
          <w:tcPr>
            <w:tcW w:w="1134" w:type="dxa"/>
            <w:tcBorders>
              <w:left w:val="single" w:sz="4" w:space="0" w:color="auto"/>
            </w:tcBorders>
          </w:tcPr>
          <w:p>
            <w:pPr>
              <w:pStyle w:val="Table"/>
              <w:spacing w:before="0"/>
              <w:jc w:val="center"/>
              <w:rPr>
                <w:sz w:val="18"/>
              </w:rPr>
            </w:pPr>
            <w:r>
              <w:rPr>
                <w:sz w:val="18"/>
              </w:rPr>
              <w:t>2</w:t>
            </w:r>
          </w:p>
        </w:tc>
        <w:tc>
          <w:tcPr>
            <w:tcW w:w="993" w:type="dxa"/>
            <w:tcBorders>
              <w:left w:val="single" w:sz="4" w:space="0" w:color="auto"/>
              <w:right w:val="single" w:sz="4" w:space="0" w:color="auto"/>
            </w:tcBorders>
          </w:tcPr>
          <w:p>
            <w:pPr>
              <w:pStyle w:val="Table"/>
              <w:spacing w:before="0"/>
              <w:jc w:val="center"/>
              <w:rPr>
                <w:sz w:val="18"/>
              </w:rPr>
            </w:pPr>
            <w:r>
              <w:rPr>
                <w:sz w:val="18"/>
              </w:rPr>
              <w:t>1</w:t>
            </w:r>
          </w:p>
        </w:tc>
        <w:tc>
          <w:tcPr>
            <w:tcW w:w="1559" w:type="dxa"/>
            <w:tcBorders>
              <w:left w:val="nil"/>
            </w:tcBorders>
          </w:tcPr>
          <w:p>
            <w:pPr>
              <w:pStyle w:val="Table"/>
              <w:spacing w:before="0"/>
              <w:jc w:val="center"/>
              <w:rPr>
                <w:sz w:val="18"/>
              </w:rPr>
            </w:pPr>
            <w:r>
              <w:rPr>
                <w:sz w:val="18"/>
              </w:rPr>
              <w:t>1 </w:t>
            </w:r>
            <w:r>
              <w:rPr>
                <w:sz w:val="18"/>
                <w:vertAlign w:val="superscript"/>
              </w:rPr>
              <w:t>3</w:t>
            </w:r>
            <w:r>
              <w:rPr>
                <w:sz w:val="18"/>
              </w:rPr>
              <w:t>/</w:t>
            </w:r>
            <w:r>
              <w:rPr>
                <w:sz w:val="18"/>
                <w:vertAlign w:val="subscript"/>
              </w:rPr>
              <w:t>5</w:t>
            </w:r>
          </w:p>
        </w:tc>
      </w:tr>
      <w:tr>
        <w:tc>
          <w:tcPr>
            <w:tcW w:w="2551" w:type="dxa"/>
          </w:tcPr>
          <w:p>
            <w:pPr>
              <w:pStyle w:val="Table"/>
              <w:spacing w:before="0"/>
              <w:rPr>
                <w:sz w:val="18"/>
              </w:rPr>
            </w:pPr>
            <w:r>
              <w:rPr>
                <w:sz w:val="18"/>
              </w:rPr>
              <w:t xml:space="preserve">14 lb. ........................................ </w:t>
            </w:r>
          </w:p>
        </w:tc>
        <w:tc>
          <w:tcPr>
            <w:tcW w:w="1134" w:type="dxa"/>
            <w:tcBorders>
              <w:left w:val="single" w:sz="4" w:space="0" w:color="auto"/>
            </w:tcBorders>
          </w:tcPr>
          <w:p>
            <w:pPr>
              <w:pStyle w:val="Table"/>
              <w:spacing w:before="0"/>
              <w:jc w:val="center"/>
              <w:rPr>
                <w:sz w:val="18"/>
              </w:rPr>
            </w:pPr>
            <w:r>
              <w:rPr>
                <w:sz w:val="18"/>
              </w:rPr>
              <w:t xml:space="preserve">1 ¼ </w:t>
            </w:r>
          </w:p>
        </w:tc>
        <w:tc>
          <w:tcPr>
            <w:tcW w:w="993" w:type="dxa"/>
            <w:tcBorders>
              <w:left w:val="single" w:sz="4" w:space="0" w:color="auto"/>
              <w:right w:val="single" w:sz="4" w:space="0" w:color="auto"/>
            </w:tcBorders>
          </w:tcPr>
          <w:p>
            <w:pPr>
              <w:pStyle w:val="Table"/>
              <w:spacing w:before="0"/>
              <w:jc w:val="center"/>
              <w:rPr>
                <w:sz w:val="18"/>
              </w:rPr>
            </w:pPr>
            <w:r>
              <w:rPr>
                <w:sz w:val="18"/>
                <w:vertAlign w:val="superscript"/>
              </w:rPr>
              <w:t>5</w:t>
            </w:r>
            <w:r>
              <w:rPr>
                <w:sz w:val="18"/>
              </w:rPr>
              <w:t>/</w:t>
            </w:r>
            <w:r>
              <w:rPr>
                <w:sz w:val="18"/>
                <w:vertAlign w:val="subscript"/>
              </w:rPr>
              <w:t>8</w:t>
            </w:r>
          </w:p>
        </w:tc>
        <w:tc>
          <w:tcPr>
            <w:tcW w:w="1559" w:type="dxa"/>
            <w:tcBorders>
              <w:left w:val="nil"/>
            </w:tcBorders>
          </w:tcPr>
          <w:p>
            <w:pPr>
              <w:pStyle w:val="Table"/>
              <w:spacing w:before="0"/>
              <w:jc w:val="center"/>
              <w:rPr>
                <w:sz w:val="18"/>
              </w:rPr>
            </w:pPr>
            <w:r>
              <w:rPr>
                <w:sz w:val="18"/>
              </w:rPr>
              <w:t>1</w:t>
            </w:r>
          </w:p>
        </w:tc>
      </w:tr>
      <w:tr>
        <w:tc>
          <w:tcPr>
            <w:tcW w:w="2551" w:type="dxa"/>
          </w:tcPr>
          <w:p>
            <w:pPr>
              <w:pStyle w:val="Table"/>
              <w:spacing w:before="0"/>
              <w:rPr>
                <w:sz w:val="18"/>
              </w:rPr>
            </w:pPr>
            <w:r>
              <w:rPr>
                <w:sz w:val="18"/>
              </w:rPr>
              <w:t xml:space="preserve"> 7 lb. ......................................... </w:t>
            </w:r>
          </w:p>
        </w:tc>
        <w:tc>
          <w:tcPr>
            <w:tcW w:w="1134" w:type="dxa"/>
            <w:tcBorders>
              <w:left w:val="single" w:sz="4" w:space="0" w:color="auto"/>
            </w:tcBorders>
          </w:tcPr>
          <w:p>
            <w:pPr>
              <w:pStyle w:val="Table"/>
              <w:spacing w:before="0"/>
              <w:jc w:val="center"/>
              <w:rPr>
                <w:sz w:val="18"/>
              </w:rPr>
            </w:pPr>
            <w:r>
              <w:rPr>
                <w:sz w:val="18"/>
              </w:rPr>
              <w:t>1</w:t>
            </w:r>
          </w:p>
        </w:tc>
        <w:tc>
          <w:tcPr>
            <w:tcW w:w="993" w:type="dxa"/>
            <w:tcBorders>
              <w:left w:val="single" w:sz="4" w:space="0" w:color="auto"/>
              <w:right w:val="single" w:sz="4" w:space="0" w:color="auto"/>
            </w:tcBorders>
          </w:tcPr>
          <w:p>
            <w:pPr>
              <w:pStyle w:val="Table"/>
              <w:spacing w:before="0"/>
              <w:jc w:val="center"/>
              <w:rPr>
                <w:sz w:val="18"/>
              </w:rPr>
            </w:pPr>
            <w:r>
              <w:rPr>
                <w:sz w:val="18"/>
              </w:rPr>
              <w:t>½</w:t>
            </w:r>
          </w:p>
        </w:tc>
        <w:tc>
          <w:tcPr>
            <w:tcW w:w="1559" w:type="dxa"/>
            <w:tcBorders>
              <w:left w:val="nil"/>
            </w:tcBorders>
          </w:tcPr>
          <w:p>
            <w:pPr>
              <w:pStyle w:val="Table"/>
              <w:spacing w:before="0"/>
              <w:jc w:val="center"/>
              <w:rPr>
                <w:sz w:val="18"/>
              </w:rPr>
            </w:pPr>
            <w:r>
              <w:rPr>
                <w:sz w:val="18"/>
                <w:vertAlign w:val="superscript"/>
              </w:rPr>
              <w:t>4</w:t>
            </w:r>
            <w:r>
              <w:rPr>
                <w:sz w:val="18"/>
              </w:rPr>
              <w:t>/</w:t>
            </w:r>
            <w:r>
              <w:rPr>
                <w:sz w:val="18"/>
                <w:vertAlign w:val="subscript"/>
              </w:rPr>
              <w:t>5</w:t>
            </w:r>
          </w:p>
        </w:tc>
      </w:tr>
      <w:tr>
        <w:tc>
          <w:tcPr>
            <w:tcW w:w="2551" w:type="dxa"/>
          </w:tcPr>
          <w:p>
            <w:pPr>
              <w:pStyle w:val="Table"/>
              <w:spacing w:before="0"/>
              <w:rPr>
                <w:sz w:val="18"/>
              </w:rPr>
            </w:pPr>
            <w:r>
              <w:rPr>
                <w:sz w:val="18"/>
              </w:rPr>
              <w:t xml:space="preserve"> 4 lb. ......................................... </w:t>
            </w:r>
          </w:p>
        </w:tc>
        <w:tc>
          <w:tcPr>
            <w:tcW w:w="1134" w:type="dxa"/>
            <w:tcBorders>
              <w:left w:val="single" w:sz="4" w:space="0" w:color="auto"/>
            </w:tcBorders>
          </w:tcPr>
          <w:p>
            <w:pPr>
              <w:pStyle w:val="Table"/>
              <w:spacing w:before="0"/>
              <w:jc w:val="center"/>
              <w:rPr>
                <w:sz w:val="18"/>
              </w:rPr>
            </w:pPr>
            <w:r>
              <w:rPr>
                <w:sz w:val="18"/>
              </w:rPr>
              <w:t xml:space="preserve">¾ </w:t>
            </w:r>
          </w:p>
        </w:tc>
        <w:tc>
          <w:tcPr>
            <w:tcW w:w="993" w:type="dxa"/>
            <w:tcBorders>
              <w:left w:val="single" w:sz="4" w:space="0" w:color="auto"/>
              <w:right w:val="single" w:sz="4" w:space="0" w:color="auto"/>
            </w:tcBorders>
          </w:tcPr>
          <w:p>
            <w:pPr>
              <w:pStyle w:val="Table"/>
              <w:spacing w:before="0"/>
              <w:jc w:val="center"/>
              <w:rPr>
                <w:sz w:val="18"/>
              </w:rPr>
            </w:pPr>
            <w:r>
              <w:rPr>
                <w:sz w:val="18"/>
              </w:rPr>
              <w:t xml:space="preserve">½ </w:t>
            </w:r>
          </w:p>
        </w:tc>
        <w:tc>
          <w:tcPr>
            <w:tcW w:w="1559" w:type="dxa"/>
            <w:tcBorders>
              <w:left w:val="nil"/>
            </w:tcBorders>
          </w:tcPr>
          <w:p>
            <w:pPr>
              <w:pStyle w:val="Table"/>
              <w:spacing w:before="0"/>
              <w:jc w:val="center"/>
              <w:rPr>
                <w:sz w:val="18"/>
              </w:rPr>
            </w:pPr>
            <w:r>
              <w:rPr>
                <w:sz w:val="18"/>
                <w:vertAlign w:val="superscript"/>
              </w:rPr>
              <w:t>11</w:t>
            </w:r>
            <w:r>
              <w:rPr>
                <w:sz w:val="18"/>
              </w:rPr>
              <w:t>/</w:t>
            </w:r>
            <w:r>
              <w:rPr>
                <w:sz w:val="18"/>
                <w:vertAlign w:val="subscript"/>
              </w:rPr>
              <w:t>16</w:t>
            </w:r>
          </w:p>
        </w:tc>
      </w:tr>
      <w:tr>
        <w:tc>
          <w:tcPr>
            <w:tcW w:w="2551" w:type="dxa"/>
          </w:tcPr>
          <w:p>
            <w:pPr>
              <w:pStyle w:val="Table"/>
              <w:spacing w:before="0"/>
              <w:rPr>
                <w:sz w:val="18"/>
              </w:rPr>
            </w:pPr>
            <w:r>
              <w:rPr>
                <w:sz w:val="18"/>
              </w:rPr>
              <w:t xml:space="preserve"> 2 lb. ......................................... </w:t>
            </w:r>
          </w:p>
        </w:tc>
        <w:tc>
          <w:tcPr>
            <w:tcW w:w="1134" w:type="dxa"/>
            <w:tcBorders>
              <w:left w:val="single" w:sz="4" w:space="0" w:color="auto"/>
            </w:tcBorders>
          </w:tcPr>
          <w:p>
            <w:pPr>
              <w:pStyle w:val="Table"/>
              <w:spacing w:before="0"/>
              <w:jc w:val="center"/>
              <w:rPr>
                <w:sz w:val="18"/>
              </w:rPr>
            </w:pPr>
            <w:r>
              <w:rPr>
                <w:sz w:val="18"/>
                <w:vertAlign w:val="superscript"/>
              </w:rPr>
              <w:t>5</w:t>
            </w:r>
            <w:r>
              <w:rPr>
                <w:sz w:val="18"/>
              </w:rPr>
              <w:t>/</w:t>
            </w:r>
            <w:r>
              <w:rPr>
                <w:sz w:val="18"/>
                <w:vertAlign w:val="subscript"/>
              </w:rPr>
              <w:t>8</w:t>
            </w:r>
          </w:p>
        </w:tc>
        <w:tc>
          <w:tcPr>
            <w:tcW w:w="993" w:type="dxa"/>
            <w:tcBorders>
              <w:left w:val="single" w:sz="4" w:space="0" w:color="auto"/>
              <w:right w:val="single" w:sz="4" w:space="0" w:color="auto"/>
            </w:tcBorders>
          </w:tcPr>
          <w:p>
            <w:pPr>
              <w:pStyle w:val="Table"/>
              <w:spacing w:before="0"/>
              <w:jc w:val="center"/>
              <w:rPr>
                <w:sz w:val="18"/>
              </w:rPr>
            </w:pPr>
            <w:r>
              <w:rPr>
                <w:sz w:val="18"/>
              </w:rPr>
              <w:t xml:space="preserve">½ </w:t>
            </w:r>
          </w:p>
        </w:tc>
        <w:tc>
          <w:tcPr>
            <w:tcW w:w="1559" w:type="dxa"/>
            <w:tcBorders>
              <w:left w:val="nil"/>
            </w:tcBorders>
          </w:tcPr>
          <w:p>
            <w:pPr>
              <w:pStyle w:val="Table"/>
              <w:spacing w:before="0"/>
              <w:jc w:val="center"/>
              <w:rPr>
                <w:sz w:val="18"/>
              </w:rPr>
            </w:pPr>
            <w:r>
              <w:rPr>
                <w:sz w:val="18"/>
                <w:vertAlign w:val="superscript"/>
              </w:rPr>
              <w:t>5</w:t>
            </w:r>
            <w:r>
              <w:rPr>
                <w:sz w:val="18"/>
              </w:rPr>
              <w:t>/</w:t>
            </w:r>
            <w:r>
              <w:rPr>
                <w:sz w:val="18"/>
                <w:vertAlign w:val="subscript"/>
              </w:rPr>
              <w:t>8</w:t>
            </w:r>
          </w:p>
        </w:tc>
      </w:tr>
      <w:tr>
        <w:tc>
          <w:tcPr>
            <w:tcW w:w="2551" w:type="dxa"/>
          </w:tcPr>
          <w:p>
            <w:pPr>
              <w:pStyle w:val="Table"/>
              <w:spacing w:before="0"/>
              <w:rPr>
                <w:sz w:val="18"/>
              </w:rPr>
            </w:pPr>
            <w:r>
              <w:rPr>
                <w:sz w:val="18"/>
              </w:rPr>
              <w:t xml:space="preserve"> 1 lb. ......................................... </w:t>
            </w:r>
          </w:p>
        </w:tc>
        <w:tc>
          <w:tcPr>
            <w:tcW w:w="1134" w:type="dxa"/>
            <w:tcBorders>
              <w:left w:val="single" w:sz="4" w:space="0" w:color="auto"/>
            </w:tcBorders>
          </w:tcPr>
          <w:p>
            <w:pPr>
              <w:pStyle w:val="Table"/>
              <w:spacing w:before="0"/>
              <w:jc w:val="center"/>
              <w:rPr>
                <w:sz w:val="18"/>
              </w:rPr>
            </w:pPr>
            <w:r>
              <w:rPr>
                <w:sz w:val="18"/>
                <w:vertAlign w:val="superscript"/>
              </w:rPr>
              <w:t>5</w:t>
            </w:r>
            <w:r>
              <w:rPr>
                <w:sz w:val="18"/>
              </w:rPr>
              <w:t>/</w:t>
            </w:r>
            <w:r>
              <w:rPr>
                <w:sz w:val="18"/>
                <w:vertAlign w:val="subscript"/>
              </w:rPr>
              <w:t>8</w:t>
            </w:r>
          </w:p>
        </w:tc>
        <w:tc>
          <w:tcPr>
            <w:tcW w:w="993" w:type="dxa"/>
            <w:tcBorders>
              <w:left w:val="single" w:sz="4" w:space="0" w:color="auto"/>
              <w:right w:val="single" w:sz="4" w:space="0" w:color="auto"/>
            </w:tcBorders>
          </w:tcPr>
          <w:p>
            <w:pPr>
              <w:pStyle w:val="Table"/>
              <w:spacing w:before="0"/>
              <w:jc w:val="center"/>
              <w:rPr>
                <w:sz w:val="18"/>
              </w:rPr>
            </w:pPr>
            <w:r>
              <w:rPr>
                <w:sz w:val="18"/>
              </w:rPr>
              <w:t>½</w:t>
            </w:r>
          </w:p>
        </w:tc>
        <w:tc>
          <w:tcPr>
            <w:tcW w:w="1559" w:type="dxa"/>
            <w:tcBorders>
              <w:left w:val="nil"/>
            </w:tcBorders>
          </w:tcPr>
          <w:p>
            <w:pPr>
              <w:pStyle w:val="Table"/>
              <w:spacing w:before="0"/>
              <w:jc w:val="center"/>
              <w:rPr>
                <w:sz w:val="18"/>
              </w:rPr>
            </w:pPr>
            <w:r>
              <w:rPr>
                <w:sz w:val="18"/>
                <w:vertAlign w:val="superscript"/>
              </w:rPr>
              <w:t>5</w:t>
            </w:r>
            <w:r>
              <w:rPr>
                <w:sz w:val="18"/>
              </w:rPr>
              <w:t>/</w:t>
            </w:r>
            <w:r>
              <w:rPr>
                <w:sz w:val="18"/>
                <w:vertAlign w:val="subscript"/>
              </w:rPr>
              <w:t>8</w:t>
            </w:r>
          </w:p>
        </w:tc>
      </w:tr>
      <w:tr>
        <w:tc>
          <w:tcPr>
            <w:tcW w:w="2551" w:type="dxa"/>
          </w:tcPr>
          <w:p>
            <w:pPr>
              <w:pStyle w:val="Table"/>
              <w:spacing w:before="0"/>
              <w:rPr>
                <w:sz w:val="18"/>
              </w:rPr>
            </w:pPr>
            <w:r>
              <w:rPr>
                <w:sz w:val="18"/>
              </w:rPr>
              <w:t xml:space="preserve"> 8 oz. ........................................ </w:t>
            </w:r>
          </w:p>
        </w:tc>
        <w:tc>
          <w:tcPr>
            <w:tcW w:w="1134" w:type="dxa"/>
            <w:tcBorders>
              <w:left w:val="single" w:sz="4" w:space="0" w:color="auto"/>
            </w:tcBorders>
          </w:tcPr>
          <w:p>
            <w:pPr>
              <w:pStyle w:val="Table"/>
              <w:spacing w:before="0"/>
              <w:jc w:val="center"/>
              <w:rPr>
                <w:sz w:val="18"/>
              </w:rPr>
            </w:pPr>
            <w:r>
              <w:rPr>
                <w:sz w:val="18"/>
                <w:vertAlign w:val="superscript"/>
              </w:rPr>
              <w:t>5</w:t>
            </w:r>
            <w:r>
              <w:rPr>
                <w:sz w:val="18"/>
              </w:rPr>
              <w:t>/</w:t>
            </w:r>
            <w:r>
              <w:rPr>
                <w:sz w:val="18"/>
                <w:vertAlign w:val="subscript"/>
              </w:rPr>
              <w:t>8</w:t>
            </w:r>
          </w:p>
        </w:tc>
        <w:tc>
          <w:tcPr>
            <w:tcW w:w="993" w:type="dxa"/>
            <w:tcBorders>
              <w:left w:val="single" w:sz="4" w:space="0" w:color="auto"/>
              <w:right w:val="single" w:sz="4" w:space="0" w:color="auto"/>
            </w:tcBorders>
          </w:tcPr>
          <w:p>
            <w:pPr>
              <w:pStyle w:val="Table"/>
              <w:spacing w:before="0"/>
              <w:jc w:val="center"/>
              <w:rPr>
                <w:sz w:val="18"/>
              </w:rPr>
            </w:pPr>
            <w:r>
              <w:rPr>
                <w:sz w:val="18"/>
                <w:vertAlign w:val="superscript"/>
              </w:rPr>
              <w:t>3</w:t>
            </w:r>
            <w:r>
              <w:rPr>
                <w:sz w:val="18"/>
              </w:rPr>
              <w:t>/</w:t>
            </w:r>
            <w:r>
              <w:rPr>
                <w:sz w:val="18"/>
                <w:vertAlign w:val="subscript"/>
              </w:rPr>
              <w:t>8</w:t>
            </w:r>
          </w:p>
        </w:tc>
        <w:tc>
          <w:tcPr>
            <w:tcW w:w="1559" w:type="dxa"/>
            <w:tcBorders>
              <w:left w:val="nil"/>
            </w:tcBorders>
          </w:tcPr>
          <w:p>
            <w:pPr>
              <w:pStyle w:val="Table"/>
              <w:spacing w:before="0"/>
              <w:jc w:val="center"/>
              <w:rPr>
                <w:sz w:val="18"/>
              </w:rPr>
            </w:pPr>
            <w:r>
              <w:rPr>
                <w:sz w:val="18"/>
                <w:vertAlign w:val="superscript"/>
              </w:rPr>
              <w:t>9</w:t>
            </w:r>
            <w:r>
              <w:rPr>
                <w:sz w:val="18"/>
              </w:rPr>
              <w:t>/</w:t>
            </w:r>
            <w:r>
              <w:rPr>
                <w:sz w:val="18"/>
                <w:vertAlign w:val="subscript"/>
              </w:rPr>
              <w:t>16</w:t>
            </w:r>
          </w:p>
        </w:tc>
      </w:tr>
      <w:tr>
        <w:tc>
          <w:tcPr>
            <w:tcW w:w="2551" w:type="dxa"/>
            <w:tcBorders>
              <w:bottom w:val="single" w:sz="4" w:space="0" w:color="auto"/>
            </w:tcBorders>
          </w:tcPr>
          <w:p>
            <w:pPr>
              <w:pStyle w:val="Table"/>
              <w:spacing w:before="0"/>
              <w:rPr>
                <w:sz w:val="18"/>
              </w:rPr>
            </w:pPr>
            <w:r>
              <w:rPr>
                <w:sz w:val="18"/>
              </w:rPr>
              <w:t xml:space="preserve"> 4 oz. ........................................ </w:t>
            </w:r>
          </w:p>
        </w:tc>
        <w:tc>
          <w:tcPr>
            <w:tcW w:w="1134" w:type="dxa"/>
            <w:tcBorders>
              <w:left w:val="single" w:sz="4" w:space="0" w:color="auto"/>
              <w:bottom w:val="single" w:sz="4" w:space="0" w:color="auto"/>
            </w:tcBorders>
          </w:tcPr>
          <w:p>
            <w:pPr>
              <w:pStyle w:val="Table"/>
              <w:spacing w:before="0"/>
              <w:jc w:val="center"/>
              <w:rPr>
                <w:sz w:val="18"/>
              </w:rPr>
            </w:pPr>
            <w:r>
              <w:rPr>
                <w:sz w:val="18"/>
              </w:rPr>
              <w:t xml:space="preserve">½ </w:t>
            </w:r>
          </w:p>
        </w:tc>
        <w:tc>
          <w:tcPr>
            <w:tcW w:w="993" w:type="dxa"/>
            <w:tcBorders>
              <w:left w:val="single" w:sz="4" w:space="0" w:color="auto"/>
              <w:bottom w:val="single" w:sz="4" w:space="0" w:color="auto"/>
              <w:right w:val="single" w:sz="4" w:space="0" w:color="auto"/>
            </w:tcBorders>
          </w:tcPr>
          <w:p>
            <w:pPr>
              <w:pStyle w:val="Table"/>
              <w:spacing w:before="0"/>
              <w:jc w:val="center"/>
              <w:rPr>
                <w:sz w:val="18"/>
              </w:rPr>
            </w:pPr>
            <w:r>
              <w:rPr>
                <w:sz w:val="18"/>
                <w:vertAlign w:val="superscript"/>
              </w:rPr>
              <w:t>5</w:t>
            </w:r>
            <w:r>
              <w:rPr>
                <w:sz w:val="18"/>
              </w:rPr>
              <w:t>/</w:t>
            </w:r>
            <w:r>
              <w:rPr>
                <w:sz w:val="18"/>
                <w:vertAlign w:val="subscript"/>
              </w:rPr>
              <w:t>16</w:t>
            </w:r>
          </w:p>
        </w:tc>
        <w:tc>
          <w:tcPr>
            <w:tcW w:w="1559" w:type="dxa"/>
            <w:tcBorders>
              <w:left w:val="nil"/>
              <w:bottom w:val="single" w:sz="4" w:space="0" w:color="auto"/>
            </w:tcBorders>
          </w:tcPr>
          <w:p>
            <w:pPr>
              <w:pStyle w:val="Table"/>
              <w:spacing w:before="0"/>
              <w:jc w:val="center"/>
              <w:rPr>
                <w:sz w:val="18"/>
              </w:rPr>
            </w:pPr>
            <w:r>
              <w:rPr>
                <w:sz w:val="18"/>
                <w:vertAlign w:val="superscript"/>
              </w:rPr>
              <w:t>7</w:t>
            </w:r>
            <w:r>
              <w:rPr>
                <w:sz w:val="18"/>
              </w:rPr>
              <w:t>/</w:t>
            </w:r>
            <w:r>
              <w:rPr>
                <w:sz w:val="18"/>
                <w:vertAlign w:val="subscript"/>
              </w:rPr>
              <w:t>16</w:t>
            </w:r>
          </w:p>
        </w:tc>
      </w:tr>
    </w:tbl>
    <w:p>
      <w:pPr>
        <w:pStyle w:val="Heading5"/>
        <w:rPr>
          <w:snapToGrid w:val="0"/>
        </w:rPr>
      </w:pPr>
      <w:bookmarkStart w:id="32" w:name="_Toc390077057"/>
      <w:r>
        <w:rPr>
          <w:rStyle w:val="CharSectno"/>
        </w:rPr>
        <w:t>17</w:t>
      </w:r>
      <w:r>
        <w:rPr>
          <w:snapToGrid w:val="0"/>
        </w:rPr>
        <w:t>.</w:t>
      </w:r>
      <w:r>
        <w:rPr>
          <w:snapToGrid w:val="0"/>
        </w:rPr>
        <w:tab/>
        <w:t>Adjusting holes in other weights</w:t>
      </w:r>
      <w:bookmarkEnd w:id="32"/>
    </w:p>
    <w:p>
      <w:pPr>
        <w:pStyle w:val="Subsection"/>
        <w:spacing w:after="80"/>
        <w:rPr>
          <w:snapToGrid w:val="0"/>
        </w:rPr>
      </w:pPr>
      <w:r>
        <w:rPr>
          <w:snapToGrid w:val="0"/>
        </w:rPr>
        <w:tab/>
      </w:r>
      <w:r>
        <w:rPr>
          <w:snapToGrid w:val="0"/>
        </w:rPr>
        <w:tab/>
        <w:t>Adjusting holes in weights other than iron shall be circular and of approximately the following dimensions — </w:t>
      </w:r>
    </w:p>
    <w:tbl>
      <w:tblPr>
        <w:tblW w:w="0" w:type="auto"/>
        <w:tblInd w:w="907" w:type="dxa"/>
        <w:tblLayout w:type="fixed"/>
        <w:tblCellMar>
          <w:left w:w="56" w:type="dxa"/>
          <w:right w:w="56" w:type="dxa"/>
        </w:tblCellMar>
        <w:tblLook w:val="0000" w:firstRow="0" w:lastRow="0" w:firstColumn="0" w:lastColumn="0" w:noHBand="0" w:noVBand="0"/>
      </w:tblPr>
      <w:tblGrid>
        <w:gridCol w:w="2126"/>
        <w:gridCol w:w="1559"/>
        <w:gridCol w:w="284"/>
        <w:gridCol w:w="2268"/>
      </w:tblGrid>
      <w:tr>
        <w:trPr>
          <w:cantSplit/>
        </w:trPr>
        <w:tc>
          <w:tcPr>
            <w:tcW w:w="2126" w:type="dxa"/>
            <w:tcBorders>
              <w:top w:val="single" w:sz="4" w:space="0" w:color="auto"/>
              <w:bottom w:val="single" w:sz="4" w:space="0" w:color="auto"/>
              <w:right w:val="single" w:sz="4" w:space="0" w:color="auto"/>
            </w:tcBorders>
          </w:tcPr>
          <w:p>
            <w:pPr>
              <w:pStyle w:val="Table"/>
              <w:jc w:val="center"/>
              <w:rPr>
                <w:b/>
                <w:sz w:val="18"/>
              </w:rPr>
            </w:pPr>
            <w:r>
              <w:rPr>
                <w:b/>
                <w:sz w:val="18"/>
              </w:rPr>
              <w:t>Weight</w:t>
            </w:r>
          </w:p>
        </w:tc>
        <w:tc>
          <w:tcPr>
            <w:tcW w:w="1559" w:type="dxa"/>
            <w:tcBorders>
              <w:top w:val="single" w:sz="4" w:space="0" w:color="auto"/>
              <w:left w:val="single" w:sz="4" w:space="0" w:color="auto"/>
              <w:bottom w:val="single" w:sz="4" w:space="0" w:color="auto"/>
              <w:right w:val="single" w:sz="4" w:space="0" w:color="auto"/>
            </w:tcBorders>
          </w:tcPr>
          <w:p>
            <w:pPr>
              <w:pStyle w:val="Table"/>
              <w:jc w:val="center"/>
              <w:rPr>
                <w:b/>
                <w:sz w:val="18"/>
              </w:rPr>
            </w:pPr>
            <w:r>
              <w:rPr>
                <w:b/>
                <w:sz w:val="18"/>
              </w:rPr>
              <w:t>Diameter</w:t>
            </w:r>
          </w:p>
        </w:tc>
        <w:tc>
          <w:tcPr>
            <w:tcW w:w="2552" w:type="dxa"/>
            <w:gridSpan w:val="2"/>
            <w:tcBorders>
              <w:top w:val="single" w:sz="4" w:space="0" w:color="auto"/>
              <w:left w:val="single" w:sz="4" w:space="0" w:color="auto"/>
              <w:bottom w:val="single" w:sz="4" w:space="0" w:color="auto"/>
            </w:tcBorders>
          </w:tcPr>
          <w:p>
            <w:pPr>
              <w:pStyle w:val="Table"/>
              <w:jc w:val="center"/>
              <w:rPr>
                <w:b/>
                <w:sz w:val="18"/>
              </w:rPr>
            </w:pPr>
            <w:r>
              <w:rPr>
                <w:b/>
                <w:sz w:val="18"/>
              </w:rPr>
              <w:t>Depth</w:t>
            </w:r>
          </w:p>
        </w:tc>
      </w:tr>
      <w:tr>
        <w:trPr>
          <w:cantSplit/>
        </w:trPr>
        <w:tc>
          <w:tcPr>
            <w:tcW w:w="2126" w:type="dxa"/>
          </w:tcPr>
          <w:p>
            <w:pPr>
              <w:pStyle w:val="Table"/>
              <w:rPr>
                <w:sz w:val="18"/>
              </w:rPr>
            </w:pPr>
            <w:r>
              <w:rPr>
                <w:sz w:val="18"/>
              </w:rPr>
              <w:t>Other than flat — </w:t>
            </w:r>
          </w:p>
        </w:tc>
        <w:tc>
          <w:tcPr>
            <w:tcW w:w="1559" w:type="dxa"/>
            <w:tcBorders>
              <w:left w:val="single" w:sz="4" w:space="0" w:color="auto"/>
              <w:right w:val="single" w:sz="4" w:space="0" w:color="auto"/>
            </w:tcBorders>
          </w:tcPr>
          <w:p>
            <w:pPr>
              <w:pStyle w:val="Table"/>
              <w:jc w:val="center"/>
              <w:rPr>
                <w:sz w:val="18"/>
              </w:rPr>
            </w:pPr>
            <w:r>
              <w:rPr>
                <w:sz w:val="18"/>
              </w:rPr>
              <w:t>inch.</w:t>
            </w:r>
          </w:p>
        </w:tc>
        <w:tc>
          <w:tcPr>
            <w:tcW w:w="2552" w:type="dxa"/>
            <w:gridSpan w:val="2"/>
            <w:tcBorders>
              <w:left w:val="nil"/>
            </w:tcBorders>
          </w:tcPr>
          <w:p>
            <w:pPr>
              <w:pStyle w:val="Table"/>
              <w:jc w:val="center"/>
              <w:rPr>
                <w:sz w:val="18"/>
              </w:rPr>
            </w:pPr>
          </w:p>
        </w:tc>
      </w:tr>
      <w:tr>
        <w:trPr>
          <w:cantSplit/>
        </w:trPr>
        <w:tc>
          <w:tcPr>
            <w:tcW w:w="2126" w:type="dxa"/>
          </w:tcPr>
          <w:p>
            <w:pPr>
              <w:pStyle w:val="Table"/>
              <w:spacing w:before="0"/>
              <w:ind w:left="227"/>
              <w:rPr>
                <w:sz w:val="18"/>
              </w:rPr>
            </w:pPr>
            <w:r>
              <w:rPr>
                <w:sz w:val="18"/>
              </w:rPr>
              <w:t>56 lb. .............................</w:t>
            </w:r>
          </w:p>
        </w:tc>
        <w:tc>
          <w:tcPr>
            <w:tcW w:w="1559" w:type="dxa"/>
            <w:tcBorders>
              <w:left w:val="single" w:sz="4" w:space="0" w:color="auto"/>
              <w:right w:val="single" w:sz="4" w:space="0" w:color="auto"/>
            </w:tcBorders>
          </w:tcPr>
          <w:p>
            <w:pPr>
              <w:pStyle w:val="Table"/>
              <w:spacing w:before="0"/>
              <w:jc w:val="center"/>
              <w:rPr>
                <w:sz w:val="18"/>
              </w:rPr>
            </w:pPr>
            <w:r>
              <w:rPr>
                <w:sz w:val="18"/>
              </w:rPr>
              <w:t xml:space="preserve">1 ½ </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28 lb. .............................</w:t>
            </w:r>
          </w:p>
        </w:tc>
        <w:tc>
          <w:tcPr>
            <w:tcW w:w="1559" w:type="dxa"/>
            <w:tcBorders>
              <w:left w:val="single" w:sz="4" w:space="0" w:color="auto"/>
              <w:right w:val="single" w:sz="4" w:space="0" w:color="auto"/>
            </w:tcBorders>
          </w:tcPr>
          <w:p>
            <w:pPr>
              <w:pStyle w:val="Table"/>
              <w:spacing w:before="0"/>
              <w:jc w:val="center"/>
              <w:rPr>
                <w:sz w:val="18"/>
              </w:rPr>
            </w:pPr>
            <w:r>
              <w:rPr>
                <w:sz w:val="18"/>
              </w:rPr>
              <w:t>1</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14 lb. .............................</w:t>
            </w:r>
          </w:p>
        </w:tc>
        <w:tc>
          <w:tcPr>
            <w:tcW w:w="1559" w:type="dxa"/>
            <w:tcBorders>
              <w:left w:val="single" w:sz="4" w:space="0" w:color="auto"/>
              <w:right w:val="single" w:sz="4" w:space="0" w:color="auto"/>
            </w:tcBorders>
          </w:tcPr>
          <w:p>
            <w:pPr>
              <w:pStyle w:val="Table"/>
              <w:spacing w:before="0"/>
              <w:jc w:val="center"/>
              <w:rPr>
                <w:sz w:val="18"/>
              </w:rPr>
            </w:pPr>
            <w:r>
              <w:rPr>
                <w:sz w:val="18"/>
              </w:rPr>
              <w:t>1</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7, 4, and 2 lb. ................</w:t>
            </w:r>
          </w:p>
        </w:tc>
        <w:tc>
          <w:tcPr>
            <w:tcW w:w="1559" w:type="dxa"/>
            <w:tcBorders>
              <w:left w:val="single" w:sz="4" w:space="0" w:color="auto"/>
              <w:right w:val="single" w:sz="4" w:space="0" w:color="auto"/>
            </w:tcBorders>
          </w:tcPr>
          <w:p>
            <w:pPr>
              <w:pStyle w:val="Table"/>
              <w:spacing w:before="0"/>
              <w:jc w:val="center"/>
              <w:rPr>
                <w:sz w:val="18"/>
              </w:rPr>
            </w:pPr>
            <w:r>
              <w:rPr>
                <w:sz w:val="18"/>
              </w:rPr>
              <w:t>¾</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1 lb. 8 oz. ......................</w:t>
            </w:r>
          </w:p>
        </w:tc>
        <w:tc>
          <w:tcPr>
            <w:tcW w:w="1559" w:type="dxa"/>
            <w:tcBorders>
              <w:left w:val="single" w:sz="4" w:space="0" w:color="auto"/>
              <w:right w:val="single" w:sz="4" w:space="0" w:color="auto"/>
            </w:tcBorders>
          </w:tcPr>
          <w:p>
            <w:pPr>
              <w:pStyle w:val="Table"/>
              <w:spacing w:before="0"/>
              <w:jc w:val="center"/>
              <w:rPr>
                <w:sz w:val="18"/>
              </w:rPr>
            </w:pPr>
            <w:r>
              <w:rPr>
                <w:sz w:val="18"/>
              </w:rPr>
              <w:t>½</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 xml:space="preserve">4 oz. .............................. </w:t>
            </w:r>
          </w:p>
        </w:tc>
        <w:tc>
          <w:tcPr>
            <w:tcW w:w="1559" w:type="dxa"/>
            <w:tcBorders>
              <w:left w:val="single" w:sz="4" w:space="0" w:color="auto"/>
              <w:right w:val="single" w:sz="4" w:space="0" w:color="auto"/>
            </w:tcBorders>
          </w:tcPr>
          <w:p>
            <w:pPr>
              <w:pStyle w:val="Table"/>
              <w:spacing w:before="0"/>
              <w:jc w:val="center"/>
              <w:rPr>
                <w:sz w:val="18"/>
              </w:rPr>
            </w:pPr>
            <w:r>
              <w:rPr>
                <w:sz w:val="18"/>
                <w:vertAlign w:val="superscript"/>
              </w:rPr>
              <w:t>3</w:t>
            </w:r>
            <w:r>
              <w:rPr>
                <w:sz w:val="18"/>
              </w:rPr>
              <w:t>/</w:t>
            </w:r>
            <w:r>
              <w:rPr>
                <w:sz w:val="18"/>
                <w:vertAlign w:val="subscript"/>
              </w:rPr>
              <w:t>8</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2 and 1 oz. .....................</w:t>
            </w:r>
          </w:p>
        </w:tc>
        <w:tc>
          <w:tcPr>
            <w:tcW w:w="1559" w:type="dxa"/>
            <w:tcBorders>
              <w:left w:val="single" w:sz="4" w:space="0" w:color="auto"/>
              <w:right w:val="single" w:sz="4" w:space="0" w:color="auto"/>
            </w:tcBorders>
          </w:tcPr>
          <w:p>
            <w:pPr>
              <w:pStyle w:val="Table"/>
              <w:spacing w:before="0"/>
              <w:jc w:val="center"/>
              <w:rPr>
                <w:sz w:val="18"/>
              </w:rPr>
            </w:pPr>
            <w:r>
              <w:rPr>
                <w:sz w:val="18"/>
              </w:rPr>
              <w:t>¼</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rPr>
                <w:sz w:val="18"/>
              </w:rPr>
            </w:pPr>
            <w:r>
              <w:rPr>
                <w:sz w:val="18"/>
              </w:rPr>
              <w:t>Flat — </w:t>
            </w:r>
          </w:p>
        </w:tc>
        <w:tc>
          <w:tcPr>
            <w:tcW w:w="1559" w:type="dxa"/>
            <w:tcBorders>
              <w:left w:val="single" w:sz="4" w:space="0" w:color="auto"/>
              <w:right w:val="single" w:sz="4" w:space="0" w:color="auto"/>
            </w:tcBorders>
          </w:tcPr>
          <w:p>
            <w:pPr>
              <w:pStyle w:val="Table"/>
              <w:spacing w:before="0"/>
              <w:jc w:val="center"/>
              <w:rPr>
                <w:sz w:val="18"/>
              </w:rPr>
            </w:pP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4, 2, and 1 lb. ................</w:t>
            </w:r>
          </w:p>
        </w:tc>
        <w:tc>
          <w:tcPr>
            <w:tcW w:w="1559" w:type="dxa"/>
            <w:tcBorders>
              <w:left w:val="single" w:sz="4" w:space="0" w:color="auto"/>
              <w:right w:val="single" w:sz="4" w:space="0" w:color="auto"/>
            </w:tcBorders>
          </w:tcPr>
          <w:p>
            <w:pPr>
              <w:pStyle w:val="Table"/>
              <w:spacing w:before="0"/>
              <w:jc w:val="center"/>
              <w:rPr>
                <w:sz w:val="18"/>
              </w:rPr>
            </w:pPr>
            <w:r>
              <w:rPr>
                <w:sz w:val="18"/>
              </w:rPr>
              <w:t>¾</w:t>
            </w:r>
          </w:p>
        </w:tc>
        <w:tc>
          <w:tcPr>
            <w:tcW w:w="284" w:type="dxa"/>
            <w:vMerge w:val="restart"/>
            <w:tcBorders>
              <w:left w:val="nil"/>
            </w:tcBorders>
          </w:tcPr>
          <w:p>
            <w:pPr>
              <w:pStyle w:val="Table"/>
              <w:spacing w:before="0"/>
              <w:rPr>
                <w:sz w:val="16"/>
              </w:rPr>
            </w:pPr>
            <w:r>
              <w:rPr>
                <w:noProof/>
              </w:rPr>
              <w:drawing>
                <wp:inline distT="0" distB="0" distL="0" distR="0">
                  <wp:extent cx="118745" cy="439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8745" cy="439420"/>
                          </a:xfrm>
                          <a:prstGeom prst="rect">
                            <a:avLst/>
                          </a:prstGeom>
                          <a:noFill/>
                          <a:ln>
                            <a:noFill/>
                          </a:ln>
                        </pic:spPr>
                      </pic:pic>
                    </a:graphicData>
                  </a:graphic>
                </wp:inline>
              </w:drawing>
            </w:r>
          </w:p>
        </w:tc>
        <w:tc>
          <w:tcPr>
            <w:tcW w:w="2268" w:type="dxa"/>
            <w:vMerge w:val="restart"/>
            <w:tcBorders>
              <w:left w:val="nil"/>
            </w:tcBorders>
          </w:tcPr>
          <w:p>
            <w:pPr>
              <w:pStyle w:val="Table"/>
              <w:spacing w:before="0"/>
              <w:rPr>
                <w:sz w:val="16"/>
              </w:rPr>
            </w:pPr>
          </w:p>
          <w:p>
            <w:pPr>
              <w:pStyle w:val="Table"/>
              <w:spacing w:before="0"/>
              <w:rPr>
                <w:sz w:val="16"/>
              </w:rPr>
            </w:pPr>
            <w:r>
              <w:rPr>
                <w:sz w:val="18"/>
                <w:vertAlign w:val="superscript"/>
              </w:rPr>
              <w:t>3</w:t>
            </w:r>
            <w:r>
              <w:rPr>
                <w:sz w:val="18"/>
              </w:rPr>
              <w:t>/</w:t>
            </w:r>
            <w:r>
              <w:rPr>
                <w:sz w:val="18"/>
                <w:vertAlign w:val="subscript"/>
              </w:rPr>
              <w:t>5</w:t>
            </w:r>
            <w:r>
              <w:rPr>
                <w:sz w:val="16"/>
              </w:rPr>
              <w:t xml:space="preserve"> centre thickness of weight</w:t>
            </w:r>
          </w:p>
        </w:tc>
      </w:tr>
      <w:tr>
        <w:trPr>
          <w:cantSplit/>
        </w:trPr>
        <w:tc>
          <w:tcPr>
            <w:tcW w:w="2126" w:type="dxa"/>
          </w:tcPr>
          <w:p>
            <w:pPr>
              <w:pStyle w:val="Table"/>
              <w:spacing w:before="0"/>
              <w:ind w:left="227"/>
              <w:rPr>
                <w:sz w:val="18"/>
              </w:rPr>
            </w:pPr>
            <w:r>
              <w:rPr>
                <w:sz w:val="18"/>
              </w:rPr>
              <w:t xml:space="preserve">8 and 4 oz. .................... </w:t>
            </w:r>
          </w:p>
        </w:tc>
        <w:tc>
          <w:tcPr>
            <w:tcW w:w="1559" w:type="dxa"/>
            <w:tcBorders>
              <w:left w:val="single" w:sz="4" w:space="0" w:color="auto"/>
              <w:right w:val="single" w:sz="4" w:space="0" w:color="auto"/>
            </w:tcBorders>
          </w:tcPr>
          <w:p>
            <w:pPr>
              <w:pStyle w:val="Table"/>
              <w:spacing w:before="0"/>
              <w:jc w:val="center"/>
              <w:rPr>
                <w:sz w:val="18"/>
              </w:rPr>
            </w:pPr>
            <w:r>
              <w:rPr>
                <w:sz w:val="18"/>
              </w:rPr>
              <w:t>½</w:t>
            </w:r>
          </w:p>
        </w:tc>
        <w:tc>
          <w:tcPr>
            <w:tcW w:w="284" w:type="dxa"/>
            <w:vMerge/>
            <w:tcBorders>
              <w:left w:val="nil"/>
            </w:tcBorders>
          </w:tcPr>
          <w:p>
            <w:pPr>
              <w:pStyle w:val="Table"/>
              <w:spacing w:before="0"/>
              <w:jc w:val="center"/>
              <w:rPr>
                <w:sz w:val="18"/>
              </w:rPr>
            </w:pPr>
          </w:p>
        </w:tc>
        <w:tc>
          <w:tcPr>
            <w:tcW w:w="2268" w:type="dxa"/>
            <w:vMerge/>
            <w:tcBorders>
              <w:left w:val="nil"/>
            </w:tcBorders>
          </w:tcPr>
          <w:p>
            <w:pPr>
              <w:pStyle w:val="Table"/>
              <w:spacing w:before="0"/>
              <w:jc w:val="center"/>
              <w:rPr>
                <w:sz w:val="18"/>
              </w:rPr>
            </w:pPr>
          </w:p>
        </w:tc>
      </w:tr>
      <w:tr>
        <w:trPr>
          <w:cantSplit/>
        </w:trPr>
        <w:tc>
          <w:tcPr>
            <w:tcW w:w="2126" w:type="dxa"/>
            <w:tcBorders>
              <w:bottom w:val="single" w:sz="4" w:space="0" w:color="auto"/>
            </w:tcBorders>
          </w:tcPr>
          <w:p>
            <w:pPr>
              <w:pStyle w:val="Table"/>
              <w:spacing w:before="0"/>
              <w:ind w:left="227"/>
              <w:rPr>
                <w:sz w:val="18"/>
              </w:rPr>
            </w:pPr>
            <w:r>
              <w:rPr>
                <w:sz w:val="18"/>
              </w:rPr>
              <w:t xml:space="preserve">2 and 1 oz. .................... </w:t>
            </w:r>
          </w:p>
        </w:tc>
        <w:tc>
          <w:tcPr>
            <w:tcW w:w="1559" w:type="dxa"/>
            <w:tcBorders>
              <w:left w:val="single" w:sz="4" w:space="0" w:color="auto"/>
              <w:bottom w:val="single" w:sz="4" w:space="0" w:color="auto"/>
              <w:right w:val="single" w:sz="4" w:space="0" w:color="auto"/>
            </w:tcBorders>
          </w:tcPr>
          <w:p>
            <w:pPr>
              <w:pStyle w:val="Table"/>
              <w:spacing w:before="0"/>
              <w:jc w:val="center"/>
              <w:rPr>
                <w:sz w:val="18"/>
              </w:rPr>
            </w:pPr>
            <w:r>
              <w:rPr>
                <w:sz w:val="18"/>
              </w:rPr>
              <w:t>¼</w:t>
            </w:r>
          </w:p>
        </w:tc>
        <w:tc>
          <w:tcPr>
            <w:tcW w:w="284" w:type="dxa"/>
            <w:vMerge/>
            <w:tcBorders>
              <w:left w:val="nil"/>
              <w:bottom w:val="single" w:sz="4" w:space="0" w:color="auto"/>
            </w:tcBorders>
          </w:tcPr>
          <w:p>
            <w:pPr>
              <w:pStyle w:val="Table"/>
              <w:spacing w:before="0"/>
              <w:jc w:val="center"/>
              <w:rPr>
                <w:sz w:val="18"/>
              </w:rPr>
            </w:pPr>
          </w:p>
        </w:tc>
        <w:tc>
          <w:tcPr>
            <w:tcW w:w="2268" w:type="dxa"/>
            <w:vMerge/>
            <w:tcBorders>
              <w:left w:val="nil"/>
              <w:bottom w:val="single" w:sz="4" w:space="0" w:color="auto"/>
            </w:tcBorders>
          </w:tcPr>
          <w:p>
            <w:pPr>
              <w:pStyle w:val="Table"/>
              <w:spacing w:before="0"/>
              <w:jc w:val="center"/>
              <w:rPr>
                <w:sz w:val="18"/>
              </w:rPr>
            </w:pPr>
          </w:p>
        </w:tc>
      </w:tr>
    </w:tbl>
    <w:p>
      <w:pPr>
        <w:pStyle w:val="Heading5"/>
        <w:rPr>
          <w:snapToGrid w:val="0"/>
        </w:rPr>
      </w:pPr>
      <w:bookmarkStart w:id="33" w:name="_Toc390077058"/>
      <w:r>
        <w:rPr>
          <w:rStyle w:val="CharSectno"/>
        </w:rPr>
        <w:t>18</w:t>
      </w:r>
      <w:r>
        <w:rPr>
          <w:snapToGrid w:val="0"/>
        </w:rPr>
        <w:t>.</w:t>
      </w:r>
      <w:r>
        <w:rPr>
          <w:snapToGrid w:val="0"/>
        </w:rPr>
        <w:tab/>
        <w:t>Location of stamp</w:t>
      </w:r>
      <w:bookmarkEnd w:id="33"/>
    </w:p>
    <w:p>
      <w:pPr>
        <w:pStyle w:val="Subsection"/>
        <w:rPr>
          <w:snapToGrid w:val="0"/>
        </w:rPr>
      </w:pPr>
      <w:r>
        <w:rPr>
          <w:snapToGrid w:val="0"/>
        </w:rPr>
        <w:tab/>
      </w:r>
      <w:r>
        <w:rPr>
          <w:snapToGrid w:val="0"/>
        </w:rPr>
        <w:tab/>
        <w:t>Weights provided with an adjusting hole shall be stamped upon the lead adjustment. Weights not so provided shall be stamped upon the under surface:</w:t>
      </w:r>
    </w:p>
    <w:p>
      <w:pPr>
        <w:pStyle w:val="Subsection"/>
        <w:rPr>
          <w:snapToGrid w:val="0"/>
        </w:rPr>
      </w:pPr>
      <w:r>
        <w:rPr>
          <w:snapToGrid w:val="0"/>
        </w:rPr>
        <w:tab/>
      </w:r>
      <w:r>
        <w:rPr>
          <w:snapToGrid w:val="0"/>
        </w:rPr>
        <w:tab/>
        <w:t xml:space="preserve">Provided that weights below 1 oz. may be stamped upon the either surface. </w:t>
      </w:r>
    </w:p>
    <w:p>
      <w:pPr>
        <w:pStyle w:val="Heading5"/>
        <w:rPr>
          <w:snapToGrid w:val="0"/>
        </w:rPr>
      </w:pPr>
      <w:bookmarkStart w:id="34" w:name="_Toc390077059"/>
      <w:r>
        <w:rPr>
          <w:rStyle w:val="CharSectno"/>
        </w:rPr>
        <w:t>19</w:t>
      </w:r>
      <w:r>
        <w:rPr>
          <w:snapToGrid w:val="0"/>
        </w:rPr>
        <w:t>.</w:t>
      </w:r>
      <w:r>
        <w:rPr>
          <w:snapToGrid w:val="0"/>
        </w:rPr>
        <w:tab/>
        <w:t>Denomination to be shown on weight</w:t>
      </w:r>
      <w:bookmarkEnd w:id="34"/>
    </w:p>
    <w:p>
      <w:pPr>
        <w:pStyle w:val="Subsection"/>
        <w:rPr>
          <w:snapToGrid w:val="0"/>
        </w:rPr>
      </w:pPr>
      <w:r>
        <w:rPr>
          <w:snapToGrid w:val="0"/>
        </w:rPr>
        <w:tab/>
      </w:r>
      <w:r>
        <w:rPr>
          <w:snapToGrid w:val="0"/>
        </w:rPr>
        <w:tab/>
        <w:t>Weights shall have their denomination clearly and indelibly cast, stamped, or engraved thereon in letters, or figures and letters, proportionate to the size of such weights.</w:t>
      </w:r>
    </w:p>
    <w:p>
      <w:pPr>
        <w:pStyle w:val="Subsection"/>
        <w:rPr>
          <w:snapToGrid w:val="0"/>
        </w:rPr>
      </w:pPr>
      <w:r>
        <w:rPr>
          <w:snapToGrid w:val="0"/>
        </w:rPr>
        <w:tab/>
      </w:r>
      <w:r>
        <w:rPr>
          <w:snapToGrid w:val="0"/>
        </w:rPr>
        <w:tab/>
        <w:t xml:space="preserve">Troy and apothecaries weights of 1 ounce or more shall have the word “Troy” or “Apothecaries”, or the permissible abbreviation, marked thereon, in addition to the number of ounces. </w:t>
      </w:r>
    </w:p>
    <w:p>
      <w:pPr>
        <w:pStyle w:val="Heading5"/>
        <w:rPr>
          <w:snapToGrid w:val="0"/>
        </w:rPr>
      </w:pPr>
      <w:bookmarkStart w:id="35" w:name="_Toc390077060"/>
      <w:r>
        <w:rPr>
          <w:rStyle w:val="CharSectno"/>
        </w:rPr>
        <w:t>20</w:t>
      </w:r>
      <w:r>
        <w:rPr>
          <w:snapToGrid w:val="0"/>
        </w:rPr>
        <w:t>.</w:t>
      </w:r>
      <w:r>
        <w:rPr>
          <w:snapToGrid w:val="0"/>
        </w:rPr>
        <w:tab/>
        <w:t>Maker’s name</w:t>
      </w:r>
      <w:bookmarkEnd w:id="35"/>
    </w:p>
    <w:p>
      <w:pPr>
        <w:pStyle w:val="Subsection"/>
        <w:rPr>
          <w:snapToGrid w:val="0"/>
        </w:rPr>
      </w:pPr>
      <w:r>
        <w:rPr>
          <w:snapToGrid w:val="0"/>
        </w:rPr>
        <w:tab/>
      </w:r>
      <w:r>
        <w:rPr>
          <w:snapToGrid w:val="0"/>
        </w:rPr>
        <w:tab/>
        <w:t>When the maker’s name appears on a weight, the letters of such name shall not exceed half the size of the letters or figures of the denomination.</w:t>
      </w:r>
    </w:p>
    <w:p>
      <w:pPr>
        <w:pStyle w:val="Heading5"/>
        <w:rPr>
          <w:snapToGrid w:val="0"/>
        </w:rPr>
      </w:pPr>
      <w:bookmarkStart w:id="36" w:name="_Toc390077061"/>
      <w:r>
        <w:rPr>
          <w:rStyle w:val="CharSectno"/>
        </w:rPr>
        <w:t>21</w:t>
      </w:r>
      <w:r>
        <w:rPr>
          <w:snapToGrid w:val="0"/>
        </w:rPr>
        <w:t>.</w:t>
      </w:r>
      <w:r>
        <w:rPr>
          <w:snapToGrid w:val="0"/>
        </w:rPr>
        <w:tab/>
        <w:t>Certain weights not to be verified</w:t>
      </w:r>
      <w:bookmarkEnd w:id="36"/>
    </w:p>
    <w:p>
      <w:pPr>
        <w:pStyle w:val="Subsection"/>
        <w:rPr>
          <w:snapToGrid w:val="0"/>
        </w:rPr>
      </w:pPr>
      <w:r>
        <w:rPr>
          <w:snapToGrid w:val="0"/>
        </w:rPr>
        <w:tab/>
      </w:r>
      <w:r>
        <w:rPr>
          <w:snapToGrid w:val="0"/>
        </w:rPr>
        <w:tab/>
        <w:t>An Inspector shall not stamp any weight which — </w:t>
      </w:r>
    </w:p>
    <w:p>
      <w:pPr>
        <w:pStyle w:val="Indenta"/>
        <w:rPr>
          <w:snapToGrid w:val="0"/>
        </w:rPr>
      </w:pPr>
      <w:r>
        <w:rPr>
          <w:snapToGrid w:val="0"/>
        </w:rPr>
        <w:tab/>
        <w:t>(a)</w:t>
      </w:r>
      <w:r>
        <w:rPr>
          <w:snapToGrid w:val="0"/>
        </w:rPr>
        <w:tab/>
        <w:t>is cased;</w:t>
      </w:r>
    </w:p>
    <w:p>
      <w:pPr>
        <w:pStyle w:val="Indenta"/>
        <w:rPr>
          <w:snapToGrid w:val="0"/>
        </w:rPr>
      </w:pPr>
      <w:r>
        <w:rPr>
          <w:snapToGrid w:val="0"/>
        </w:rPr>
        <w:tab/>
        <w:t>(b)</w:t>
      </w:r>
      <w:r>
        <w:rPr>
          <w:snapToGrid w:val="0"/>
        </w:rPr>
        <w:tab/>
        <w:t>is composed of 2 or more different unalloyed metals, except that it may contain an adjusting plug of lead, and that iron weights may be galvanised;</w:t>
      </w:r>
    </w:p>
    <w:p>
      <w:pPr>
        <w:pStyle w:val="Indenta"/>
        <w:rPr>
          <w:snapToGrid w:val="0"/>
        </w:rPr>
      </w:pPr>
      <w:r>
        <w:rPr>
          <w:snapToGrid w:val="0"/>
        </w:rPr>
        <w:tab/>
        <w:t>(c)</w:t>
      </w:r>
      <w:r>
        <w:rPr>
          <w:snapToGrid w:val="0"/>
        </w:rPr>
        <w:tab/>
        <w:t>is new and of iron and is not black, oxidised, galvanised, or protected by other approved process;</w:t>
      </w:r>
    </w:p>
    <w:p>
      <w:pPr>
        <w:pStyle w:val="Indenta"/>
        <w:rPr>
          <w:snapToGrid w:val="0"/>
        </w:rPr>
      </w:pPr>
      <w:r>
        <w:rPr>
          <w:snapToGrid w:val="0"/>
        </w:rPr>
        <w:tab/>
        <w:t>(d)</w:t>
      </w:r>
      <w:r>
        <w:rPr>
          <w:snapToGrid w:val="0"/>
        </w:rPr>
        <w:tab/>
        <w:t>is not clean and free from rust;</w:t>
      </w:r>
    </w:p>
    <w:p>
      <w:pPr>
        <w:pStyle w:val="Indenta"/>
        <w:rPr>
          <w:snapToGrid w:val="0"/>
        </w:rPr>
      </w:pPr>
      <w:r>
        <w:rPr>
          <w:snapToGrid w:val="0"/>
        </w:rPr>
        <w:tab/>
        <w:t>(e)</w:t>
      </w:r>
      <w:r>
        <w:rPr>
          <w:snapToGrid w:val="0"/>
        </w:rPr>
        <w:tab/>
        <w:t>is not free from flaws and quite smooth on all surfaces;</w:t>
      </w:r>
    </w:p>
    <w:p>
      <w:pPr>
        <w:pStyle w:val="Indenta"/>
        <w:rPr>
          <w:snapToGrid w:val="0"/>
        </w:rPr>
      </w:pPr>
      <w:r>
        <w:rPr>
          <w:snapToGrid w:val="0"/>
        </w:rPr>
        <w:tab/>
        <w:t>(f)</w:t>
      </w:r>
      <w:r>
        <w:rPr>
          <w:snapToGrid w:val="0"/>
        </w:rPr>
        <w:tab/>
        <w:t>is flat</w:t>
      </w:r>
      <w:r>
        <w:rPr>
          <w:snapToGrid w:val="0"/>
        </w:rPr>
        <w:noBreakHyphen/>
        <w:t>circular and of greater denomination than 4 lb.;</w:t>
      </w:r>
    </w:p>
    <w:p>
      <w:pPr>
        <w:pStyle w:val="Indenta"/>
        <w:rPr>
          <w:snapToGrid w:val="0"/>
        </w:rPr>
      </w:pPr>
      <w:r>
        <w:rPr>
          <w:snapToGrid w:val="0"/>
        </w:rPr>
        <w:tab/>
        <w:t>(g)</w:t>
      </w:r>
      <w:r>
        <w:rPr>
          <w:snapToGrid w:val="0"/>
        </w:rPr>
        <w:tab/>
        <w:t>is of iron and less denomination than 4 oz.;</w:t>
      </w:r>
    </w:p>
    <w:p>
      <w:pPr>
        <w:pStyle w:val="Indenta"/>
        <w:rPr>
          <w:snapToGrid w:val="0"/>
        </w:rPr>
      </w:pPr>
      <w:r>
        <w:rPr>
          <w:snapToGrid w:val="0"/>
        </w:rPr>
        <w:tab/>
        <w:t>(h)</w:t>
      </w:r>
      <w:r>
        <w:rPr>
          <w:snapToGrid w:val="0"/>
        </w:rPr>
        <w:tab/>
        <w:t>has a split ring or other removable part;</w:t>
      </w:r>
    </w:p>
    <w:p>
      <w:pPr>
        <w:pStyle w:val="Indenta"/>
        <w:rPr>
          <w:snapToGrid w:val="0"/>
        </w:rPr>
      </w:pPr>
      <w:r>
        <w:rPr>
          <w:snapToGrid w:val="0"/>
        </w:rPr>
        <w:tab/>
        <w:t>(i)</w:t>
      </w:r>
      <w:r>
        <w:rPr>
          <w:snapToGrid w:val="0"/>
        </w:rPr>
        <w:tab/>
        <w:t>has a trade mark thereon.</w:t>
      </w:r>
    </w:p>
    <w:p>
      <w:pPr>
        <w:pStyle w:val="Footnotesection"/>
      </w:pPr>
      <w:r>
        <w:tab/>
        <w:t xml:space="preserve">[Regulation 21 amended in Gazette 23 May 1960 p. 1395.] </w:t>
      </w:r>
    </w:p>
    <w:p>
      <w:pPr>
        <w:pStyle w:val="Heading5"/>
        <w:rPr>
          <w:snapToGrid w:val="0"/>
        </w:rPr>
      </w:pPr>
      <w:bookmarkStart w:id="37" w:name="_Toc390077062"/>
      <w:r>
        <w:rPr>
          <w:rStyle w:val="CharSectno"/>
        </w:rPr>
        <w:t>22</w:t>
      </w:r>
      <w:r>
        <w:rPr>
          <w:snapToGrid w:val="0"/>
        </w:rPr>
        <w:t>.</w:t>
      </w:r>
      <w:r>
        <w:rPr>
          <w:snapToGrid w:val="0"/>
        </w:rPr>
        <w:tab/>
        <w:t>Method of verification</w:t>
      </w:r>
      <w:bookmarkEnd w:id="37"/>
    </w:p>
    <w:p>
      <w:pPr>
        <w:pStyle w:val="Subsection"/>
        <w:rPr>
          <w:snapToGrid w:val="0"/>
        </w:rPr>
      </w:pPr>
      <w:r>
        <w:rPr>
          <w:snapToGrid w:val="0"/>
        </w:rPr>
        <w:tab/>
      </w:r>
      <w:r>
        <w:rPr>
          <w:snapToGrid w:val="0"/>
        </w:rPr>
        <w:tab/>
        <w:t>Weights shall be verified by comparison with a Departmental or a Local Standard of similar denomination.</w:t>
      </w:r>
    </w:p>
    <w:p>
      <w:pPr>
        <w:pStyle w:val="Heading5"/>
        <w:rPr>
          <w:snapToGrid w:val="0"/>
        </w:rPr>
      </w:pPr>
      <w:bookmarkStart w:id="38" w:name="_Toc390077063"/>
      <w:r>
        <w:rPr>
          <w:rStyle w:val="CharSectno"/>
        </w:rPr>
        <w:t>23</w:t>
      </w:r>
      <w:r>
        <w:rPr>
          <w:snapToGrid w:val="0"/>
        </w:rPr>
        <w:t>.</w:t>
      </w:r>
      <w:r>
        <w:rPr>
          <w:snapToGrid w:val="0"/>
        </w:rPr>
        <w:tab/>
        <w:t>Tolerance</w:t>
      </w:r>
      <w:bookmarkEnd w:id="38"/>
    </w:p>
    <w:p>
      <w:pPr>
        <w:pStyle w:val="Subsection"/>
        <w:rPr>
          <w:snapToGrid w:val="0"/>
        </w:rPr>
      </w:pPr>
      <w:r>
        <w:rPr>
          <w:snapToGrid w:val="0"/>
        </w:rPr>
        <w:tab/>
      </w:r>
      <w:r>
        <w:rPr>
          <w:snapToGrid w:val="0"/>
        </w:rPr>
        <w:tab/>
        <w:t>The errors permissible on verification of weights shall be as specified in Table III.</w:t>
      </w:r>
    </w:p>
    <w:p>
      <w:pPr>
        <w:pStyle w:val="Footnotesection"/>
      </w:pPr>
      <w:r>
        <w:tab/>
        <w:t xml:space="preserve">[Regulation 23 amended in Gazette 23 May 1960 p. 1395.] </w:t>
      </w:r>
    </w:p>
    <w:p>
      <w:pPr>
        <w:pStyle w:val="MiscellaneousHeading"/>
        <w:outlineLvl w:val="0"/>
        <w:rPr>
          <w:b/>
          <w:snapToGrid w:val="0"/>
        </w:rPr>
      </w:pPr>
      <w:r>
        <w:rPr>
          <w:b/>
          <w:snapToGrid w:val="0"/>
        </w:rPr>
        <w:t>Measures of length</w:t>
      </w:r>
    </w:p>
    <w:p>
      <w:pPr>
        <w:pStyle w:val="Heading5"/>
        <w:rPr>
          <w:snapToGrid w:val="0"/>
        </w:rPr>
      </w:pPr>
      <w:bookmarkStart w:id="39" w:name="_Toc390077064"/>
      <w:r>
        <w:rPr>
          <w:rStyle w:val="CharSectno"/>
        </w:rPr>
        <w:t>24</w:t>
      </w:r>
      <w:r>
        <w:rPr>
          <w:snapToGrid w:val="0"/>
        </w:rPr>
        <w:t>.</w:t>
      </w:r>
      <w:r>
        <w:rPr>
          <w:snapToGrid w:val="0"/>
        </w:rPr>
        <w:tab/>
        <w:t>Measures of length</w:t>
      </w:r>
      <w:bookmarkEnd w:id="39"/>
    </w:p>
    <w:p>
      <w:pPr>
        <w:pStyle w:val="Subsection"/>
        <w:rPr>
          <w:snapToGrid w:val="0"/>
        </w:rPr>
      </w:pPr>
      <w:r>
        <w:rPr>
          <w:snapToGrid w:val="0"/>
        </w:rPr>
        <w:tab/>
      </w:r>
      <w:r>
        <w:rPr>
          <w:snapToGrid w:val="0"/>
        </w:rPr>
        <w:tab/>
        <w:t>Measures of length shall — </w:t>
      </w:r>
    </w:p>
    <w:p>
      <w:pPr>
        <w:pStyle w:val="Indenta"/>
        <w:rPr>
          <w:snapToGrid w:val="0"/>
        </w:rPr>
      </w:pPr>
      <w:r>
        <w:rPr>
          <w:snapToGrid w:val="0"/>
        </w:rPr>
        <w:tab/>
        <w:t>(a)</w:t>
      </w:r>
      <w:r>
        <w:rPr>
          <w:snapToGrid w:val="0"/>
        </w:rPr>
        <w:tab/>
        <w:t>be of steel, brass, ivory, hardwood, or other approved material;</w:t>
      </w:r>
    </w:p>
    <w:p>
      <w:pPr>
        <w:pStyle w:val="Indenta"/>
        <w:rPr>
          <w:snapToGrid w:val="0"/>
        </w:rPr>
      </w:pPr>
      <w:r>
        <w:rPr>
          <w:snapToGrid w:val="0"/>
        </w:rPr>
        <w:tab/>
        <w:t>(b)</w:t>
      </w:r>
      <w:r>
        <w:rPr>
          <w:snapToGrid w:val="0"/>
        </w:rPr>
        <w:tab/>
        <w:t>if of wood, have both ends tipped with metal and riveted;</w:t>
      </w:r>
    </w:p>
    <w:p>
      <w:pPr>
        <w:pStyle w:val="Indenta"/>
        <w:rPr>
          <w:snapToGrid w:val="0"/>
        </w:rPr>
      </w:pPr>
      <w:r>
        <w:rPr>
          <w:snapToGrid w:val="0"/>
        </w:rPr>
        <w:tab/>
        <w:t>(c)</w:t>
      </w:r>
      <w:r>
        <w:rPr>
          <w:snapToGrid w:val="0"/>
        </w:rPr>
        <w:tab/>
        <w:t>be straight and free from flaws and not frail, bent, buckled, or damaged;</w:t>
      </w:r>
    </w:p>
    <w:p>
      <w:pPr>
        <w:pStyle w:val="Indenta"/>
        <w:rPr>
          <w:snapToGrid w:val="0"/>
        </w:rPr>
      </w:pPr>
      <w:r>
        <w:rPr>
          <w:snapToGrid w:val="0"/>
        </w:rPr>
        <w:tab/>
        <w:t>(d)</w:t>
      </w:r>
      <w:r>
        <w:rPr>
          <w:snapToGrid w:val="0"/>
        </w:rPr>
        <w:tab/>
        <w:t>be legibly and indelibly denominated;</w:t>
      </w:r>
    </w:p>
    <w:p>
      <w:pPr>
        <w:pStyle w:val="Indenta"/>
        <w:rPr>
          <w:snapToGrid w:val="0"/>
        </w:rPr>
      </w:pPr>
      <w:r>
        <w:rPr>
          <w:snapToGrid w:val="0"/>
        </w:rPr>
        <w:tab/>
        <w:t>(e)</w:t>
      </w:r>
      <w:r>
        <w:rPr>
          <w:snapToGrid w:val="0"/>
        </w:rPr>
        <w:tab/>
        <w:t>have all subdivisions sharply and clearly defined, with longer lines for the principal subdivisions than for minor graduations.</w:t>
      </w:r>
    </w:p>
    <w:p>
      <w:pPr>
        <w:pStyle w:val="Footnotesection"/>
      </w:pPr>
      <w:r>
        <w:tab/>
        <w:t xml:space="preserve">[Regulation 24 amended in Gazette 23 May 1960 p. 1395.] </w:t>
      </w:r>
    </w:p>
    <w:p>
      <w:pPr>
        <w:pStyle w:val="Heading5"/>
        <w:rPr>
          <w:snapToGrid w:val="0"/>
        </w:rPr>
      </w:pPr>
      <w:bookmarkStart w:id="40" w:name="_Toc390077065"/>
      <w:r>
        <w:rPr>
          <w:rStyle w:val="CharSectno"/>
        </w:rPr>
        <w:t>25</w:t>
      </w:r>
      <w:r>
        <w:rPr>
          <w:snapToGrid w:val="0"/>
        </w:rPr>
        <w:t>.</w:t>
      </w:r>
      <w:r>
        <w:rPr>
          <w:snapToGrid w:val="0"/>
        </w:rPr>
        <w:tab/>
        <w:t>Graduations</w:t>
      </w:r>
      <w:bookmarkEnd w:id="40"/>
    </w:p>
    <w:p>
      <w:pPr>
        <w:pStyle w:val="Subsection"/>
        <w:rPr>
          <w:snapToGrid w:val="0"/>
        </w:rPr>
      </w:pPr>
      <w:r>
        <w:rPr>
          <w:snapToGrid w:val="0"/>
        </w:rPr>
        <w:tab/>
      </w:r>
      <w:r>
        <w:rPr>
          <w:snapToGrid w:val="0"/>
        </w:rPr>
        <w:tab/>
        <w:t>Measures of length may be graduated on both sides, and in such case each set of graduations shall be verified and each side stamped and the prescribed fee shall be chargeable for each stamp:</w:t>
      </w:r>
    </w:p>
    <w:p>
      <w:pPr>
        <w:pStyle w:val="Subsection"/>
        <w:rPr>
          <w:snapToGrid w:val="0"/>
        </w:rPr>
      </w:pPr>
      <w:r>
        <w:rPr>
          <w:snapToGrid w:val="0"/>
        </w:rPr>
        <w:tab/>
      </w:r>
      <w:r>
        <w:rPr>
          <w:snapToGrid w:val="0"/>
        </w:rPr>
        <w:tab/>
        <w:t xml:space="preserve">Provided that where a measure is permanently fixed in a counter the upper side only need be verified and stamped. </w:t>
      </w:r>
    </w:p>
    <w:p>
      <w:pPr>
        <w:pStyle w:val="Heading5"/>
        <w:rPr>
          <w:snapToGrid w:val="0"/>
        </w:rPr>
      </w:pPr>
      <w:bookmarkStart w:id="41" w:name="_Toc390077066"/>
      <w:r>
        <w:rPr>
          <w:rStyle w:val="CharSectno"/>
        </w:rPr>
        <w:t>26</w:t>
      </w:r>
      <w:r>
        <w:rPr>
          <w:snapToGrid w:val="0"/>
        </w:rPr>
        <w:t>.</w:t>
      </w:r>
      <w:r>
        <w:rPr>
          <w:snapToGrid w:val="0"/>
        </w:rPr>
        <w:tab/>
        <w:t>Tolerance</w:t>
      </w:r>
      <w:bookmarkEnd w:id="41"/>
    </w:p>
    <w:p>
      <w:pPr>
        <w:pStyle w:val="Subsection"/>
        <w:rPr>
          <w:snapToGrid w:val="0"/>
        </w:rPr>
      </w:pPr>
      <w:r>
        <w:rPr>
          <w:snapToGrid w:val="0"/>
        </w:rPr>
        <w:tab/>
      </w:r>
      <w:r>
        <w:rPr>
          <w:snapToGrid w:val="0"/>
        </w:rPr>
        <w:tab/>
        <w:t>The errors permissible on verification of measures of length shall be as specified in Table IV.</w:t>
      </w:r>
    </w:p>
    <w:p>
      <w:pPr>
        <w:pStyle w:val="Footnotesection"/>
      </w:pPr>
      <w:r>
        <w:tab/>
        <w:t xml:space="preserve">[Regulation 26 amended in Gazette 23 May 1960 p. 1395.] </w:t>
      </w:r>
    </w:p>
    <w:p>
      <w:pPr>
        <w:pStyle w:val="MiscellaneousHeading"/>
        <w:outlineLvl w:val="0"/>
        <w:rPr>
          <w:b/>
          <w:snapToGrid w:val="0"/>
        </w:rPr>
      </w:pPr>
      <w:r>
        <w:rPr>
          <w:b/>
          <w:snapToGrid w:val="0"/>
        </w:rPr>
        <w:t>Measures of capacity</w:t>
      </w:r>
    </w:p>
    <w:p>
      <w:pPr>
        <w:pStyle w:val="MiscellaneousHeading"/>
        <w:rPr>
          <w:b/>
          <w:snapToGrid w:val="0"/>
        </w:rPr>
      </w:pPr>
      <w:r>
        <w:rPr>
          <w:b/>
          <w:snapToGrid w:val="0"/>
        </w:rPr>
        <w:t>Liquid measures</w:t>
      </w:r>
    </w:p>
    <w:p>
      <w:pPr>
        <w:pStyle w:val="Heading5"/>
        <w:rPr>
          <w:snapToGrid w:val="0"/>
        </w:rPr>
      </w:pPr>
      <w:bookmarkStart w:id="42" w:name="_Toc390077067"/>
      <w:r>
        <w:rPr>
          <w:rStyle w:val="CharSectno"/>
        </w:rPr>
        <w:t>27</w:t>
      </w:r>
      <w:r>
        <w:rPr>
          <w:snapToGrid w:val="0"/>
        </w:rPr>
        <w:t>.</w:t>
      </w:r>
      <w:r>
        <w:rPr>
          <w:snapToGrid w:val="0"/>
        </w:rPr>
        <w:tab/>
        <w:t xml:space="preserve">Definition of </w:t>
      </w:r>
      <w:r>
        <w:rPr>
          <w:b w:val="0"/>
          <w:snapToGrid w:val="0"/>
        </w:rPr>
        <w:t>“</w:t>
      </w:r>
      <w:r>
        <w:rPr>
          <w:snapToGrid w:val="0"/>
        </w:rPr>
        <w:t>liquid measure</w:t>
      </w:r>
      <w:r>
        <w:rPr>
          <w:b w:val="0"/>
          <w:snapToGrid w:val="0"/>
        </w:rPr>
        <w:t>”</w:t>
      </w:r>
      <w:bookmarkEnd w:id="42"/>
    </w:p>
    <w:p>
      <w:pPr>
        <w:pStyle w:val="Subsection"/>
        <w:rPr>
          <w:snapToGrid w:val="0"/>
        </w:rPr>
      </w:pPr>
      <w:r>
        <w:rPr>
          <w:snapToGrid w:val="0"/>
        </w:rPr>
        <w:tab/>
      </w:r>
      <w:r>
        <w:rPr>
          <w:snapToGrid w:val="0"/>
        </w:rPr>
        <w:tab/>
        <w:t xml:space="preserve">The term </w:t>
      </w:r>
      <w:r>
        <w:rPr>
          <w:b/>
          <w:snapToGrid w:val="0"/>
        </w:rPr>
        <w:t>“</w:t>
      </w:r>
      <w:r>
        <w:rPr>
          <w:rStyle w:val="CharDefText"/>
        </w:rPr>
        <w:t>liquid measure</w:t>
      </w:r>
      <w:r>
        <w:rPr>
          <w:b/>
          <w:snapToGrid w:val="0"/>
        </w:rPr>
        <w:t>”</w:t>
      </w:r>
      <w:r>
        <w:rPr>
          <w:snapToGrid w:val="0"/>
        </w:rPr>
        <w:t xml:space="preserve"> means any measure denominated “gallon”, “quart”, “pint”, or “gill”, or any multiple or sub</w:t>
      </w:r>
      <w:r>
        <w:rPr>
          <w:snapToGrid w:val="0"/>
        </w:rPr>
        <w:noBreakHyphen/>
        <w:t>multiple of such denominations permissible under the Act or regulations, but shall not include an Apothecaries’ measure.</w:t>
      </w:r>
    </w:p>
    <w:p>
      <w:pPr>
        <w:pStyle w:val="Heading5"/>
        <w:rPr>
          <w:snapToGrid w:val="0"/>
        </w:rPr>
      </w:pPr>
      <w:bookmarkStart w:id="43" w:name="_Toc390077068"/>
      <w:r>
        <w:rPr>
          <w:rStyle w:val="CharSectno"/>
        </w:rPr>
        <w:t>28</w:t>
      </w:r>
      <w:r>
        <w:rPr>
          <w:snapToGrid w:val="0"/>
        </w:rPr>
        <w:t>.</w:t>
      </w:r>
      <w:r>
        <w:rPr>
          <w:snapToGrid w:val="0"/>
        </w:rPr>
        <w:tab/>
        <w:t>Liquid measures</w:t>
      </w:r>
      <w:bookmarkEnd w:id="43"/>
    </w:p>
    <w:p>
      <w:pPr>
        <w:pStyle w:val="Subsection"/>
        <w:rPr>
          <w:snapToGrid w:val="0"/>
        </w:rPr>
      </w:pPr>
      <w:r>
        <w:rPr>
          <w:snapToGrid w:val="0"/>
        </w:rPr>
        <w:tab/>
      </w:r>
      <w:r>
        <w:rPr>
          <w:snapToGrid w:val="0"/>
        </w:rPr>
        <w:tab/>
        <w:t>Liquid measures shall — </w:t>
      </w:r>
    </w:p>
    <w:p>
      <w:pPr>
        <w:pStyle w:val="Indenta"/>
        <w:rPr>
          <w:snapToGrid w:val="0"/>
        </w:rPr>
      </w:pPr>
      <w:r>
        <w:rPr>
          <w:snapToGrid w:val="0"/>
        </w:rPr>
        <w:tab/>
        <w:t>(a)</w:t>
      </w:r>
      <w:r>
        <w:rPr>
          <w:snapToGrid w:val="0"/>
        </w:rPr>
        <w:tab/>
        <w:t>be made of glass, pewter, white metal, aluminium, nickel, nickel</w:t>
      </w:r>
      <w:r>
        <w:rPr>
          <w:snapToGrid w:val="0"/>
        </w:rPr>
        <w:noBreakHyphen/>
        <w:t>plated or enamelled steel or sheet iron, tin</w:t>
      </w:r>
      <w:r>
        <w:rPr>
          <w:snapToGrid w:val="0"/>
        </w:rPr>
        <w:noBreakHyphen/>
        <w:t>plate, brass, bronze, copper, gunmetal, or other material approved by the Chief Inspector;</w:t>
      </w:r>
    </w:p>
    <w:p>
      <w:pPr>
        <w:pStyle w:val="Indenta"/>
        <w:rPr>
          <w:snapToGrid w:val="0"/>
        </w:rPr>
      </w:pPr>
      <w:r>
        <w:rPr>
          <w:snapToGrid w:val="0"/>
        </w:rPr>
        <w:tab/>
        <w:t>(b)</w:t>
      </w:r>
      <w:r>
        <w:rPr>
          <w:snapToGrid w:val="0"/>
        </w:rPr>
        <w:tab/>
        <w:t>when of metal comply with the following requirements — </w:t>
      </w:r>
    </w:p>
    <w:tbl>
      <w:tblPr>
        <w:tblW w:w="0" w:type="auto"/>
        <w:tblInd w:w="1702" w:type="dxa"/>
        <w:tblLayout w:type="fixed"/>
        <w:tblCellMar>
          <w:left w:w="142" w:type="dxa"/>
          <w:right w:w="142" w:type="dxa"/>
        </w:tblCellMar>
        <w:tblLook w:val="0000" w:firstRow="0" w:lastRow="0" w:firstColumn="0" w:lastColumn="0" w:noHBand="0" w:noVBand="0"/>
      </w:tblPr>
      <w:tblGrid>
        <w:gridCol w:w="1113"/>
        <w:gridCol w:w="304"/>
        <w:gridCol w:w="1134"/>
        <w:gridCol w:w="2977"/>
      </w:tblGrid>
      <w:tr>
        <w:tc>
          <w:tcPr>
            <w:tcW w:w="2551" w:type="dxa"/>
            <w:gridSpan w:val="3"/>
          </w:tcPr>
          <w:p>
            <w:pPr>
              <w:pStyle w:val="Table"/>
              <w:jc w:val="center"/>
              <w:rPr>
                <w:b/>
                <w:sz w:val="18"/>
              </w:rPr>
            </w:pPr>
            <w:r>
              <w:rPr>
                <w:b/>
                <w:sz w:val="18"/>
              </w:rPr>
              <w:t>Denomination of Measure</w:t>
            </w:r>
          </w:p>
        </w:tc>
        <w:tc>
          <w:tcPr>
            <w:tcW w:w="2977" w:type="dxa"/>
          </w:tcPr>
          <w:p>
            <w:pPr>
              <w:pStyle w:val="Table"/>
              <w:jc w:val="center"/>
              <w:rPr>
                <w:b/>
                <w:sz w:val="18"/>
              </w:rPr>
            </w:pPr>
            <w:r>
              <w:rPr>
                <w:b/>
                <w:sz w:val="18"/>
              </w:rPr>
              <w:t>Minimum thickness of Metal</w:t>
            </w:r>
          </w:p>
        </w:tc>
      </w:tr>
      <w:tr>
        <w:tc>
          <w:tcPr>
            <w:tcW w:w="2551" w:type="dxa"/>
            <w:gridSpan w:val="3"/>
          </w:tcPr>
          <w:p>
            <w:pPr>
              <w:pStyle w:val="Table"/>
              <w:rPr>
                <w:sz w:val="18"/>
              </w:rPr>
            </w:pPr>
            <w:r>
              <w:rPr>
                <w:sz w:val="18"/>
              </w:rPr>
              <w:t xml:space="preserve">Pint and under .......................... </w:t>
            </w:r>
          </w:p>
        </w:tc>
        <w:tc>
          <w:tcPr>
            <w:tcW w:w="2977" w:type="dxa"/>
          </w:tcPr>
          <w:p>
            <w:pPr>
              <w:pStyle w:val="Table"/>
              <w:rPr>
                <w:sz w:val="18"/>
              </w:rPr>
            </w:pPr>
            <w:r>
              <w:rPr>
                <w:sz w:val="18"/>
              </w:rPr>
              <w:t>.01562  inch  (28 B.G.)</w:t>
            </w:r>
          </w:p>
        </w:tc>
      </w:tr>
      <w:tr>
        <w:tc>
          <w:tcPr>
            <w:tcW w:w="2551" w:type="dxa"/>
            <w:gridSpan w:val="3"/>
          </w:tcPr>
          <w:p>
            <w:pPr>
              <w:pStyle w:val="Table"/>
              <w:rPr>
                <w:sz w:val="18"/>
              </w:rPr>
            </w:pPr>
            <w:r>
              <w:rPr>
                <w:sz w:val="18"/>
              </w:rPr>
              <w:t xml:space="preserve">Quart ........................................ </w:t>
            </w:r>
          </w:p>
        </w:tc>
        <w:tc>
          <w:tcPr>
            <w:tcW w:w="2977" w:type="dxa"/>
          </w:tcPr>
          <w:p>
            <w:pPr>
              <w:pStyle w:val="Table"/>
              <w:rPr>
                <w:sz w:val="18"/>
              </w:rPr>
            </w:pPr>
            <w:r>
              <w:rPr>
                <w:sz w:val="18"/>
              </w:rPr>
              <w:t>.01745  inch  (27 B.G.)</w:t>
            </w:r>
          </w:p>
        </w:tc>
      </w:tr>
      <w:tr>
        <w:trPr>
          <w:cantSplit/>
        </w:trPr>
        <w:tc>
          <w:tcPr>
            <w:tcW w:w="1113" w:type="dxa"/>
          </w:tcPr>
          <w:p>
            <w:pPr>
              <w:pStyle w:val="Table"/>
              <w:tabs>
                <w:tab w:val="left" w:pos="1134"/>
              </w:tabs>
              <w:ind w:right="-163"/>
              <w:rPr>
                <w:sz w:val="18"/>
              </w:rPr>
            </w:pPr>
            <w:r>
              <w:rPr>
                <w:sz w:val="18"/>
              </w:rPr>
              <w:t>Half</w:t>
            </w:r>
            <w:r>
              <w:rPr>
                <w:sz w:val="18"/>
              </w:rPr>
              <w:noBreakHyphen/>
              <w:t>gallon Gallon</w:t>
            </w:r>
          </w:p>
        </w:tc>
        <w:tc>
          <w:tcPr>
            <w:tcW w:w="304" w:type="dxa"/>
          </w:tcPr>
          <w:p>
            <w:pPr>
              <w:pStyle w:val="Table"/>
            </w:pPr>
            <w:r>
              <w:rPr>
                <w:noProof/>
              </w:rPr>
              <w:drawing>
                <wp:inline distT="0" distB="0" distL="0" distR="0">
                  <wp:extent cx="118745" cy="3206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8745" cy="320675"/>
                          </a:xfrm>
                          <a:prstGeom prst="rect">
                            <a:avLst/>
                          </a:prstGeom>
                          <a:noFill/>
                          <a:ln>
                            <a:noFill/>
                          </a:ln>
                        </pic:spPr>
                      </pic:pic>
                    </a:graphicData>
                  </a:graphic>
                </wp:inline>
              </w:drawing>
            </w:r>
          </w:p>
        </w:tc>
        <w:tc>
          <w:tcPr>
            <w:tcW w:w="1134" w:type="dxa"/>
          </w:tcPr>
          <w:p>
            <w:pPr>
              <w:pStyle w:val="Table"/>
              <w:tabs>
                <w:tab w:val="left" w:pos="1134"/>
              </w:tabs>
              <w:spacing w:before="200"/>
              <w:rPr>
                <w:sz w:val="18"/>
              </w:rPr>
            </w:pPr>
            <w:r>
              <w:rPr>
                <w:sz w:val="18"/>
              </w:rPr>
              <w:t>..................</w:t>
            </w:r>
          </w:p>
        </w:tc>
        <w:tc>
          <w:tcPr>
            <w:tcW w:w="2977" w:type="dxa"/>
          </w:tcPr>
          <w:p>
            <w:pPr>
              <w:pStyle w:val="Table"/>
              <w:spacing w:before="200"/>
              <w:rPr>
                <w:sz w:val="18"/>
              </w:rPr>
            </w:pPr>
            <w:r>
              <w:rPr>
                <w:sz w:val="18"/>
              </w:rPr>
              <w:t>.01961  inch  (26 B.G.)</w:t>
            </w:r>
          </w:p>
        </w:tc>
      </w:tr>
      <w:tr>
        <w:tc>
          <w:tcPr>
            <w:tcW w:w="2551" w:type="dxa"/>
            <w:gridSpan w:val="3"/>
          </w:tcPr>
          <w:p>
            <w:pPr>
              <w:pStyle w:val="Table"/>
              <w:rPr>
                <w:sz w:val="18"/>
              </w:rPr>
            </w:pPr>
            <w:r>
              <w:rPr>
                <w:sz w:val="18"/>
              </w:rPr>
              <w:t xml:space="preserve">2 Gallons and over ................... </w:t>
            </w:r>
          </w:p>
        </w:tc>
        <w:tc>
          <w:tcPr>
            <w:tcW w:w="2977" w:type="dxa"/>
          </w:tcPr>
          <w:p>
            <w:pPr>
              <w:pStyle w:val="Table"/>
              <w:rPr>
                <w:sz w:val="18"/>
              </w:rPr>
            </w:pPr>
            <w:r>
              <w:rPr>
                <w:sz w:val="18"/>
              </w:rPr>
              <w:t>.02476  inch  (24 B.G.)</w:t>
            </w:r>
          </w:p>
        </w:tc>
      </w:tr>
    </w:tbl>
    <w:p>
      <w:pPr>
        <w:pStyle w:val="Indenta"/>
        <w:rPr>
          <w:snapToGrid w:val="0"/>
        </w:rPr>
      </w:pPr>
      <w:r>
        <w:rPr>
          <w:snapToGrid w:val="0"/>
        </w:rPr>
        <w:tab/>
        <w:t>(c)</w:t>
      </w:r>
      <w:r>
        <w:rPr>
          <w:snapToGrid w:val="0"/>
        </w:rPr>
        <w:tab/>
        <w:t>when of pewter or other tin alloy have not less than 80% by weight of tin, and not more than 10% by weight of lead in such alloy;</w:t>
      </w:r>
    </w:p>
    <w:p>
      <w:pPr>
        <w:pStyle w:val="Indenta"/>
        <w:rPr>
          <w:snapToGrid w:val="0"/>
        </w:rPr>
      </w:pPr>
      <w:r>
        <w:rPr>
          <w:snapToGrid w:val="0"/>
        </w:rPr>
        <w:tab/>
        <w:t>(d)</w:t>
      </w:r>
      <w:r>
        <w:rPr>
          <w:snapToGrid w:val="0"/>
        </w:rPr>
        <w:tab/>
        <w:t>when of brass, bronze, or copper, be well tinned all over the inside;</w:t>
      </w:r>
    </w:p>
    <w:p>
      <w:pPr>
        <w:pStyle w:val="Indenta"/>
        <w:rPr>
          <w:snapToGrid w:val="0"/>
        </w:rPr>
      </w:pPr>
      <w:r>
        <w:rPr>
          <w:snapToGrid w:val="0"/>
        </w:rPr>
        <w:tab/>
        <w:t>(e)</w:t>
      </w:r>
      <w:r>
        <w:rPr>
          <w:snapToGrid w:val="0"/>
        </w:rPr>
        <w:tab/>
        <w:t>when nickelled, have a uniform coating of nickel, showing no signs of peeling;</w:t>
      </w:r>
    </w:p>
    <w:p>
      <w:pPr>
        <w:pStyle w:val="Indenta"/>
        <w:rPr>
          <w:snapToGrid w:val="0"/>
        </w:rPr>
      </w:pPr>
      <w:r>
        <w:rPr>
          <w:snapToGrid w:val="0"/>
        </w:rPr>
        <w:tab/>
        <w:t>(f)</w:t>
      </w:r>
      <w:r>
        <w:rPr>
          <w:snapToGrid w:val="0"/>
        </w:rPr>
        <w:tab/>
        <w:t>have no strengthening ribs or bands of such form as to show, by indentation or otherwise, divisions inside the measure which might be mistaken for subdivisions;</w:t>
      </w:r>
    </w:p>
    <w:p>
      <w:pPr>
        <w:pStyle w:val="Indenta"/>
        <w:rPr>
          <w:snapToGrid w:val="0"/>
        </w:rPr>
      </w:pPr>
      <w:r>
        <w:rPr>
          <w:snapToGrid w:val="0"/>
        </w:rPr>
        <w:tab/>
        <w:t>(g)</w:t>
      </w:r>
      <w:r>
        <w:rPr>
          <w:snapToGrid w:val="0"/>
        </w:rPr>
        <w:tab/>
        <w:t>be cylindrical, conical, cylindrical and conical, bell, or other shape approved by the Chief Inspector, but shall not be inverted conical shape, except in the case of metal drinking cups or glasses used only as drinking vessels; a measure in which the variation between the maximum and minimum diameter does not exceed 10% of the latter shall be considered to be cylindrical;</w:t>
      </w:r>
    </w:p>
    <w:p>
      <w:pPr>
        <w:pStyle w:val="Indenta"/>
        <w:rPr>
          <w:snapToGrid w:val="0"/>
        </w:rPr>
      </w:pPr>
      <w:r>
        <w:rPr>
          <w:snapToGrid w:val="0"/>
        </w:rPr>
        <w:tab/>
        <w:t>(h)</w:t>
      </w:r>
      <w:r>
        <w:rPr>
          <w:snapToGrid w:val="0"/>
        </w:rPr>
        <w:tab/>
        <w:t>have plain, strong, even, rigid bottoms;</w:t>
      </w:r>
    </w:p>
    <w:p>
      <w:pPr>
        <w:pStyle w:val="Indenta"/>
        <w:rPr>
          <w:snapToGrid w:val="0"/>
        </w:rPr>
      </w:pPr>
      <w:r>
        <w:rPr>
          <w:snapToGrid w:val="0"/>
        </w:rPr>
        <w:tab/>
        <w:t>(i)</w:t>
      </w:r>
      <w:r>
        <w:rPr>
          <w:snapToGrid w:val="0"/>
        </w:rPr>
        <w:tab/>
        <w:t>be provided with a rim sufficient to protect the bottom of the measure:</w:t>
      </w:r>
    </w:p>
    <w:p>
      <w:pPr>
        <w:pStyle w:val="Indenta"/>
        <w:rPr>
          <w:snapToGrid w:val="0"/>
        </w:rPr>
      </w:pPr>
      <w:r>
        <w:rPr>
          <w:snapToGrid w:val="0"/>
        </w:rPr>
        <w:tab/>
      </w:r>
      <w:r>
        <w:rPr>
          <w:snapToGrid w:val="0"/>
        </w:rPr>
        <w:tab/>
        <w:t>Provided this shall not apply to measures of a capacity of 1 pint or less; or measures of such material and construction as not to require protection:</w:t>
      </w:r>
    </w:p>
    <w:p>
      <w:pPr>
        <w:pStyle w:val="Indenta"/>
        <w:rPr>
          <w:snapToGrid w:val="0"/>
        </w:rPr>
      </w:pPr>
      <w:r>
        <w:rPr>
          <w:snapToGrid w:val="0"/>
        </w:rPr>
        <w:tab/>
      </w:r>
      <w:r>
        <w:rPr>
          <w:snapToGrid w:val="0"/>
        </w:rPr>
        <w:tab/>
        <w:t>[In metal measures such rim shall not exceed 1 inch in depth on measures of 1 gallon and over, or half and inch on half</w:t>
      </w:r>
      <w:r>
        <w:rPr>
          <w:snapToGrid w:val="0"/>
        </w:rPr>
        <w:noBreakHyphen/>
        <w:t>gallon or under. In glass measures the bottom shall not exceed 1 inch in thickness inclusive of the rim.]</w:t>
      </w:r>
    </w:p>
    <w:p>
      <w:pPr>
        <w:pStyle w:val="Indenta"/>
        <w:rPr>
          <w:snapToGrid w:val="0"/>
        </w:rPr>
      </w:pPr>
      <w:r>
        <w:rPr>
          <w:snapToGrid w:val="0"/>
        </w:rPr>
        <w:tab/>
        <w:t>(j)</w:t>
      </w:r>
      <w:r>
        <w:rPr>
          <w:snapToGrid w:val="0"/>
        </w:rPr>
        <w:tab/>
        <w:t>stand level on their base, and have the brim or line defining their capacity also level;</w:t>
      </w:r>
    </w:p>
    <w:p>
      <w:pPr>
        <w:pStyle w:val="Indenta"/>
        <w:rPr>
          <w:snapToGrid w:val="0"/>
        </w:rPr>
      </w:pPr>
      <w:r>
        <w:rPr>
          <w:snapToGrid w:val="0"/>
        </w:rPr>
        <w:tab/>
        <w:t>(k)</w:t>
      </w:r>
      <w:r>
        <w:rPr>
          <w:snapToGrid w:val="0"/>
        </w:rPr>
        <w:tab/>
        <w:t>have their denomination legibly and indelibly marked on the outside of the body and not on the handle, bottom, rim, or edge;</w:t>
      </w:r>
    </w:p>
    <w:p>
      <w:pPr>
        <w:pStyle w:val="Indenta"/>
        <w:rPr>
          <w:snapToGrid w:val="0"/>
        </w:rPr>
      </w:pPr>
      <w:r>
        <w:rPr>
          <w:snapToGrid w:val="0"/>
        </w:rPr>
        <w:tab/>
      </w:r>
      <w:r>
        <w:rPr>
          <w:snapToGrid w:val="0"/>
        </w:rPr>
        <w:tab/>
        <w:t>[A glass measure which has its capacity defined by a line shall be denominated at that line. An enamelled metal measure shall be denominated in a colour distinctly contrasting with the colour of the measure.]</w:t>
      </w:r>
    </w:p>
    <w:p>
      <w:pPr>
        <w:pStyle w:val="Indenta"/>
        <w:rPr>
          <w:snapToGrid w:val="0"/>
        </w:rPr>
      </w:pPr>
      <w:r>
        <w:rPr>
          <w:snapToGrid w:val="0"/>
        </w:rPr>
        <w:tab/>
        <w:t>(l)</w:t>
      </w:r>
      <w:r>
        <w:rPr>
          <w:snapToGrid w:val="0"/>
        </w:rPr>
        <w:tab/>
        <w:t>when provided with a tap, be completely emptied by such tap without tilting.</w:t>
      </w:r>
    </w:p>
    <w:p>
      <w:pPr>
        <w:pStyle w:val="Footnotesection"/>
      </w:pPr>
      <w:r>
        <w:tab/>
        <w:t xml:space="preserve">[Regulation 28 amended in Gazette 23 May 1960 p. 1395; 9 Sep 1968 p. 2743; 31 Aug 1984 p. 2829; (Correction to reprint in Gazette 1 Nov 2002 p. 5369).] </w:t>
      </w:r>
    </w:p>
    <w:p>
      <w:pPr>
        <w:pStyle w:val="Heading5"/>
        <w:rPr>
          <w:snapToGrid w:val="0"/>
        </w:rPr>
      </w:pPr>
      <w:bookmarkStart w:id="44" w:name="_Toc390077069"/>
      <w:r>
        <w:rPr>
          <w:rStyle w:val="CharSectno"/>
        </w:rPr>
        <w:t>29</w:t>
      </w:r>
      <w:r>
        <w:rPr>
          <w:snapToGrid w:val="0"/>
        </w:rPr>
        <w:t>.</w:t>
      </w:r>
      <w:r>
        <w:rPr>
          <w:snapToGrid w:val="0"/>
        </w:rPr>
        <w:tab/>
        <w:t>Size of cylindrical measures</w:t>
      </w:r>
      <w:bookmarkEnd w:id="44"/>
    </w:p>
    <w:p>
      <w:pPr>
        <w:pStyle w:val="Subsection"/>
        <w:keepNext/>
        <w:rPr>
          <w:snapToGrid w:val="0"/>
        </w:rPr>
      </w:pPr>
      <w:r>
        <w:rPr>
          <w:snapToGrid w:val="0"/>
        </w:rPr>
        <w:tab/>
      </w:r>
      <w:r>
        <w:rPr>
          <w:snapToGrid w:val="0"/>
        </w:rPr>
        <w:tab/>
        <w:t>Cylindrical measures shall not — </w:t>
      </w:r>
    </w:p>
    <w:p>
      <w:pPr>
        <w:pStyle w:val="Indenta"/>
        <w:rPr>
          <w:snapToGrid w:val="0"/>
        </w:rPr>
      </w:pPr>
      <w:r>
        <w:rPr>
          <w:snapToGrid w:val="0"/>
        </w:rPr>
        <w:tab/>
        <w:t>(a)</w:t>
      </w:r>
      <w:r>
        <w:rPr>
          <w:snapToGrid w:val="0"/>
        </w:rPr>
        <w:tab/>
        <w:t>be of greater diameter than depth;</w:t>
      </w:r>
    </w:p>
    <w:p>
      <w:pPr>
        <w:pStyle w:val="Indenta"/>
        <w:rPr>
          <w:snapToGrid w:val="0"/>
        </w:rPr>
      </w:pPr>
      <w:r>
        <w:rPr>
          <w:snapToGrid w:val="0"/>
        </w:rPr>
        <w:tab/>
        <w:t>(b)</w:t>
      </w:r>
      <w:r>
        <w:rPr>
          <w:snapToGrid w:val="0"/>
        </w:rPr>
        <w:tab/>
        <w:t>be of a depth more than one and a half times the diameter.</w:t>
      </w:r>
    </w:p>
    <w:p>
      <w:pPr>
        <w:pStyle w:val="Heading5"/>
        <w:rPr>
          <w:snapToGrid w:val="0"/>
        </w:rPr>
      </w:pPr>
      <w:bookmarkStart w:id="45" w:name="_Toc390077070"/>
      <w:r>
        <w:rPr>
          <w:rStyle w:val="CharSectno"/>
        </w:rPr>
        <w:t>30</w:t>
      </w:r>
      <w:r>
        <w:rPr>
          <w:snapToGrid w:val="0"/>
        </w:rPr>
        <w:t>.</w:t>
      </w:r>
      <w:r>
        <w:rPr>
          <w:snapToGrid w:val="0"/>
        </w:rPr>
        <w:tab/>
        <w:t>Capacity of cylindrical metal measures</w:t>
      </w:r>
      <w:bookmarkEnd w:id="45"/>
    </w:p>
    <w:p>
      <w:pPr>
        <w:pStyle w:val="Subsection"/>
        <w:rPr>
          <w:snapToGrid w:val="0"/>
        </w:rPr>
      </w:pPr>
      <w:r>
        <w:rPr>
          <w:snapToGrid w:val="0"/>
        </w:rPr>
        <w:tab/>
      </w:r>
      <w:r>
        <w:rPr>
          <w:snapToGrid w:val="0"/>
        </w:rPr>
        <w:tab/>
        <w:t>Cylindrical metal measures shall have their capacity defined by the brim — </w:t>
      </w:r>
    </w:p>
    <w:p>
      <w:pPr>
        <w:pStyle w:val="Subsection"/>
        <w:rPr>
          <w:snapToGrid w:val="0"/>
        </w:rPr>
      </w:pPr>
      <w:r>
        <w:rPr>
          <w:snapToGrid w:val="0"/>
        </w:rPr>
        <w:tab/>
      </w:r>
      <w:r>
        <w:rPr>
          <w:snapToGrid w:val="0"/>
        </w:rPr>
        <w:tab/>
        <w:t>Provided — </w:t>
      </w:r>
    </w:p>
    <w:p>
      <w:pPr>
        <w:pStyle w:val="Indenta"/>
        <w:rPr>
          <w:snapToGrid w:val="0"/>
        </w:rPr>
      </w:pPr>
      <w:r>
        <w:rPr>
          <w:snapToGrid w:val="0"/>
        </w:rPr>
        <w:tab/>
        <w:t>(a)</w:t>
      </w:r>
      <w:r>
        <w:rPr>
          <w:snapToGrid w:val="0"/>
        </w:rPr>
        <w:tab/>
        <w:t>a lip of retaining edge of a shape and size approved by the Chief Inspector shall be permissible;</w:t>
      </w:r>
    </w:p>
    <w:p>
      <w:pPr>
        <w:pStyle w:val="Indenta"/>
        <w:rPr>
          <w:snapToGrid w:val="0"/>
        </w:rPr>
      </w:pPr>
      <w:r>
        <w:rPr>
          <w:snapToGrid w:val="0"/>
        </w:rPr>
        <w:tab/>
        <w:t>(b)</w:t>
      </w:r>
      <w:r>
        <w:rPr>
          <w:snapToGrid w:val="0"/>
        </w:rPr>
        <w:tab/>
        <w:t>measures of one gallon and over may have the capacity defined by suitably denominated lines of the form prescribed for subdivisions.</w:t>
      </w:r>
    </w:p>
    <w:p>
      <w:pPr>
        <w:pStyle w:val="Footnotesection"/>
      </w:pPr>
      <w:r>
        <w:tab/>
        <w:t xml:space="preserve">[Regulation 30 amended in Gazette 9 Sep 1968 p. 2743; 31 Aug 1984 p. 2829] </w:t>
      </w:r>
    </w:p>
    <w:p>
      <w:pPr>
        <w:pStyle w:val="Heading5"/>
        <w:rPr>
          <w:snapToGrid w:val="0"/>
        </w:rPr>
      </w:pPr>
      <w:bookmarkStart w:id="46" w:name="_Toc390077071"/>
      <w:r>
        <w:rPr>
          <w:rStyle w:val="CharSectno"/>
        </w:rPr>
        <w:t>31</w:t>
      </w:r>
      <w:r>
        <w:rPr>
          <w:snapToGrid w:val="0"/>
        </w:rPr>
        <w:t>.</w:t>
      </w:r>
      <w:r>
        <w:rPr>
          <w:snapToGrid w:val="0"/>
        </w:rPr>
        <w:tab/>
        <w:t>Conical or bell</w:t>
      </w:r>
      <w:r>
        <w:rPr>
          <w:snapToGrid w:val="0"/>
        </w:rPr>
        <w:noBreakHyphen/>
        <w:t>shaped metal measures</w:t>
      </w:r>
      <w:bookmarkEnd w:id="46"/>
    </w:p>
    <w:p>
      <w:pPr>
        <w:pStyle w:val="Subsection"/>
        <w:rPr>
          <w:snapToGrid w:val="0"/>
        </w:rPr>
      </w:pPr>
      <w:r>
        <w:rPr>
          <w:snapToGrid w:val="0"/>
        </w:rPr>
        <w:tab/>
      </w:r>
      <w:r>
        <w:rPr>
          <w:snapToGrid w:val="0"/>
        </w:rPr>
        <w:tab/>
        <w:t>Conical or bell</w:t>
      </w:r>
      <w:r>
        <w:rPr>
          <w:snapToGrid w:val="0"/>
        </w:rPr>
        <w:noBreakHyphen/>
        <w:t>shaped metal measures shall — </w:t>
      </w:r>
    </w:p>
    <w:p>
      <w:pPr>
        <w:pStyle w:val="Indenta"/>
        <w:rPr>
          <w:snapToGrid w:val="0"/>
        </w:rPr>
      </w:pPr>
      <w:r>
        <w:rPr>
          <w:snapToGrid w:val="0"/>
        </w:rPr>
        <w:tab/>
        <w:t>(a)</w:t>
      </w:r>
      <w:r>
        <w:rPr>
          <w:snapToGrid w:val="0"/>
        </w:rPr>
        <w:tab/>
        <w:t>have a lip or funnel mouth;</w:t>
      </w:r>
    </w:p>
    <w:p>
      <w:pPr>
        <w:pStyle w:val="Indenta"/>
        <w:rPr>
          <w:snapToGrid w:val="0"/>
        </w:rPr>
      </w:pPr>
      <w:r>
        <w:rPr>
          <w:snapToGrid w:val="0"/>
        </w:rPr>
        <w:tab/>
        <w:t>(b)</w:t>
      </w:r>
      <w:r>
        <w:rPr>
          <w:snapToGrid w:val="0"/>
        </w:rPr>
        <w:tab/>
        <w:t>have their capacity clearly defined at the neck:</w:t>
      </w:r>
    </w:p>
    <w:p>
      <w:pPr>
        <w:pStyle w:val="Subsection"/>
        <w:rPr>
          <w:snapToGrid w:val="0"/>
        </w:rPr>
      </w:pPr>
      <w:r>
        <w:rPr>
          <w:snapToGrid w:val="0"/>
        </w:rPr>
        <w:tab/>
      </w:r>
      <w:r>
        <w:rPr>
          <w:snapToGrid w:val="0"/>
        </w:rPr>
        <w:tab/>
        <w:t>Provided this regulation shall not apply to bell</w:t>
      </w:r>
      <w:r>
        <w:rPr>
          <w:snapToGrid w:val="0"/>
        </w:rPr>
        <w:noBreakHyphen/>
        <w:t>shaped pewter measures of one quart or under of the type commonly used for measuring liquor.</w:t>
      </w:r>
    </w:p>
    <w:p>
      <w:pPr>
        <w:pStyle w:val="Heading5"/>
        <w:rPr>
          <w:snapToGrid w:val="0"/>
        </w:rPr>
      </w:pPr>
      <w:bookmarkStart w:id="47" w:name="_Toc390077072"/>
      <w:r>
        <w:rPr>
          <w:rStyle w:val="CharSectno"/>
        </w:rPr>
        <w:t>32</w:t>
      </w:r>
      <w:r>
        <w:rPr>
          <w:snapToGrid w:val="0"/>
        </w:rPr>
        <w:t>.</w:t>
      </w:r>
      <w:r>
        <w:rPr>
          <w:snapToGrid w:val="0"/>
        </w:rPr>
        <w:tab/>
        <w:t>Cylindrical measures with conical tops</w:t>
      </w:r>
      <w:bookmarkEnd w:id="47"/>
    </w:p>
    <w:p>
      <w:pPr>
        <w:pStyle w:val="Subsection"/>
        <w:rPr>
          <w:snapToGrid w:val="0"/>
        </w:rPr>
      </w:pPr>
      <w:r>
        <w:rPr>
          <w:snapToGrid w:val="0"/>
        </w:rPr>
        <w:tab/>
      </w:r>
      <w:r>
        <w:rPr>
          <w:snapToGrid w:val="0"/>
        </w:rPr>
        <w:tab/>
        <w:t>Cylindrical measures with conical tops, of the type commonly used as milk cans, may have a neck to contain a lid if the capacity is clearly defined at the bottom of the neck.</w:t>
      </w:r>
    </w:p>
    <w:p>
      <w:pPr>
        <w:pStyle w:val="Heading5"/>
        <w:rPr>
          <w:snapToGrid w:val="0"/>
        </w:rPr>
      </w:pPr>
      <w:bookmarkStart w:id="48" w:name="_Toc390077073"/>
      <w:r>
        <w:rPr>
          <w:rStyle w:val="CharSectno"/>
        </w:rPr>
        <w:t>33</w:t>
      </w:r>
      <w:r>
        <w:rPr>
          <w:snapToGrid w:val="0"/>
        </w:rPr>
        <w:t>.</w:t>
      </w:r>
      <w:r>
        <w:rPr>
          <w:snapToGrid w:val="0"/>
        </w:rPr>
        <w:tab/>
        <w:t>Subdivision of cylindrical metal measures</w:t>
      </w:r>
      <w:bookmarkEnd w:id="48"/>
    </w:p>
    <w:p>
      <w:pPr>
        <w:pStyle w:val="Subsection"/>
        <w:rPr>
          <w:snapToGrid w:val="0"/>
        </w:rPr>
      </w:pPr>
      <w:r>
        <w:rPr>
          <w:snapToGrid w:val="0"/>
        </w:rPr>
        <w:tab/>
      </w:r>
      <w:r>
        <w:rPr>
          <w:snapToGrid w:val="0"/>
        </w:rPr>
        <w:tab/>
        <w:t xml:space="preserve">Cylindrical metal measures of one gallon or over may be subdivided if no subdivision is less than half a gallon and is clearly defined by sharp lines on metal strips on opposite sides of the measure. </w:t>
      </w:r>
    </w:p>
    <w:p>
      <w:pPr>
        <w:pStyle w:val="Heading5"/>
        <w:rPr>
          <w:snapToGrid w:val="0"/>
        </w:rPr>
      </w:pPr>
      <w:bookmarkStart w:id="49" w:name="_Toc390077074"/>
      <w:r>
        <w:rPr>
          <w:rStyle w:val="CharSectno"/>
        </w:rPr>
        <w:t>34</w:t>
      </w:r>
      <w:r>
        <w:rPr>
          <w:snapToGrid w:val="0"/>
        </w:rPr>
        <w:t>.</w:t>
      </w:r>
      <w:r>
        <w:rPr>
          <w:snapToGrid w:val="0"/>
        </w:rPr>
        <w:tab/>
        <w:t>No subdivision of other metal measures</w:t>
      </w:r>
      <w:bookmarkEnd w:id="49"/>
    </w:p>
    <w:p>
      <w:pPr>
        <w:pStyle w:val="Subsection"/>
        <w:rPr>
          <w:snapToGrid w:val="0"/>
        </w:rPr>
      </w:pPr>
      <w:r>
        <w:rPr>
          <w:snapToGrid w:val="0"/>
        </w:rPr>
        <w:tab/>
      </w:r>
      <w:r>
        <w:rPr>
          <w:snapToGrid w:val="0"/>
        </w:rPr>
        <w:tab/>
        <w:t>Cylindrical and conical, conical, or bell</w:t>
      </w:r>
      <w:r>
        <w:rPr>
          <w:snapToGrid w:val="0"/>
        </w:rPr>
        <w:noBreakHyphen/>
        <w:t>shape metal measures shall not be subdivided.</w:t>
      </w:r>
    </w:p>
    <w:p>
      <w:pPr>
        <w:pStyle w:val="Heading5"/>
        <w:rPr>
          <w:snapToGrid w:val="0"/>
        </w:rPr>
      </w:pPr>
      <w:bookmarkStart w:id="50" w:name="_Toc390077075"/>
      <w:r>
        <w:rPr>
          <w:rStyle w:val="CharSectno"/>
        </w:rPr>
        <w:t>35</w:t>
      </w:r>
      <w:r>
        <w:rPr>
          <w:snapToGrid w:val="0"/>
        </w:rPr>
        <w:t>.</w:t>
      </w:r>
      <w:r>
        <w:rPr>
          <w:snapToGrid w:val="0"/>
        </w:rPr>
        <w:tab/>
        <w:t>Capacity of glass measures</w:t>
      </w:r>
      <w:bookmarkEnd w:id="50"/>
    </w:p>
    <w:p>
      <w:pPr>
        <w:pStyle w:val="Subsection"/>
        <w:rPr>
          <w:snapToGrid w:val="0"/>
        </w:rPr>
      </w:pPr>
      <w:r>
        <w:rPr>
          <w:snapToGrid w:val="0"/>
        </w:rPr>
        <w:tab/>
      </w:r>
      <w:r>
        <w:rPr>
          <w:snapToGrid w:val="0"/>
        </w:rPr>
        <w:tab/>
        <w:t>Glass measures shall have their capacity defined by the brim or by clear sharp lines not more than one inch or less than half an inch from the brim.</w:t>
      </w:r>
    </w:p>
    <w:p>
      <w:pPr>
        <w:pStyle w:val="Subsection"/>
        <w:rPr>
          <w:snapToGrid w:val="0"/>
        </w:rPr>
      </w:pPr>
      <w:r>
        <w:rPr>
          <w:snapToGrid w:val="0"/>
        </w:rPr>
        <w:tab/>
      </w:r>
      <w:r>
        <w:rPr>
          <w:snapToGrid w:val="0"/>
        </w:rPr>
        <w:tab/>
        <w:t xml:space="preserve">Such lines shall be not less than 2 inches in length, unless precluded by the small size of the measure. </w:t>
      </w:r>
    </w:p>
    <w:p>
      <w:pPr>
        <w:pStyle w:val="Heading5"/>
        <w:rPr>
          <w:snapToGrid w:val="0"/>
        </w:rPr>
      </w:pPr>
      <w:bookmarkStart w:id="51" w:name="_Toc390077076"/>
      <w:r>
        <w:rPr>
          <w:rStyle w:val="CharSectno"/>
        </w:rPr>
        <w:t>36</w:t>
      </w:r>
      <w:r>
        <w:rPr>
          <w:snapToGrid w:val="0"/>
        </w:rPr>
        <w:t>.</w:t>
      </w:r>
      <w:r>
        <w:rPr>
          <w:snapToGrid w:val="0"/>
        </w:rPr>
        <w:tab/>
        <w:t>Subdivision of glass measures</w:t>
      </w:r>
      <w:bookmarkEnd w:id="51"/>
    </w:p>
    <w:p>
      <w:pPr>
        <w:pStyle w:val="Subsection"/>
        <w:rPr>
          <w:snapToGrid w:val="0"/>
        </w:rPr>
      </w:pPr>
      <w:r>
        <w:rPr>
          <w:snapToGrid w:val="0"/>
        </w:rPr>
        <w:tab/>
      </w:r>
      <w:r>
        <w:rPr>
          <w:snapToGrid w:val="0"/>
        </w:rPr>
        <w:tab/>
        <w:t>Glass measures may be subdivided if the subdivisions are defined by clear sharp lines not less than one inch in length, unless precluded by the small size of the measure.</w:t>
      </w:r>
    </w:p>
    <w:p>
      <w:pPr>
        <w:pStyle w:val="Heading5"/>
        <w:rPr>
          <w:snapToGrid w:val="0"/>
        </w:rPr>
      </w:pPr>
      <w:bookmarkStart w:id="52" w:name="_Toc390077077"/>
      <w:r>
        <w:rPr>
          <w:rStyle w:val="CharSectno"/>
        </w:rPr>
        <w:t>37</w:t>
      </w:r>
      <w:r>
        <w:rPr>
          <w:snapToGrid w:val="0"/>
        </w:rPr>
        <w:t>.</w:t>
      </w:r>
      <w:r>
        <w:rPr>
          <w:snapToGrid w:val="0"/>
        </w:rPr>
        <w:tab/>
        <w:t>Stamping plug</w:t>
      </w:r>
      <w:bookmarkEnd w:id="52"/>
    </w:p>
    <w:p>
      <w:pPr>
        <w:pStyle w:val="Subsection"/>
        <w:rPr>
          <w:snapToGrid w:val="0"/>
        </w:rPr>
      </w:pPr>
      <w:r>
        <w:rPr>
          <w:snapToGrid w:val="0"/>
        </w:rPr>
        <w:tab/>
      </w:r>
      <w:r>
        <w:rPr>
          <w:snapToGrid w:val="0"/>
        </w:rPr>
        <w:tab/>
        <w:t>Measures of metal shall — </w:t>
      </w:r>
    </w:p>
    <w:p>
      <w:pPr>
        <w:pStyle w:val="Indenta"/>
        <w:rPr>
          <w:snapToGrid w:val="0"/>
        </w:rPr>
      </w:pPr>
      <w:r>
        <w:rPr>
          <w:snapToGrid w:val="0"/>
        </w:rPr>
        <w:tab/>
        <w:t>(a)</w:t>
      </w:r>
      <w:r>
        <w:rPr>
          <w:snapToGrid w:val="0"/>
        </w:rPr>
        <w:tab/>
        <w:t>have securely affixed a stamping plug of solder of sufficient size and suitable shape to receive the verification stamp and date;</w:t>
      </w:r>
    </w:p>
    <w:p>
      <w:pPr>
        <w:pStyle w:val="Indenta"/>
        <w:rPr>
          <w:snapToGrid w:val="0"/>
        </w:rPr>
      </w:pPr>
      <w:r>
        <w:rPr>
          <w:snapToGrid w:val="0"/>
        </w:rPr>
        <w:tab/>
        <w:t>(b)</w:t>
      </w:r>
      <w:r>
        <w:rPr>
          <w:snapToGrid w:val="0"/>
        </w:rPr>
        <w:tab/>
        <w:t>when cylindrical, have such plug on the outside immediately under the brim;</w:t>
      </w:r>
    </w:p>
    <w:p>
      <w:pPr>
        <w:pStyle w:val="Indenta"/>
        <w:rPr>
          <w:snapToGrid w:val="0"/>
        </w:rPr>
      </w:pPr>
      <w:r>
        <w:rPr>
          <w:snapToGrid w:val="0"/>
        </w:rPr>
        <w:tab/>
        <w:t>(c)</w:t>
      </w:r>
      <w:r>
        <w:rPr>
          <w:snapToGrid w:val="0"/>
        </w:rPr>
        <w:tab/>
        <w:t>when conical or bell with a lip, have such plug on the inside of the lip, or on the outside at the junction of the body and lip;</w:t>
      </w:r>
    </w:p>
    <w:p>
      <w:pPr>
        <w:pStyle w:val="Indenta"/>
        <w:rPr>
          <w:snapToGrid w:val="0"/>
        </w:rPr>
      </w:pPr>
      <w:r>
        <w:rPr>
          <w:snapToGrid w:val="0"/>
        </w:rPr>
        <w:tab/>
        <w:t>(d)</w:t>
      </w:r>
      <w:r>
        <w:rPr>
          <w:snapToGrid w:val="0"/>
        </w:rPr>
        <w:tab/>
        <w:t>when cylindrical with a conical top and cylindrical neck, have such plug on the outside of the neck:</w:t>
      </w:r>
    </w:p>
    <w:p>
      <w:pPr>
        <w:pStyle w:val="Subsection"/>
        <w:rPr>
          <w:snapToGrid w:val="0"/>
        </w:rPr>
      </w:pPr>
      <w:r>
        <w:rPr>
          <w:snapToGrid w:val="0"/>
        </w:rPr>
        <w:tab/>
      </w:r>
      <w:r>
        <w:rPr>
          <w:snapToGrid w:val="0"/>
        </w:rPr>
        <w:tab/>
        <w:t>Provided this regulation shall not apply to measures of such material and construction that a legible and lasting stamp may be impressed on the body of the measure without injury thereto.</w:t>
      </w:r>
    </w:p>
    <w:p>
      <w:pPr>
        <w:pStyle w:val="Heading5"/>
        <w:rPr>
          <w:snapToGrid w:val="0"/>
        </w:rPr>
      </w:pPr>
      <w:bookmarkStart w:id="53" w:name="_Toc390077078"/>
      <w:r>
        <w:rPr>
          <w:rStyle w:val="CharSectno"/>
        </w:rPr>
        <w:t>38</w:t>
      </w:r>
      <w:r>
        <w:rPr>
          <w:snapToGrid w:val="0"/>
        </w:rPr>
        <w:t>.</w:t>
      </w:r>
      <w:r>
        <w:rPr>
          <w:snapToGrid w:val="0"/>
        </w:rPr>
        <w:tab/>
        <w:t>Verification stamp</w:t>
      </w:r>
      <w:bookmarkEnd w:id="53"/>
    </w:p>
    <w:p>
      <w:pPr>
        <w:pStyle w:val="Subsection"/>
        <w:rPr>
          <w:snapToGrid w:val="0"/>
        </w:rPr>
      </w:pPr>
      <w:r>
        <w:rPr>
          <w:snapToGrid w:val="0"/>
        </w:rPr>
        <w:tab/>
      </w:r>
      <w:r>
        <w:rPr>
          <w:snapToGrid w:val="0"/>
        </w:rPr>
        <w:tab/>
        <w:t>The verification stamp shall — </w:t>
      </w:r>
    </w:p>
    <w:p>
      <w:pPr>
        <w:pStyle w:val="Indenta"/>
        <w:rPr>
          <w:snapToGrid w:val="0"/>
        </w:rPr>
      </w:pPr>
      <w:r>
        <w:rPr>
          <w:snapToGrid w:val="0"/>
        </w:rPr>
        <w:tab/>
        <w:t>(a)</w:t>
      </w:r>
      <w:r>
        <w:rPr>
          <w:snapToGrid w:val="0"/>
        </w:rPr>
        <w:tab/>
        <w:t>on metal measures provided with a stamping plug, be impressed on such plug;</w:t>
      </w:r>
    </w:p>
    <w:p>
      <w:pPr>
        <w:pStyle w:val="Indenta"/>
        <w:rPr>
          <w:snapToGrid w:val="0"/>
        </w:rPr>
      </w:pPr>
      <w:r>
        <w:rPr>
          <w:snapToGrid w:val="0"/>
        </w:rPr>
        <w:tab/>
        <w:t>(b)</w:t>
      </w:r>
      <w:r>
        <w:rPr>
          <w:snapToGrid w:val="0"/>
        </w:rPr>
        <w:tab/>
        <w:t>on soft metal measures not provided with a plug, be impressed on the outside immediately below the brim in vertical line with the denomination;</w:t>
      </w:r>
    </w:p>
    <w:p>
      <w:pPr>
        <w:pStyle w:val="Indenta"/>
        <w:rPr>
          <w:snapToGrid w:val="0"/>
        </w:rPr>
      </w:pPr>
      <w:r>
        <w:rPr>
          <w:snapToGrid w:val="0"/>
        </w:rPr>
        <w:tab/>
        <w:t>(c)</w:t>
      </w:r>
      <w:r>
        <w:rPr>
          <w:snapToGrid w:val="0"/>
        </w:rPr>
        <w:tab/>
        <w:t>on glass or enamelled measures, be sand</w:t>
      </w:r>
      <w:r>
        <w:rPr>
          <w:snapToGrid w:val="0"/>
        </w:rPr>
        <w:noBreakHyphen/>
        <w:t>blasted beneath or near the denomination.</w:t>
      </w:r>
    </w:p>
    <w:p>
      <w:pPr>
        <w:pStyle w:val="Heading5"/>
        <w:rPr>
          <w:snapToGrid w:val="0"/>
        </w:rPr>
      </w:pPr>
      <w:bookmarkStart w:id="54" w:name="_Toc390077079"/>
      <w:r>
        <w:rPr>
          <w:rStyle w:val="CharSectno"/>
        </w:rPr>
        <w:t>39</w:t>
      </w:r>
      <w:r>
        <w:rPr>
          <w:snapToGrid w:val="0"/>
        </w:rPr>
        <w:t>.</w:t>
      </w:r>
      <w:r>
        <w:rPr>
          <w:snapToGrid w:val="0"/>
        </w:rPr>
        <w:tab/>
        <w:t>Subdivisions to be verified</w:t>
      </w:r>
      <w:bookmarkEnd w:id="54"/>
    </w:p>
    <w:p>
      <w:pPr>
        <w:pStyle w:val="Subsection"/>
        <w:rPr>
          <w:snapToGrid w:val="0"/>
        </w:rPr>
      </w:pPr>
      <w:r>
        <w:rPr>
          <w:snapToGrid w:val="0"/>
        </w:rPr>
        <w:tab/>
      </w:r>
      <w:r>
        <w:rPr>
          <w:snapToGrid w:val="0"/>
        </w:rPr>
        <w:tab/>
        <w:t>In subdivided measures each subdivision shall be verified.</w:t>
      </w:r>
    </w:p>
    <w:p>
      <w:pPr>
        <w:pStyle w:val="Heading5"/>
        <w:rPr>
          <w:snapToGrid w:val="0"/>
        </w:rPr>
      </w:pPr>
      <w:bookmarkStart w:id="55" w:name="_Toc390077080"/>
      <w:r>
        <w:rPr>
          <w:rStyle w:val="CharSectno"/>
        </w:rPr>
        <w:t>39A</w:t>
      </w:r>
      <w:r>
        <w:rPr>
          <w:snapToGrid w:val="0"/>
        </w:rPr>
        <w:t>.</w:t>
      </w:r>
      <w:r>
        <w:rPr>
          <w:snapToGrid w:val="0"/>
        </w:rPr>
        <w:tab/>
        <w:t>Method of verification</w:t>
      </w:r>
      <w:bookmarkEnd w:id="55"/>
    </w:p>
    <w:p>
      <w:pPr>
        <w:pStyle w:val="Subsection"/>
        <w:rPr>
          <w:snapToGrid w:val="0"/>
        </w:rPr>
      </w:pPr>
      <w:r>
        <w:rPr>
          <w:snapToGrid w:val="0"/>
        </w:rPr>
        <w:tab/>
        <w:t>(1)</w:t>
      </w:r>
      <w:r>
        <w:rPr>
          <w:snapToGrid w:val="0"/>
        </w:rPr>
        <w:tab/>
        <w:t xml:space="preserve">For the purposes of this regulation </w:t>
      </w:r>
      <w:r>
        <w:rPr>
          <w:b/>
          <w:snapToGrid w:val="0"/>
        </w:rPr>
        <w:t>“</w:t>
      </w:r>
      <w:r>
        <w:rPr>
          <w:rStyle w:val="CharDefText"/>
        </w:rPr>
        <w:t>official liquid measuring instrument</w:t>
      </w:r>
      <w:r>
        <w:rPr>
          <w:b/>
          <w:snapToGrid w:val="0"/>
        </w:rPr>
        <w:t>”</w:t>
      </w:r>
      <w:r>
        <w:rPr>
          <w:snapToGrid w:val="0"/>
        </w:rPr>
        <w:t xml:space="preserve"> means a measuring instrument, used for measuring liquids, which has been verified by comparison with departmental standards to the satisfaction of the Chief Inspector and is correct within the tolerances for error prescribed for Local Standards in Table II of these regulations or (if not so prescribed) specified in the schedule to subregulation (3) of this regulation.</w:t>
      </w:r>
    </w:p>
    <w:p>
      <w:pPr>
        <w:pStyle w:val="Subsection"/>
        <w:rPr>
          <w:snapToGrid w:val="0"/>
        </w:rPr>
      </w:pPr>
      <w:r>
        <w:rPr>
          <w:snapToGrid w:val="0"/>
        </w:rPr>
        <w:tab/>
        <w:t>(2)</w:t>
      </w:r>
      <w:r>
        <w:rPr>
          <w:snapToGrid w:val="0"/>
        </w:rPr>
        <w:tab/>
        <w:t>Any measure of capacity or liquid measuring instrument may be verified or reverified by comparison with an official liquid measuring instrument.</w:t>
      </w:r>
    </w:p>
    <w:p>
      <w:pPr>
        <w:pStyle w:val="Subsection"/>
        <w:keepNext/>
        <w:rPr>
          <w:snapToGrid w:val="0"/>
        </w:rPr>
      </w:pPr>
      <w:r>
        <w:rPr>
          <w:snapToGrid w:val="0"/>
        </w:rPr>
        <w:tab/>
        <w:t>(3)</w:t>
      </w:r>
      <w:r>
        <w:rPr>
          <w:snapToGrid w:val="0"/>
        </w:rPr>
        <w:tab/>
        <w:t>The schedule referred to in subregulation (1) is as follows — </w:t>
      </w:r>
    </w:p>
    <w:tbl>
      <w:tblPr>
        <w:tblW w:w="0" w:type="auto"/>
        <w:tblInd w:w="907" w:type="dxa"/>
        <w:tblLayout w:type="fixed"/>
        <w:tblCellMar>
          <w:left w:w="56" w:type="dxa"/>
          <w:right w:w="56" w:type="dxa"/>
        </w:tblCellMar>
        <w:tblLook w:val="0000" w:firstRow="0" w:lastRow="0" w:firstColumn="0" w:lastColumn="0" w:noHBand="0" w:noVBand="0"/>
      </w:tblPr>
      <w:tblGrid>
        <w:gridCol w:w="3260"/>
        <w:gridCol w:w="2977"/>
      </w:tblGrid>
      <w:tr>
        <w:tc>
          <w:tcPr>
            <w:tcW w:w="3260" w:type="dxa"/>
          </w:tcPr>
          <w:p>
            <w:pPr>
              <w:pStyle w:val="Table"/>
              <w:keepNext/>
              <w:jc w:val="center"/>
              <w:rPr>
                <w:b/>
                <w:sz w:val="18"/>
              </w:rPr>
            </w:pPr>
            <w:r>
              <w:rPr>
                <w:b/>
                <w:sz w:val="18"/>
              </w:rPr>
              <w:t>Denominations</w:t>
            </w:r>
          </w:p>
        </w:tc>
        <w:tc>
          <w:tcPr>
            <w:tcW w:w="2977" w:type="dxa"/>
          </w:tcPr>
          <w:p>
            <w:pPr>
              <w:pStyle w:val="Table"/>
              <w:keepNext/>
              <w:jc w:val="center"/>
              <w:rPr>
                <w:b/>
                <w:sz w:val="18"/>
              </w:rPr>
            </w:pPr>
            <w:r>
              <w:rPr>
                <w:b/>
                <w:sz w:val="18"/>
              </w:rPr>
              <w:t>Error in Excess or Deficiency</w:t>
            </w:r>
          </w:p>
        </w:tc>
      </w:tr>
      <w:tr>
        <w:tc>
          <w:tcPr>
            <w:tcW w:w="3260" w:type="dxa"/>
          </w:tcPr>
          <w:p>
            <w:pPr>
              <w:pStyle w:val="Table"/>
              <w:rPr>
                <w:sz w:val="18"/>
              </w:rPr>
            </w:pPr>
            <w:r>
              <w:rPr>
                <w:sz w:val="18"/>
              </w:rPr>
              <w:t>Imperial Measure — </w:t>
            </w:r>
          </w:p>
        </w:tc>
        <w:tc>
          <w:tcPr>
            <w:tcW w:w="2977" w:type="dxa"/>
          </w:tcPr>
          <w:p>
            <w:pPr>
              <w:pStyle w:val="Table"/>
              <w:rPr>
                <w:sz w:val="18"/>
              </w:rPr>
            </w:pPr>
          </w:p>
        </w:tc>
      </w:tr>
      <w:tr>
        <w:tc>
          <w:tcPr>
            <w:tcW w:w="3260" w:type="dxa"/>
          </w:tcPr>
          <w:p>
            <w:pPr>
              <w:pStyle w:val="Table"/>
              <w:tabs>
                <w:tab w:val="left" w:pos="568"/>
              </w:tabs>
              <w:rPr>
                <w:sz w:val="18"/>
              </w:rPr>
            </w:pPr>
            <w:r>
              <w:rPr>
                <w:sz w:val="18"/>
              </w:rPr>
              <w:tab/>
              <w:t>22 gallons</w:t>
            </w:r>
          </w:p>
        </w:tc>
        <w:tc>
          <w:tcPr>
            <w:tcW w:w="2977" w:type="dxa"/>
          </w:tcPr>
          <w:p>
            <w:pPr>
              <w:pStyle w:val="Table"/>
              <w:rPr>
                <w:sz w:val="18"/>
              </w:rPr>
            </w:pPr>
            <w:r>
              <w:rPr>
                <w:sz w:val="18"/>
              </w:rPr>
              <w:t>1 fluid ounce.</w:t>
            </w:r>
          </w:p>
        </w:tc>
      </w:tr>
      <w:tr>
        <w:tc>
          <w:tcPr>
            <w:tcW w:w="3260" w:type="dxa"/>
          </w:tcPr>
          <w:p>
            <w:pPr>
              <w:pStyle w:val="Table"/>
              <w:tabs>
                <w:tab w:val="left" w:pos="568"/>
              </w:tabs>
              <w:rPr>
                <w:sz w:val="18"/>
              </w:rPr>
            </w:pPr>
            <w:r>
              <w:rPr>
                <w:sz w:val="18"/>
              </w:rPr>
              <w:tab/>
              <w:t>44 gallons</w:t>
            </w:r>
          </w:p>
        </w:tc>
        <w:tc>
          <w:tcPr>
            <w:tcW w:w="2977" w:type="dxa"/>
          </w:tcPr>
          <w:p>
            <w:pPr>
              <w:pStyle w:val="Table"/>
              <w:rPr>
                <w:sz w:val="18"/>
              </w:rPr>
            </w:pPr>
            <w:r>
              <w:rPr>
                <w:sz w:val="18"/>
              </w:rPr>
              <w:t>2 fluid ounces.</w:t>
            </w:r>
          </w:p>
        </w:tc>
      </w:tr>
      <w:tr>
        <w:tc>
          <w:tcPr>
            <w:tcW w:w="3260" w:type="dxa"/>
          </w:tcPr>
          <w:p>
            <w:pPr>
              <w:pStyle w:val="Table"/>
              <w:tabs>
                <w:tab w:val="left" w:pos="568"/>
              </w:tabs>
              <w:rPr>
                <w:sz w:val="18"/>
              </w:rPr>
            </w:pPr>
            <w:r>
              <w:rPr>
                <w:sz w:val="18"/>
              </w:rPr>
              <w:tab/>
              <w:t>50 gallons</w:t>
            </w:r>
          </w:p>
        </w:tc>
        <w:tc>
          <w:tcPr>
            <w:tcW w:w="2977" w:type="dxa"/>
          </w:tcPr>
          <w:p>
            <w:pPr>
              <w:pStyle w:val="Table"/>
              <w:rPr>
                <w:sz w:val="18"/>
              </w:rPr>
            </w:pPr>
            <w:r>
              <w:rPr>
                <w:sz w:val="18"/>
              </w:rPr>
              <w:t>2 ½  fluid ounces.</w:t>
            </w:r>
          </w:p>
        </w:tc>
      </w:tr>
      <w:tr>
        <w:tc>
          <w:tcPr>
            <w:tcW w:w="3260" w:type="dxa"/>
          </w:tcPr>
          <w:p>
            <w:pPr>
              <w:pStyle w:val="Table"/>
              <w:tabs>
                <w:tab w:val="left" w:pos="568"/>
              </w:tabs>
              <w:rPr>
                <w:sz w:val="18"/>
              </w:rPr>
            </w:pPr>
            <w:r>
              <w:rPr>
                <w:sz w:val="18"/>
              </w:rPr>
              <w:tab/>
              <w:t>100 gallons</w:t>
            </w:r>
          </w:p>
        </w:tc>
        <w:tc>
          <w:tcPr>
            <w:tcW w:w="2977" w:type="dxa"/>
          </w:tcPr>
          <w:p>
            <w:pPr>
              <w:pStyle w:val="Table"/>
              <w:rPr>
                <w:sz w:val="18"/>
              </w:rPr>
            </w:pPr>
            <w:r>
              <w:rPr>
                <w:sz w:val="18"/>
              </w:rPr>
              <w:t>5 fluid ounces.</w:t>
            </w:r>
          </w:p>
        </w:tc>
      </w:tr>
      <w:tr>
        <w:tc>
          <w:tcPr>
            <w:tcW w:w="3260" w:type="dxa"/>
          </w:tcPr>
          <w:p>
            <w:pPr>
              <w:pStyle w:val="Table"/>
              <w:tabs>
                <w:tab w:val="left" w:pos="568"/>
              </w:tabs>
              <w:rPr>
                <w:sz w:val="18"/>
              </w:rPr>
            </w:pPr>
            <w:r>
              <w:rPr>
                <w:sz w:val="18"/>
              </w:rPr>
              <w:tab/>
              <w:t>Capacities above 100 gallons</w:t>
            </w:r>
          </w:p>
        </w:tc>
        <w:tc>
          <w:tcPr>
            <w:tcW w:w="2977" w:type="dxa"/>
          </w:tcPr>
          <w:p>
            <w:pPr>
              <w:pStyle w:val="Table"/>
              <w:rPr>
                <w:sz w:val="18"/>
              </w:rPr>
            </w:pPr>
            <w:r>
              <w:rPr>
                <w:sz w:val="18"/>
              </w:rPr>
              <w:t>5 fluid ounces for first 100 plus 5 fluid ounces for each additional 100 gallons.</w:t>
            </w:r>
          </w:p>
        </w:tc>
      </w:tr>
    </w:tbl>
    <w:p>
      <w:pPr>
        <w:pStyle w:val="Subsection"/>
        <w:rPr>
          <w:snapToGrid w:val="0"/>
        </w:rPr>
      </w:pPr>
      <w:r>
        <w:rPr>
          <w:snapToGrid w:val="0"/>
        </w:rPr>
        <w:tab/>
        <w:t>(4)</w:t>
      </w:r>
      <w:r>
        <w:rPr>
          <w:snapToGrid w:val="0"/>
        </w:rPr>
        <w:tab/>
        <w:t>An official measuring instrument shall not be used for the purposes of the Act or these regulations unless it has been verified as prescribed in these regulations within a period of 2 years before the time at which it is used.</w:t>
      </w:r>
    </w:p>
    <w:p>
      <w:pPr>
        <w:pStyle w:val="Footnotesection"/>
      </w:pPr>
      <w:r>
        <w:tab/>
        <w:t xml:space="preserve">[Regulation 39A inserted in Gazette 23 May 1960 p. 1395; amended in Gazette 9 Sep 1968 p. 2743; 31 Aug 1984 p. 2829.] </w:t>
      </w:r>
    </w:p>
    <w:p>
      <w:pPr>
        <w:pStyle w:val="Heading5"/>
        <w:rPr>
          <w:snapToGrid w:val="0"/>
        </w:rPr>
      </w:pPr>
      <w:bookmarkStart w:id="56" w:name="_Toc390077081"/>
      <w:r>
        <w:rPr>
          <w:rStyle w:val="CharSectno"/>
        </w:rPr>
        <w:t>40</w:t>
      </w:r>
      <w:r>
        <w:rPr>
          <w:snapToGrid w:val="0"/>
        </w:rPr>
        <w:t>.</w:t>
      </w:r>
      <w:r>
        <w:rPr>
          <w:snapToGrid w:val="0"/>
        </w:rPr>
        <w:tab/>
        <w:t>Tolerance</w:t>
      </w:r>
      <w:bookmarkEnd w:id="56"/>
    </w:p>
    <w:p>
      <w:pPr>
        <w:pStyle w:val="Subsection"/>
        <w:rPr>
          <w:snapToGrid w:val="0"/>
        </w:rPr>
      </w:pPr>
      <w:r>
        <w:rPr>
          <w:snapToGrid w:val="0"/>
        </w:rPr>
        <w:tab/>
      </w:r>
      <w:r>
        <w:rPr>
          <w:snapToGrid w:val="0"/>
        </w:rPr>
        <w:tab/>
        <w:t>The errors permissible on verification of liquid measures shall be as specified for those measures in Table V.</w:t>
      </w:r>
    </w:p>
    <w:p>
      <w:pPr>
        <w:pStyle w:val="Footnotesection"/>
      </w:pPr>
      <w:r>
        <w:tab/>
        <w:t xml:space="preserve">[Regulation 40 amended in Gazette 23 May 1960 p. 1395.] </w:t>
      </w:r>
    </w:p>
    <w:p>
      <w:pPr>
        <w:pStyle w:val="MiscellaneousHeading"/>
        <w:outlineLvl w:val="0"/>
        <w:rPr>
          <w:b/>
          <w:snapToGrid w:val="0"/>
        </w:rPr>
      </w:pPr>
      <w:r>
        <w:rPr>
          <w:b/>
          <w:snapToGrid w:val="0"/>
        </w:rPr>
        <w:t>Apothecaries’ measures</w:t>
      </w:r>
    </w:p>
    <w:p>
      <w:pPr>
        <w:pStyle w:val="Heading5"/>
        <w:rPr>
          <w:snapToGrid w:val="0"/>
        </w:rPr>
      </w:pPr>
      <w:bookmarkStart w:id="57" w:name="_Toc390077082"/>
      <w:r>
        <w:rPr>
          <w:rStyle w:val="CharSectno"/>
        </w:rPr>
        <w:t>41</w:t>
      </w:r>
      <w:r>
        <w:rPr>
          <w:snapToGrid w:val="0"/>
        </w:rPr>
        <w:t>.</w:t>
      </w:r>
      <w:r>
        <w:rPr>
          <w:snapToGrid w:val="0"/>
        </w:rPr>
        <w:tab/>
        <w:t xml:space="preserve">Definition of </w:t>
      </w:r>
      <w:r>
        <w:rPr>
          <w:b w:val="0"/>
          <w:snapToGrid w:val="0"/>
        </w:rPr>
        <w:t>“</w:t>
      </w:r>
      <w:r>
        <w:rPr>
          <w:rStyle w:val="CharDefText"/>
          <w:b/>
        </w:rPr>
        <w:t>Apothecaries’ measures</w:t>
      </w:r>
      <w:r>
        <w:rPr>
          <w:b w:val="0"/>
          <w:snapToGrid w:val="0"/>
        </w:rPr>
        <w:t>”</w:t>
      </w:r>
      <w:bookmarkEnd w:id="57"/>
    </w:p>
    <w:p>
      <w:pPr>
        <w:pStyle w:val="Subsection"/>
        <w:rPr>
          <w:snapToGrid w:val="0"/>
        </w:rPr>
      </w:pPr>
      <w:r>
        <w:rPr>
          <w:snapToGrid w:val="0"/>
        </w:rPr>
        <w:tab/>
      </w:r>
      <w:r>
        <w:rPr>
          <w:snapToGrid w:val="0"/>
        </w:rPr>
        <w:tab/>
        <w:t>Measures denominated by fluid ounces, fluid drachms, or minims, or of a type commonly used for Apothecaries’ purposes shall be considered Apothecaries’ measures.</w:t>
      </w:r>
    </w:p>
    <w:p>
      <w:pPr>
        <w:pStyle w:val="Heading5"/>
        <w:rPr>
          <w:snapToGrid w:val="0"/>
        </w:rPr>
      </w:pPr>
      <w:bookmarkStart w:id="58" w:name="_Toc390077083"/>
      <w:r>
        <w:rPr>
          <w:rStyle w:val="CharSectno"/>
        </w:rPr>
        <w:t>42</w:t>
      </w:r>
      <w:r>
        <w:rPr>
          <w:snapToGrid w:val="0"/>
        </w:rPr>
        <w:t>.</w:t>
      </w:r>
      <w:r>
        <w:rPr>
          <w:snapToGrid w:val="0"/>
        </w:rPr>
        <w:tab/>
        <w:t>Apothecaries’ glass measures</w:t>
      </w:r>
      <w:bookmarkEnd w:id="58"/>
    </w:p>
    <w:p>
      <w:pPr>
        <w:pStyle w:val="Subsection"/>
        <w:rPr>
          <w:snapToGrid w:val="0"/>
        </w:rPr>
      </w:pPr>
      <w:r>
        <w:rPr>
          <w:snapToGrid w:val="0"/>
        </w:rPr>
        <w:tab/>
      </w:r>
      <w:r>
        <w:rPr>
          <w:snapToGrid w:val="0"/>
        </w:rPr>
        <w:tab/>
        <w:t>An Apothecaries’ glass measure shall — </w:t>
      </w:r>
    </w:p>
    <w:p>
      <w:pPr>
        <w:pStyle w:val="Indenta"/>
        <w:rPr>
          <w:snapToGrid w:val="0"/>
        </w:rPr>
      </w:pPr>
      <w:r>
        <w:rPr>
          <w:snapToGrid w:val="0"/>
        </w:rPr>
        <w:tab/>
        <w:t>(a)</w:t>
      </w:r>
      <w:r>
        <w:rPr>
          <w:snapToGrid w:val="0"/>
        </w:rPr>
        <w:tab/>
        <w:t>be of cylindrical or inverted conical shape with a pouring lip;</w:t>
      </w:r>
    </w:p>
    <w:p>
      <w:pPr>
        <w:pStyle w:val="Indenta"/>
        <w:rPr>
          <w:snapToGrid w:val="0"/>
        </w:rPr>
      </w:pPr>
      <w:r>
        <w:rPr>
          <w:snapToGrid w:val="0"/>
        </w:rPr>
        <w:tab/>
        <w:t>(b)</w:t>
      </w:r>
      <w:r>
        <w:rPr>
          <w:snapToGrid w:val="0"/>
        </w:rPr>
        <w:tab/>
        <w:t>be of good quality glass, clear, transparent, of uniform by not excessive thickness and free from bubbles and streaks;</w:t>
      </w:r>
    </w:p>
    <w:p>
      <w:pPr>
        <w:pStyle w:val="Indenta"/>
        <w:rPr>
          <w:snapToGrid w:val="0"/>
        </w:rPr>
      </w:pPr>
      <w:r>
        <w:rPr>
          <w:snapToGrid w:val="0"/>
        </w:rPr>
        <w:tab/>
        <w:t>(c)</w:t>
      </w:r>
      <w:r>
        <w:rPr>
          <w:snapToGrid w:val="0"/>
        </w:rPr>
        <w:tab/>
        <w:t>be provided with a base at right</w:t>
      </w:r>
      <w:r>
        <w:rPr>
          <w:snapToGrid w:val="0"/>
        </w:rPr>
        <w:noBreakHyphen/>
        <w:t>angles to the axis, and shall stand firmly on a level surface;</w:t>
      </w:r>
    </w:p>
    <w:p>
      <w:pPr>
        <w:pStyle w:val="Indenta"/>
        <w:rPr>
          <w:snapToGrid w:val="0"/>
        </w:rPr>
      </w:pPr>
      <w:r>
        <w:rPr>
          <w:snapToGrid w:val="0"/>
        </w:rPr>
        <w:tab/>
        <w:t>(d)</w:t>
      </w:r>
      <w:r>
        <w:rPr>
          <w:snapToGrid w:val="0"/>
        </w:rPr>
        <w:tab/>
        <w:t>have all graduation lines sharply and clearly defined, perpendicular to the axis, parallel to the base and to each other, and not less than 1/12th inch apart from centre to centre.</w:t>
      </w:r>
    </w:p>
    <w:p>
      <w:pPr>
        <w:pStyle w:val="Indenta"/>
        <w:rPr>
          <w:snapToGrid w:val="0"/>
        </w:rPr>
      </w:pPr>
      <w:r>
        <w:rPr>
          <w:snapToGrid w:val="0"/>
        </w:rPr>
        <w:tab/>
      </w:r>
      <w:r>
        <w:rPr>
          <w:snapToGrid w:val="0"/>
        </w:rPr>
        <w:tab/>
        <w:t>(Such graduation lines shall be etched or engraved. Blown or pressed lines shall not be permissible.)</w:t>
      </w:r>
    </w:p>
    <w:p>
      <w:pPr>
        <w:pStyle w:val="Heading5"/>
        <w:rPr>
          <w:snapToGrid w:val="0"/>
        </w:rPr>
      </w:pPr>
      <w:bookmarkStart w:id="59" w:name="_Toc390077084"/>
      <w:r>
        <w:rPr>
          <w:rStyle w:val="CharSectno"/>
        </w:rPr>
        <w:t>43</w:t>
      </w:r>
      <w:r>
        <w:rPr>
          <w:snapToGrid w:val="0"/>
        </w:rPr>
        <w:t>.</w:t>
      </w:r>
      <w:r>
        <w:rPr>
          <w:snapToGrid w:val="0"/>
        </w:rPr>
        <w:tab/>
        <w:t>Tolerance</w:t>
      </w:r>
      <w:bookmarkEnd w:id="59"/>
    </w:p>
    <w:p>
      <w:pPr>
        <w:pStyle w:val="Subsection"/>
        <w:rPr>
          <w:snapToGrid w:val="0"/>
        </w:rPr>
      </w:pPr>
      <w:r>
        <w:rPr>
          <w:snapToGrid w:val="0"/>
        </w:rPr>
        <w:tab/>
      </w:r>
      <w:r>
        <w:rPr>
          <w:snapToGrid w:val="0"/>
        </w:rPr>
        <w:tab/>
        <w:t>The errors permissible on verification of apothecaries’ measures shall be as specified for those measures in Table V.</w:t>
      </w:r>
    </w:p>
    <w:p>
      <w:pPr>
        <w:pStyle w:val="Footnotesection"/>
      </w:pPr>
      <w:r>
        <w:tab/>
        <w:t xml:space="preserve">[Regulation 43 amended in Gazette 23 May 1960 p. 1396.] </w:t>
      </w:r>
    </w:p>
    <w:p>
      <w:pPr>
        <w:pStyle w:val="MiscellaneousHeading"/>
        <w:outlineLvl w:val="0"/>
        <w:rPr>
          <w:b/>
          <w:snapToGrid w:val="0"/>
        </w:rPr>
      </w:pPr>
      <w:r>
        <w:rPr>
          <w:b/>
          <w:snapToGrid w:val="0"/>
        </w:rPr>
        <w:t>Dry measures</w:t>
      </w:r>
    </w:p>
    <w:p>
      <w:pPr>
        <w:pStyle w:val="Heading5"/>
        <w:rPr>
          <w:snapToGrid w:val="0"/>
        </w:rPr>
      </w:pPr>
      <w:bookmarkStart w:id="60" w:name="_Toc390077085"/>
      <w:r>
        <w:rPr>
          <w:rStyle w:val="CharSectno"/>
        </w:rPr>
        <w:t>44</w:t>
      </w:r>
      <w:r>
        <w:rPr>
          <w:snapToGrid w:val="0"/>
        </w:rPr>
        <w:t>.</w:t>
      </w:r>
      <w:r>
        <w:rPr>
          <w:snapToGrid w:val="0"/>
        </w:rPr>
        <w:tab/>
        <w:t xml:space="preserve">Definition of </w:t>
      </w:r>
      <w:r>
        <w:rPr>
          <w:b w:val="0"/>
          <w:snapToGrid w:val="0"/>
        </w:rPr>
        <w:t>“</w:t>
      </w:r>
      <w:r>
        <w:rPr>
          <w:snapToGrid w:val="0"/>
        </w:rPr>
        <w:t>dry measure</w:t>
      </w:r>
      <w:r>
        <w:rPr>
          <w:b w:val="0"/>
          <w:snapToGrid w:val="0"/>
        </w:rPr>
        <w:t>”</w:t>
      </w:r>
      <w:bookmarkEnd w:id="60"/>
    </w:p>
    <w:p>
      <w:pPr>
        <w:pStyle w:val="Subsection"/>
        <w:rPr>
          <w:snapToGrid w:val="0"/>
        </w:rPr>
      </w:pPr>
      <w:r>
        <w:rPr>
          <w:snapToGrid w:val="0"/>
        </w:rPr>
        <w:tab/>
      </w:r>
      <w:r>
        <w:rPr>
          <w:snapToGrid w:val="0"/>
        </w:rPr>
        <w:tab/>
        <w:t xml:space="preserve">The term </w:t>
      </w:r>
      <w:r>
        <w:rPr>
          <w:b/>
          <w:snapToGrid w:val="0"/>
        </w:rPr>
        <w:t>“</w:t>
      </w:r>
      <w:r>
        <w:rPr>
          <w:rStyle w:val="CharDefText"/>
        </w:rPr>
        <w:t>dry measure</w:t>
      </w:r>
      <w:r>
        <w:rPr>
          <w:b/>
          <w:snapToGrid w:val="0"/>
        </w:rPr>
        <w:t>”</w:t>
      </w:r>
      <w:r>
        <w:rPr>
          <w:snapToGrid w:val="0"/>
        </w:rPr>
        <w:t xml:space="preserve"> means any measure denominated “bushel”, “½ bushel”, “peck”, “½ peck”, “¼ peck”.</w:t>
      </w:r>
    </w:p>
    <w:p>
      <w:pPr>
        <w:pStyle w:val="Heading5"/>
        <w:rPr>
          <w:snapToGrid w:val="0"/>
        </w:rPr>
      </w:pPr>
      <w:bookmarkStart w:id="61" w:name="_Toc390077086"/>
      <w:r>
        <w:rPr>
          <w:rStyle w:val="CharSectno"/>
        </w:rPr>
        <w:t>45</w:t>
      </w:r>
      <w:r>
        <w:rPr>
          <w:snapToGrid w:val="0"/>
        </w:rPr>
        <w:t>.</w:t>
      </w:r>
      <w:r>
        <w:rPr>
          <w:snapToGrid w:val="0"/>
        </w:rPr>
        <w:tab/>
        <w:t>Dry measures</w:t>
      </w:r>
      <w:bookmarkEnd w:id="61"/>
    </w:p>
    <w:p>
      <w:pPr>
        <w:pStyle w:val="Subsection"/>
        <w:keepNext/>
        <w:rPr>
          <w:snapToGrid w:val="0"/>
        </w:rPr>
      </w:pPr>
      <w:r>
        <w:rPr>
          <w:snapToGrid w:val="0"/>
        </w:rPr>
        <w:tab/>
      </w:r>
      <w:r>
        <w:rPr>
          <w:snapToGrid w:val="0"/>
        </w:rPr>
        <w:tab/>
        <w:t>Dry measure shall — </w:t>
      </w:r>
    </w:p>
    <w:p>
      <w:pPr>
        <w:pStyle w:val="Indenta"/>
        <w:rPr>
          <w:snapToGrid w:val="0"/>
        </w:rPr>
      </w:pPr>
      <w:r>
        <w:rPr>
          <w:snapToGrid w:val="0"/>
        </w:rPr>
        <w:tab/>
        <w:t>(a)</w:t>
      </w:r>
      <w:r>
        <w:rPr>
          <w:snapToGrid w:val="0"/>
        </w:rPr>
        <w:tab/>
        <w:t>be made of sheet</w:t>
      </w:r>
      <w:r>
        <w:rPr>
          <w:snapToGrid w:val="0"/>
        </w:rPr>
        <w:noBreakHyphen/>
        <w:t>iron or steel, with or without nickel plating, tin</w:t>
      </w:r>
      <w:r>
        <w:rPr>
          <w:snapToGrid w:val="0"/>
        </w:rPr>
        <w:noBreakHyphen/>
        <w:t>plate, brass, bronze, copper, nickel, gunmetal, or other approved material;</w:t>
      </w:r>
    </w:p>
    <w:p>
      <w:pPr>
        <w:pStyle w:val="Indenta"/>
        <w:rPr>
          <w:snapToGrid w:val="0"/>
        </w:rPr>
      </w:pPr>
      <w:r>
        <w:rPr>
          <w:snapToGrid w:val="0"/>
        </w:rPr>
        <w:tab/>
        <w:t>(b)</w:t>
      </w:r>
      <w:r>
        <w:rPr>
          <w:snapToGrid w:val="0"/>
        </w:rPr>
        <w:tab/>
        <w:t>be cylindrical;</w:t>
      </w:r>
    </w:p>
    <w:p>
      <w:pPr>
        <w:pStyle w:val="Indenta"/>
        <w:rPr>
          <w:snapToGrid w:val="0"/>
        </w:rPr>
      </w:pPr>
      <w:r>
        <w:rPr>
          <w:snapToGrid w:val="0"/>
        </w:rPr>
        <w:tab/>
        <w:t>(c)</w:t>
      </w:r>
      <w:r>
        <w:rPr>
          <w:snapToGrid w:val="0"/>
        </w:rPr>
        <w:tab/>
        <w:t>be of equal diameter and depth, or of a diameter double the depth — a variation of 5% from these proportions will be allowed;</w:t>
      </w:r>
    </w:p>
    <w:p>
      <w:pPr>
        <w:pStyle w:val="Indenta"/>
        <w:rPr>
          <w:snapToGrid w:val="0"/>
        </w:rPr>
      </w:pPr>
      <w:r>
        <w:rPr>
          <w:snapToGrid w:val="0"/>
        </w:rPr>
        <w:tab/>
        <w:t>(d)</w:t>
      </w:r>
      <w:r>
        <w:rPr>
          <w:snapToGrid w:val="0"/>
        </w:rPr>
        <w:tab/>
        <w:t>have their capacity defined by the brim and not be subdivided;</w:t>
      </w:r>
    </w:p>
    <w:p>
      <w:pPr>
        <w:pStyle w:val="Indenta"/>
        <w:rPr>
          <w:snapToGrid w:val="0"/>
        </w:rPr>
      </w:pPr>
      <w:r>
        <w:rPr>
          <w:snapToGrid w:val="0"/>
        </w:rPr>
        <w:tab/>
        <w:t>(e)</w:t>
      </w:r>
      <w:r>
        <w:rPr>
          <w:snapToGrid w:val="0"/>
        </w:rPr>
        <w:tab/>
        <w:t>comply with the requirements relating to cylindrical metal liquid measures where applicable;</w:t>
      </w:r>
    </w:p>
    <w:p>
      <w:pPr>
        <w:pStyle w:val="Indenta"/>
        <w:keepNext/>
        <w:rPr>
          <w:snapToGrid w:val="0"/>
        </w:rPr>
      </w:pPr>
      <w:r>
        <w:rPr>
          <w:snapToGrid w:val="0"/>
        </w:rPr>
        <w:tab/>
        <w:t>(f)</w:t>
      </w:r>
      <w:r>
        <w:rPr>
          <w:snapToGrid w:val="0"/>
        </w:rPr>
        <w:tab/>
        <w:t>when of metal comply with the following requirements — </w:t>
      </w:r>
    </w:p>
    <w:tbl>
      <w:tblPr>
        <w:tblW w:w="0" w:type="auto"/>
        <w:tblInd w:w="1701" w:type="dxa"/>
        <w:tblLayout w:type="fixed"/>
        <w:tblCellMar>
          <w:left w:w="141" w:type="dxa"/>
          <w:right w:w="141" w:type="dxa"/>
        </w:tblCellMar>
        <w:tblLook w:val="0000" w:firstRow="0" w:lastRow="0" w:firstColumn="0" w:lastColumn="0" w:noHBand="0" w:noVBand="0"/>
      </w:tblPr>
      <w:tblGrid>
        <w:gridCol w:w="992"/>
        <w:gridCol w:w="567"/>
        <w:gridCol w:w="1417"/>
        <w:gridCol w:w="2552"/>
      </w:tblGrid>
      <w:tr>
        <w:tc>
          <w:tcPr>
            <w:tcW w:w="2976" w:type="dxa"/>
            <w:gridSpan w:val="3"/>
          </w:tcPr>
          <w:p>
            <w:pPr>
              <w:pStyle w:val="yTable"/>
              <w:rPr>
                <w:b/>
                <w:sz w:val="18"/>
              </w:rPr>
            </w:pPr>
            <w:r>
              <w:rPr>
                <w:b/>
                <w:sz w:val="18"/>
              </w:rPr>
              <w:t>Denomination of measure</w:t>
            </w:r>
          </w:p>
        </w:tc>
        <w:tc>
          <w:tcPr>
            <w:tcW w:w="2552" w:type="dxa"/>
          </w:tcPr>
          <w:p>
            <w:pPr>
              <w:pStyle w:val="yTable"/>
              <w:rPr>
                <w:b/>
                <w:sz w:val="18"/>
              </w:rPr>
            </w:pPr>
            <w:r>
              <w:rPr>
                <w:b/>
                <w:sz w:val="18"/>
              </w:rPr>
              <w:t>Minimum thickness of metal</w:t>
            </w:r>
          </w:p>
        </w:tc>
      </w:tr>
      <w:tr>
        <w:tc>
          <w:tcPr>
            <w:tcW w:w="992" w:type="dxa"/>
          </w:tcPr>
          <w:p>
            <w:pPr>
              <w:pStyle w:val="yTable"/>
              <w:tabs>
                <w:tab w:val="left" w:pos="1419"/>
              </w:tabs>
              <w:spacing w:before="0"/>
              <w:rPr>
                <w:sz w:val="18"/>
              </w:rPr>
            </w:pPr>
            <w:r>
              <w:rPr>
                <w:sz w:val="18"/>
              </w:rPr>
              <w:t>¼ Peck</w:t>
            </w:r>
          </w:p>
          <w:p>
            <w:pPr>
              <w:pStyle w:val="yTable"/>
              <w:tabs>
                <w:tab w:val="left" w:pos="1419"/>
              </w:tabs>
              <w:spacing w:before="0" w:after="60"/>
              <w:rPr>
                <w:sz w:val="18"/>
              </w:rPr>
            </w:pPr>
            <w:r>
              <w:rPr>
                <w:sz w:val="18"/>
              </w:rPr>
              <w:t>½ Peck</w:t>
            </w:r>
          </w:p>
        </w:tc>
        <w:tc>
          <w:tcPr>
            <w:tcW w:w="567" w:type="dxa"/>
          </w:tcPr>
          <w:p>
            <w:pPr>
              <w:pStyle w:val="yTable"/>
              <w:tabs>
                <w:tab w:val="left" w:pos="1419"/>
              </w:tabs>
              <w:spacing w:before="0"/>
            </w:pPr>
            <w:r>
              <w:rPr>
                <w:noProof/>
              </w:rPr>
              <w:drawing>
                <wp:inline distT="0" distB="0" distL="0" distR="0">
                  <wp:extent cx="118745" cy="2495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8745" cy="249555"/>
                          </a:xfrm>
                          <a:prstGeom prst="rect">
                            <a:avLst/>
                          </a:prstGeom>
                          <a:noFill/>
                          <a:ln>
                            <a:noFill/>
                          </a:ln>
                        </pic:spPr>
                      </pic:pic>
                    </a:graphicData>
                  </a:graphic>
                </wp:inline>
              </w:drawing>
            </w:r>
          </w:p>
        </w:tc>
        <w:tc>
          <w:tcPr>
            <w:tcW w:w="1417" w:type="dxa"/>
          </w:tcPr>
          <w:p>
            <w:pPr>
              <w:pStyle w:val="yTable"/>
              <w:tabs>
                <w:tab w:val="left" w:pos="1419"/>
              </w:tabs>
              <w:spacing w:before="120"/>
              <w:rPr>
                <w:sz w:val="18"/>
              </w:rPr>
            </w:pPr>
            <w:r>
              <w:rPr>
                <w:sz w:val="18"/>
              </w:rPr>
              <w:t xml:space="preserve">......................... </w:t>
            </w:r>
          </w:p>
        </w:tc>
        <w:tc>
          <w:tcPr>
            <w:tcW w:w="2552" w:type="dxa"/>
          </w:tcPr>
          <w:p>
            <w:pPr>
              <w:pStyle w:val="yTable"/>
              <w:spacing w:before="120"/>
              <w:rPr>
                <w:sz w:val="18"/>
              </w:rPr>
            </w:pPr>
            <w:r>
              <w:rPr>
                <w:sz w:val="18"/>
              </w:rPr>
              <w:t>.01961 inch (26 B.G.)</w:t>
            </w:r>
          </w:p>
        </w:tc>
      </w:tr>
      <w:tr>
        <w:tc>
          <w:tcPr>
            <w:tcW w:w="992" w:type="dxa"/>
          </w:tcPr>
          <w:p>
            <w:pPr>
              <w:pStyle w:val="yTable"/>
              <w:tabs>
                <w:tab w:val="left" w:pos="1419"/>
              </w:tabs>
              <w:spacing w:before="0"/>
              <w:rPr>
                <w:sz w:val="18"/>
              </w:rPr>
            </w:pPr>
            <w:r>
              <w:rPr>
                <w:sz w:val="18"/>
              </w:rPr>
              <w:t>Peck</w:t>
            </w:r>
          </w:p>
          <w:p>
            <w:pPr>
              <w:pStyle w:val="yTable"/>
              <w:tabs>
                <w:tab w:val="left" w:pos="1419"/>
              </w:tabs>
              <w:spacing w:before="0"/>
              <w:rPr>
                <w:sz w:val="18"/>
              </w:rPr>
            </w:pPr>
            <w:r>
              <w:rPr>
                <w:sz w:val="18"/>
              </w:rPr>
              <w:t>½ Bushel</w:t>
            </w:r>
          </w:p>
          <w:p>
            <w:pPr>
              <w:pStyle w:val="yTable"/>
              <w:tabs>
                <w:tab w:val="left" w:pos="1419"/>
              </w:tabs>
              <w:spacing w:before="0"/>
              <w:rPr>
                <w:sz w:val="18"/>
              </w:rPr>
            </w:pPr>
            <w:r>
              <w:rPr>
                <w:sz w:val="18"/>
              </w:rPr>
              <w:t>Bushel</w:t>
            </w:r>
          </w:p>
        </w:tc>
        <w:tc>
          <w:tcPr>
            <w:tcW w:w="567" w:type="dxa"/>
          </w:tcPr>
          <w:p>
            <w:pPr>
              <w:pStyle w:val="yTable"/>
              <w:tabs>
                <w:tab w:val="left" w:pos="1419"/>
              </w:tabs>
            </w:pPr>
            <w:r>
              <w:rPr>
                <w:noProof/>
              </w:rPr>
              <w:drawing>
                <wp:inline distT="0" distB="0" distL="0" distR="0">
                  <wp:extent cx="118745" cy="32067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8745" cy="320675"/>
                          </a:xfrm>
                          <a:prstGeom prst="rect">
                            <a:avLst/>
                          </a:prstGeom>
                          <a:noFill/>
                          <a:ln>
                            <a:noFill/>
                          </a:ln>
                        </pic:spPr>
                      </pic:pic>
                    </a:graphicData>
                  </a:graphic>
                </wp:inline>
              </w:drawing>
            </w:r>
          </w:p>
        </w:tc>
        <w:tc>
          <w:tcPr>
            <w:tcW w:w="1417" w:type="dxa"/>
          </w:tcPr>
          <w:p>
            <w:pPr>
              <w:pStyle w:val="yTable"/>
              <w:tabs>
                <w:tab w:val="left" w:pos="1419"/>
              </w:tabs>
              <w:spacing w:before="240"/>
              <w:rPr>
                <w:sz w:val="18"/>
              </w:rPr>
            </w:pPr>
            <w:r>
              <w:rPr>
                <w:sz w:val="18"/>
              </w:rPr>
              <w:t>.........................</w:t>
            </w:r>
          </w:p>
        </w:tc>
        <w:tc>
          <w:tcPr>
            <w:tcW w:w="2552" w:type="dxa"/>
          </w:tcPr>
          <w:p>
            <w:pPr>
              <w:pStyle w:val="yTable"/>
              <w:spacing w:before="240"/>
              <w:rPr>
                <w:sz w:val="18"/>
              </w:rPr>
            </w:pPr>
            <w:r>
              <w:rPr>
                <w:sz w:val="18"/>
              </w:rPr>
              <w:t>.02476 inch (24 B.G.)</w:t>
            </w:r>
          </w:p>
        </w:tc>
      </w:tr>
    </w:tbl>
    <w:p>
      <w:pPr>
        <w:pStyle w:val="Heading5"/>
        <w:rPr>
          <w:snapToGrid w:val="0"/>
        </w:rPr>
      </w:pPr>
      <w:bookmarkStart w:id="62" w:name="_Toc390077087"/>
      <w:r>
        <w:rPr>
          <w:rStyle w:val="CharSectno"/>
        </w:rPr>
        <w:t>46</w:t>
      </w:r>
      <w:r>
        <w:rPr>
          <w:snapToGrid w:val="0"/>
        </w:rPr>
        <w:t>.</w:t>
      </w:r>
      <w:r>
        <w:rPr>
          <w:snapToGrid w:val="0"/>
        </w:rPr>
        <w:tab/>
        <w:t>Method of verification</w:t>
      </w:r>
      <w:bookmarkEnd w:id="62"/>
    </w:p>
    <w:p>
      <w:pPr>
        <w:pStyle w:val="Subsection"/>
        <w:rPr>
          <w:snapToGrid w:val="0"/>
        </w:rPr>
      </w:pPr>
      <w:r>
        <w:rPr>
          <w:snapToGrid w:val="0"/>
        </w:rPr>
        <w:tab/>
      </w:r>
      <w:r>
        <w:rPr>
          <w:snapToGrid w:val="0"/>
        </w:rPr>
        <w:tab/>
        <w:t>Dry measures may be verified by filling the Standard with water, or any suitable fine grain such as rape</w:t>
      </w:r>
      <w:r>
        <w:rPr>
          <w:snapToGrid w:val="0"/>
        </w:rPr>
        <w:noBreakHyphen/>
        <w:t>seed, and emptying the contents into the measure under verification. When grain is used, a round strike should be swept (not rolled) across the measure.</w:t>
      </w:r>
    </w:p>
    <w:p>
      <w:pPr>
        <w:pStyle w:val="Heading5"/>
        <w:rPr>
          <w:snapToGrid w:val="0"/>
        </w:rPr>
      </w:pPr>
      <w:bookmarkStart w:id="63" w:name="_Toc390077088"/>
      <w:r>
        <w:rPr>
          <w:rStyle w:val="CharSectno"/>
        </w:rPr>
        <w:t>47</w:t>
      </w:r>
      <w:r>
        <w:rPr>
          <w:snapToGrid w:val="0"/>
        </w:rPr>
        <w:t>.</w:t>
      </w:r>
      <w:r>
        <w:rPr>
          <w:snapToGrid w:val="0"/>
        </w:rPr>
        <w:tab/>
        <w:t>Tolerance</w:t>
      </w:r>
      <w:bookmarkEnd w:id="63"/>
    </w:p>
    <w:p>
      <w:pPr>
        <w:pStyle w:val="Subsection"/>
        <w:rPr>
          <w:snapToGrid w:val="0"/>
        </w:rPr>
      </w:pPr>
      <w:r>
        <w:rPr>
          <w:snapToGrid w:val="0"/>
        </w:rPr>
        <w:tab/>
      </w:r>
      <w:r>
        <w:rPr>
          <w:snapToGrid w:val="0"/>
        </w:rPr>
        <w:tab/>
        <w:t>The errors permissible on verification of dry measures shall be as specified for those measures in Table V.</w:t>
      </w:r>
    </w:p>
    <w:p>
      <w:pPr>
        <w:pStyle w:val="Footnotesection"/>
      </w:pPr>
      <w:r>
        <w:tab/>
        <w:t xml:space="preserve">[Regulation 47 amended in Gazette 23 May 1960 p. 1396.] </w:t>
      </w:r>
    </w:p>
    <w:p>
      <w:pPr>
        <w:pStyle w:val="MiscellaneousHeading"/>
        <w:outlineLvl w:val="0"/>
        <w:rPr>
          <w:b/>
          <w:snapToGrid w:val="0"/>
        </w:rPr>
      </w:pPr>
      <w:r>
        <w:rPr>
          <w:b/>
          <w:snapToGrid w:val="0"/>
        </w:rPr>
        <w:t>Farm milk tanks</w:t>
      </w:r>
    </w:p>
    <w:p>
      <w:pPr>
        <w:pStyle w:val="Heading5"/>
        <w:rPr>
          <w:snapToGrid w:val="0"/>
        </w:rPr>
      </w:pPr>
      <w:bookmarkStart w:id="64" w:name="_Toc390077089"/>
      <w:r>
        <w:rPr>
          <w:rStyle w:val="CharSectno"/>
        </w:rPr>
        <w:t>47A</w:t>
      </w:r>
      <w:r>
        <w:rPr>
          <w:snapToGrid w:val="0"/>
        </w:rPr>
        <w:t>.</w:t>
      </w:r>
      <w:r>
        <w:rPr>
          <w:snapToGrid w:val="0"/>
        </w:rPr>
        <w:tab/>
        <w:t>Farm milk tanks</w:t>
      </w:r>
      <w:bookmarkEnd w:id="64"/>
    </w:p>
    <w:p>
      <w:pPr>
        <w:pStyle w:val="Subsection"/>
        <w:rPr>
          <w:snapToGrid w:val="0"/>
        </w:rPr>
      </w:pPr>
      <w:r>
        <w:rPr>
          <w:snapToGrid w:val="0"/>
        </w:rPr>
        <w:tab/>
        <w:t>(1)</w:t>
      </w:r>
      <w:r>
        <w:rPr>
          <w:snapToGrid w:val="0"/>
        </w:rPr>
        <w:tab/>
        <w:t>No farm milk tank which is not of an approved type and pattern shall be verified.</w:t>
      </w:r>
    </w:p>
    <w:p>
      <w:pPr>
        <w:pStyle w:val="Subsection"/>
        <w:rPr>
          <w:snapToGrid w:val="0"/>
        </w:rPr>
      </w:pPr>
      <w:r>
        <w:rPr>
          <w:snapToGrid w:val="0"/>
        </w:rPr>
        <w:tab/>
        <w:t>(2)</w:t>
      </w:r>
      <w:r>
        <w:rPr>
          <w:snapToGrid w:val="0"/>
        </w:rPr>
        <w:tab/>
        <w:t>Every farm milk tank shall have the maker’s name and serial number plainly, legibly, and prominently stamped on it.</w:t>
      </w:r>
    </w:p>
    <w:p>
      <w:pPr>
        <w:pStyle w:val="Subsection"/>
        <w:keepNext/>
        <w:rPr>
          <w:snapToGrid w:val="0"/>
        </w:rPr>
      </w:pPr>
      <w:r>
        <w:rPr>
          <w:snapToGrid w:val="0"/>
        </w:rPr>
        <w:tab/>
        <w:t>(3)</w:t>
      </w:r>
      <w:r>
        <w:rPr>
          <w:snapToGrid w:val="0"/>
        </w:rPr>
        <w:tab/>
        <w:t>The graduated scale provided for use with any farm milk tank shall be plainly and legibly stamped on — </w:t>
      </w:r>
    </w:p>
    <w:p>
      <w:pPr>
        <w:pStyle w:val="Indenta"/>
        <w:rPr>
          <w:snapToGrid w:val="0"/>
        </w:rPr>
      </w:pPr>
      <w:r>
        <w:rPr>
          <w:snapToGrid w:val="0"/>
        </w:rPr>
        <w:tab/>
        <w:t>(a)</w:t>
      </w:r>
      <w:r>
        <w:rPr>
          <w:snapToGrid w:val="0"/>
        </w:rPr>
        <w:tab/>
        <w:t>a metal dipstick having a dull finish designed to be read at the point where the surface of the liquid intersects with such dipstick; or</w:t>
      </w:r>
    </w:p>
    <w:p>
      <w:pPr>
        <w:pStyle w:val="Indenta"/>
        <w:rPr>
          <w:snapToGrid w:val="0"/>
        </w:rPr>
      </w:pPr>
      <w:r>
        <w:rPr>
          <w:snapToGrid w:val="0"/>
        </w:rPr>
        <w:tab/>
        <w:t>(b)</w:t>
      </w:r>
      <w:r>
        <w:rPr>
          <w:snapToGrid w:val="0"/>
        </w:rPr>
        <w:tab/>
        <w:t>a metal surface gauge rod designed to be read by reference to a fixed indicator when the end of such gauge rod is brought into contact with the surface of the liquid from above.</w:t>
      </w:r>
    </w:p>
    <w:p>
      <w:pPr>
        <w:pStyle w:val="Subsection"/>
        <w:rPr>
          <w:snapToGrid w:val="0"/>
        </w:rPr>
      </w:pPr>
      <w:r>
        <w:rPr>
          <w:snapToGrid w:val="0"/>
        </w:rPr>
        <w:tab/>
        <w:t>(4)</w:t>
      </w:r>
      <w:r>
        <w:rPr>
          <w:snapToGrid w:val="0"/>
        </w:rPr>
        <w:tab/>
        <w:t>Every dipstick or surface gauge rod shall be plainly and legibly stamped with the maker’s name and with the serial number corresponding with the serial number of the farm milk tank with which such dipstick or surface gauge rod is to be used.</w:t>
      </w:r>
    </w:p>
    <w:p>
      <w:pPr>
        <w:pStyle w:val="Subsection"/>
        <w:rPr>
          <w:snapToGrid w:val="0"/>
        </w:rPr>
      </w:pPr>
      <w:r>
        <w:rPr>
          <w:snapToGrid w:val="0"/>
        </w:rPr>
        <w:tab/>
        <w:t>(5)</w:t>
      </w:r>
      <w:r>
        <w:rPr>
          <w:snapToGrid w:val="0"/>
        </w:rPr>
        <w:tab/>
        <w:t>Suitable means shall be provided on every farm milk tank to ensure — </w:t>
      </w:r>
    </w:p>
    <w:p>
      <w:pPr>
        <w:pStyle w:val="Indenta"/>
        <w:rPr>
          <w:snapToGrid w:val="0"/>
        </w:rPr>
      </w:pPr>
      <w:r>
        <w:rPr>
          <w:snapToGrid w:val="0"/>
        </w:rPr>
        <w:tab/>
        <w:t>(a)</w:t>
      </w:r>
      <w:r>
        <w:rPr>
          <w:snapToGrid w:val="0"/>
        </w:rPr>
        <w:tab/>
        <w:t>that every dipstick or surface gauge rod when in use is suitably supported or otherwise held in position, so that a definite reading is readily obtained; and</w:t>
      </w:r>
    </w:p>
    <w:p>
      <w:pPr>
        <w:pStyle w:val="Indenta"/>
        <w:rPr>
          <w:snapToGrid w:val="0"/>
        </w:rPr>
      </w:pPr>
      <w:r>
        <w:rPr>
          <w:snapToGrid w:val="0"/>
        </w:rPr>
        <w:tab/>
        <w:t>(b)</w:t>
      </w:r>
      <w:r>
        <w:rPr>
          <w:snapToGrid w:val="0"/>
        </w:rPr>
        <w:tab/>
        <w:t>that it can be readily ascertained whether such farm milk tank is in a level position in relation to a suitable indicating device permanently attached thereto.</w:t>
      </w:r>
    </w:p>
    <w:p>
      <w:pPr>
        <w:pStyle w:val="Subsection"/>
        <w:rPr>
          <w:snapToGrid w:val="0"/>
        </w:rPr>
      </w:pPr>
      <w:r>
        <w:rPr>
          <w:snapToGrid w:val="0"/>
        </w:rPr>
        <w:tab/>
        <w:t>(6)</w:t>
      </w:r>
      <w:r>
        <w:rPr>
          <w:snapToGrid w:val="0"/>
        </w:rPr>
        <w:tab/>
        <w:t>Suitable means shall be provided to enable an inspector readily to stamp with a mark of verification every farm milk tank and the dipstick or surface gauge rod to be used therewith.</w:t>
      </w:r>
    </w:p>
    <w:p>
      <w:pPr>
        <w:pStyle w:val="Subsection"/>
        <w:rPr>
          <w:snapToGrid w:val="0"/>
        </w:rPr>
      </w:pPr>
      <w:r>
        <w:rPr>
          <w:snapToGrid w:val="0"/>
        </w:rPr>
        <w:tab/>
        <w:t>(7)</w:t>
      </w:r>
      <w:r>
        <w:rPr>
          <w:snapToGrid w:val="0"/>
        </w:rPr>
        <w:tab/>
        <w:t>A farm milk tank — </w:t>
      </w:r>
    </w:p>
    <w:p>
      <w:pPr>
        <w:pStyle w:val="Indenta"/>
        <w:rPr>
          <w:snapToGrid w:val="0"/>
        </w:rPr>
      </w:pPr>
      <w:r>
        <w:rPr>
          <w:snapToGrid w:val="0"/>
        </w:rPr>
        <w:tab/>
        <w:t>(a)</w:t>
      </w:r>
      <w:r>
        <w:rPr>
          <w:snapToGrid w:val="0"/>
        </w:rPr>
        <w:tab/>
        <w:t>shall be of such strength and construction as not to be liable to become distorted during transport, erection or use;</w:t>
      </w:r>
    </w:p>
    <w:p>
      <w:pPr>
        <w:pStyle w:val="Indenta"/>
        <w:rPr>
          <w:snapToGrid w:val="0"/>
        </w:rPr>
      </w:pPr>
      <w:r>
        <w:rPr>
          <w:snapToGrid w:val="0"/>
        </w:rPr>
        <w:tab/>
        <w:t>(b)</w:t>
      </w:r>
      <w:r>
        <w:rPr>
          <w:snapToGrid w:val="0"/>
        </w:rPr>
        <w:tab/>
        <w:t>shall be provided with a discharge valve through which such tank may be effectively and completely emptied when such tank is level; and</w:t>
      </w:r>
    </w:p>
    <w:p>
      <w:pPr>
        <w:pStyle w:val="Indenta"/>
        <w:rPr>
          <w:snapToGrid w:val="0"/>
        </w:rPr>
      </w:pPr>
      <w:r>
        <w:rPr>
          <w:snapToGrid w:val="0"/>
        </w:rPr>
        <w:tab/>
        <w:t>(c)</w:t>
      </w:r>
      <w:r>
        <w:rPr>
          <w:snapToGrid w:val="0"/>
        </w:rPr>
        <w:tab/>
        <w:t>shall be permanently fixed in the position of use unless — </w:t>
      </w:r>
    </w:p>
    <w:p>
      <w:pPr>
        <w:pStyle w:val="Indenti"/>
        <w:rPr>
          <w:snapToGrid w:val="0"/>
        </w:rPr>
      </w:pPr>
      <w:r>
        <w:rPr>
          <w:snapToGrid w:val="0"/>
        </w:rPr>
        <w:tab/>
        <w:t>(i)</w:t>
      </w:r>
      <w:r>
        <w:rPr>
          <w:snapToGrid w:val="0"/>
        </w:rPr>
        <w:tab/>
        <w:t>of symmetrical form, approved for such purpose when viewed in plain; and</w:t>
      </w:r>
    </w:p>
    <w:p>
      <w:pPr>
        <w:pStyle w:val="Indenti"/>
        <w:rPr>
          <w:snapToGrid w:val="0"/>
        </w:rPr>
      </w:pPr>
      <w:r>
        <w:rPr>
          <w:snapToGrid w:val="0"/>
        </w:rPr>
        <w:tab/>
        <w:t>(ii)</w:t>
      </w:r>
      <w:r>
        <w:rPr>
          <w:snapToGrid w:val="0"/>
        </w:rPr>
        <w:tab/>
        <w:t>having the dipstick or surface gauge rod mounted centrally in such farm milk tank, when in the position in which readings are to be taken.</w:t>
      </w:r>
    </w:p>
    <w:p>
      <w:pPr>
        <w:pStyle w:val="Subsection"/>
        <w:rPr>
          <w:snapToGrid w:val="0"/>
        </w:rPr>
      </w:pPr>
      <w:r>
        <w:rPr>
          <w:snapToGrid w:val="0"/>
        </w:rPr>
        <w:tab/>
        <w:t>(8)</w:t>
      </w:r>
      <w:r>
        <w:rPr>
          <w:snapToGrid w:val="0"/>
        </w:rPr>
        <w:tab/>
        <w:t>Notwithstanding the provisions of subregulation (7) a farm milk tank need not be permanently fixed in the position of use if it is provided with approved means of adjustment of level.</w:t>
      </w:r>
    </w:p>
    <w:p>
      <w:pPr>
        <w:pStyle w:val="Subsection"/>
        <w:rPr>
          <w:snapToGrid w:val="0"/>
        </w:rPr>
      </w:pPr>
      <w:r>
        <w:rPr>
          <w:snapToGrid w:val="0"/>
        </w:rPr>
        <w:tab/>
        <w:t>(9)</w:t>
      </w:r>
      <w:r>
        <w:rPr>
          <w:snapToGrid w:val="0"/>
        </w:rPr>
        <w:tab/>
        <w:t>The dipstick or surface gauge rod of any farm milk tank may be graduated in terms of either — </w:t>
      </w:r>
    </w:p>
    <w:p>
      <w:pPr>
        <w:pStyle w:val="Indenta"/>
        <w:rPr>
          <w:snapToGrid w:val="0"/>
        </w:rPr>
      </w:pPr>
      <w:r>
        <w:rPr>
          <w:snapToGrid w:val="0"/>
        </w:rPr>
        <w:tab/>
        <w:t>(a)</w:t>
      </w:r>
      <w:r>
        <w:rPr>
          <w:snapToGrid w:val="0"/>
        </w:rPr>
        <w:tab/>
        <w:t>gallons; or</w:t>
      </w:r>
    </w:p>
    <w:p>
      <w:pPr>
        <w:pStyle w:val="Indenta"/>
        <w:rPr>
          <w:snapToGrid w:val="0"/>
        </w:rPr>
      </w:pPr>
      <w:r>
        <w:rPr>
          <w:snapToGrid w:val="0"/>
        </w:rPr>
        <w:tab/>
        <w:t>(b)</w:t>
      </w:r>
      <w:r>
        <w:rPr>
          <w:snapToGrid w:val="0"/>
        </w:rPr>
        <w:tab/>
        <w:t>if such instrument is plainly and legibly and prominently stamped “For use in Measuring Cow’s Milk Only”, pounds and in which case one gallon of milk shall be deemed to weigh 10.32 pounds.</w:t>
      </w:r>
    </w:p>
    <w:p>
      <w:pPr>
        <w:pStyle w:val="Subsection"/>
        <w:spacing w:after="80"/>
        <w:rPr>
          <w:snapToGrid w:val="0"/>
        </w:rPr>
      </w:pPr>
      <w:r>
        <w:rPr>
          <w:snapToGrid w:val="0"/>
        </w:rPr>
        <w:tab/>
        <w:t>(10)</w:t>
      </w:r>
      <w:r>
        <w:rPr>
          <w:snapToGrid w:val="0"/>
        </w:rPr>
        <w:tab/>
        <w:t>The interval between any 2 adjacent graduations of any dipstick or surface gauge rod shall not be less than 1/16th of one inch and shall correspond with maximum quantities of liquid in accordance with the following table — </w:t>
      </w:r>
    </w:p>
    <w:tbl>
      <w:tblPr>
        <w:tblW w:w="0" w:type="auto"/>
        <w:jc w:val="center"/>
        <w:tblBorders>
          <w:top w:val="single" w:sz="4" w:space="0" w:color="auto"/>
          <w:bottom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630"/>
        <w:gridCol w:w="1914"/>
        <w:gridCol w:w="1984"/>
      </w:tblGrid>
      <w:tr>
        <w:trPr>
          <w:jc w:val="center"/>
        </w:trPr>
        <w:tc>
          <w:tcPr>
            <w:tcW w:w="1418" w:type="dxa"/>
            <w:tcBorders>
              <w:bottom w:val="nil"/>
            </w:tcBorders>
          </w:tcPr>
          <w:p>
            <w:pPr>
              <w:pStyle w:val="Table"/>
              <w:keepNext/>
              <w:spacing w:line="240" w:lineRule="auto"/>
              <w:jc w:val="center"/>
              <w:rPr>
                <w:b/>
                <w:sz w:val="16"/>
              </w:rPr>
            </w:pPr>
            <w:r>
              <w:rPr>
                <w:b/>
                <w:sz w:val="16"/>
              </w:rPr>
              <w:t>Capacity when denominated in terms of gallons</w:t>
            </w:r>
          </w:p>
        </w:tc>
        <w:tc>
          <w:tcPr>
            <w:tcW w:w="1630" w:type="dxa"/>
            <w:tcBorders>
              <w:bottom w:val="nil"/>
            </w:tcBorders>
          </w:tcPr>
          <w:p>
            <w:pPr>
              <w:pStyle w:val="Table"/>
              <w:keepNext/>
              <w:spacing w:line="240" w:lineRule="auto"/>
              <w:jc w:val="center"/>
              <w:rPr>
                <w:b/>
                <w:sz w:val="16"/>
              </w:rPr>
            </w:pPr>
            <w:r>
              <w:rPr>
                <w:b/>
                <w:sz w:val="16"/>
              </w:rPr>
              <w:t>Maximum quantity of liquid corresponding to interval between any 2 adjacent graduation marks</w:t>
            </w:r>
          </w:p>
        </w:tc>
        <w:tc>
          <w:tcPr>
            <w:tcW w:w="1914" w:type="dxa"/>
            <w:tcBorders>
              <w:bottom w:val="nil"/>
            </w:tcBorders>
          </w:tcPr>
          <w:p>
            <w:pPr>
              <w:pStyle w:val="Table"/>
              <w:keepNext/>
              <w:spacing w:line="240" w:lineRule="auto"/>
              <w:jc w:val="center"/>
              <w:rPr>
                <w:b/>
                <w:sz w:val="16"/>
              </w:rPr>
            </w:pPr>
            <w:r>
              <w:rPr>
                <w:b/>
                <w:sz w:val="16"/>
              </w:rPr>
              <w:t>Capacity when denominated in terms of pounds of milk</w:t>
            </w:r>
          </w:p>
        </w:tc>
        <w:tc>
          <w:tcPr>
            <w:tcW w:w="1984" w:type="dxa"/>
            <w:tcBorders>
              <w:bottom w:val="nil"/>
            </w:tcBorders>
          </w:tcPr>
          <w:p>
            <w:pPr>
              <w:pStyle w:val="Table"/>
              <w:keepNext/>
              <w:spacing w:line="240" w:lineRule="auto"/>
              <w:jc w:val="center"/>
              <w:rPr>
                <w:b/>
                <w:sz w:val="16"/>
              </w:rPr>
            </w:pPr>
            <w:r>
              <w:rPr>
                <w:b/>
                <w:sz w:val="16"/>
              </w:rPr>
              <w:t>Maximum weight of milk corresponding to interval between any 2 adjacent graduation marks</w:t>
            </w:r>
          </w:p>
        </w:tc>
      </w:tr>
      <w:tr>
        <w:trPr>
          <w:jc w:val="center"/>
        </w:trPr>
        <w:tc>
          <w:tcPr>
            <w:tcW w:w="1418" w:type="dxa"/>
            <w:tcBorders>
              <w:bottom w:val="nil"/>
            </w:tcBorders>
          </w:tcPr>
          <w:p>
            <w:pPr>
              <w:pStyle w:val="Table"/>
              <w:spacing w:line="240" w:lineRule="auto"/>
              <w:jc w:val="center"/>
              <w:rPr>
                <w:sz w:val="16"/>
              </w:rPr>
            </w:pPr>
            <w:r>
              <w:rPr>
                <w:sz w:val="16"/>
              </w:rPr>
              <w:t>Not over 200 gallons</w:t>
            </w:r>
          </w:p>
        </w:tc>
        <w:tc>
          <w:tcPr>
            <w:tcW w:w="1630" w:type="dxa"/>
            <w:tcBorders>
              <w:bottom w:val="nil"/>
            </w:tcBorders>
          </w:tcPr>
          <w:p>
            <w:pPr>
              <w:pStyle w:val="Table"/>
              <w:spacing w:line="240" w:lineRule="auto"/>
              <w:jc w:val="center"/>
              <w:rPr>
                <w:sz w:val="16"/>
              </w:rPr>
            </w:pPr>
            <w:r>
              <w:rPr>
                <w:sz w:val="16"/>
              </w:rPr>
              <w:t>½ gallon</w:t>
            </w:r>
          </w:p>
        </w:tc>
        <w:tc>
          <w:tcPr>
            <w:tcW w:w="1914" w:type="dxa"/>
            <w:tcBorders>
              <w:bottom w:val="nil"/>
            </w:tcBorders>
          </w:tcPr>
          <w:p>
            <w:pPr>
              <w:pStyle w:val="Table"/>
              <w:spacing w:line="240" w:lineRule="auto"/>
              <w:jc w:val="center"/>
              <w:rPr>
                <w:sz w:val="16"/>
              </w:rPr>
            </w:pPr>
            <w:r>
              <w:rPr>
                <w:sz w:val="16"/>
              </w:rPr>
              <w:t>Not over 2,000 lb.</w:t>
            </w:r>
          </w:p>
        </w:tc>
        <w:tc>
          <w:tcPr>
            <w:tcW w:w="1984" w:type="dxa"/>
            <w:tcBorders>
              <w:bottom w:val="nil"/>
            </w:tcBorders>
          </w:tcPr>
          <w:p>
            <w:pPr>
              <w:pStyle w:val="Table"/>
              <w:spacing w:line="240" w:lineRule="auto"/>
              <w:jc w:val="center"/>
              <w:rPr>
                <w:sz w:val="16"/>
              </w:rPr>
            </w:pPr>
            <w:r>
              <w:rPr>
                <w:sz w:val="16"/>
              </w:rPr>
              <w:t>5 lb.</w:t>
            </w:r>
          </w:p>
        </w:tc>
      </w:tr>
      <w:tr>
        <w:trPr>
          <w:jc w:val="center"/>
        </w:trPr>
        <w:tc>
          <w:tcPr>
            <w:tcW w:w="1418" w:type="dxa"/>
            <w:tcBorders>
              <w:top w:val="nil"/>
            </w:tcBorders>
          </w:tcPr>
          <w:p>
            <w:pPr>
              <w:pStyle w:val="Table"/>
              <w:spacing w:line="240" w:lineRule="auto"/>
              <w:jc w:val="center"/>
              <w:rPr>
                <w:sz w:val="16"/>
              </w:rPr>
            </w:pPr>
            <w:r>
              <w:rPr>
                <w:sz w:val="16"/>
              </w:rPr>
              <w:t>Over 200 gallons</w:t>
            </w:r>
          </w:p>
        </w:tc>
        <w:tc>
          <w:tcPr>
            <w:tcW w:w="1630" w:type="dxa"/>
            <w:tcBorders>
              <w:top w:val="nil"/>
            </w:tcBorders>
          </w:tcPr>
          <w:p>
            <w:pPr>
              <w:pStyle w:val="Table"/>
              <w:spacing w:line="240" w:lineRule="auto"/>
              <w:jc w:val="center"/>
              <w:rPr>
                <w:sz w:val="16"/>
              </w:rPr>
            </w:pPr>
            <w:r>
              <w:rPr>
                <w:sz w:val="16"/>
              </w:rPr>
              <w:t>1 gallon for every 500 gallons or part thereof</w:t>
            </w:r>
          </w:p>
        </w:tc>
        <w:tc>
          <w:tcPr>
            <w:tcW w:w="1914" w:type="dxa"/>
            <w:tcBorders>
              <w:top w:val="nil"/>
            </w:tcBorders>
          </w:tcPr>
          <w:p>
            <w:pPr>
              <w:pStyle w:val="Table"/>
              <w:spacing w:line="240" w:lineRule="auto"/>
              <w:jc w:val="center"/>
              <w:rPr>
                <w:sz w:val="16"/>
              </w:rPr>
            </w:pPr>
            <w:r>
              <w:rPr>
                <w:sz w:val="16"/>
              </w:rPr>
              <w:t>Over 2,000 lb.</w:t>
            </w:r>
          </w:p>
        </w:tc>
        <w:tc>
          <w:tcPr>
            <w:tcW w:w="1984" w:type="dxa"/>
            <w:tcBorders>
              <w:top w:val="nil"/>
            </w:tcBorders>
          </w:tcPr>
          <w:p>
            <w:pPr>
              <w:pStyle w:val="Table"/>
              <w:spacing w:line="240" w:lineRule="auto"/>
              <w:jc w:val="center"/>
              <w:rPr>
                <w:sz w:val="16"/>
              </w:rPr>
            </w:pPr>
            <w:r>
              <w:rPr>
                <w:sz w:val="16"/>
              </w:rPr>
              <w:t xml:space="preserve">10 lb. for every </w:t>
            </w:r>
          </w:p>
          <w:p>
            <w:pPr>
              <w:pStyle w:val="Table"/>
              <w:spacing w:before="0" w:line="240" w:lineRule="auto"/>
              <w:jc w:val="center"/>
              <w:rPr>
                <w:sz w:val="16"/>
              </w:rPr>
            </w:pPr>
            <w:r>
              <w:rPr>
                <w:sz w:val="16"/>
              </w:rPr>
              <w:t>5,000 lb. or part thereof</w:t>
            </w:r>
          </w:p>
        </w:tc>
      </w:tr>
    </w:tbl>
    <w:p>
      <w:pPr>
        <w:pStyle w:val="Subsection"/>
        <w:rPr>
          <w:snapToGrid w:val="0"/>
        </w:rPr>
      </w:pPr>
      <w:r>
        <w:rPr>
          <w:snapToGrid w:val="0"/>
        </w:rPr>
        <w:tab/>
        <w:t>(11)</w:t>
      </w:r>
      <w:r>
        <w:rPr>
          <w:snapToGrid w:val="0"/>
        </w:rPr>
        <w:tab/>
        <w:t>A farm milk tank, on verifications, shall be tested at its capacity and at not less than 4 other points.</w:t>
      </w:r>
    </w:p>
    <w:p>
      <w:pPr>
        <w:pStyle w:val="Subsection"/>
        <w:rPr>
          <w:snapToGrid w:val="0"/>
        </w:rPr>
      </w:pPr>
      <w:r>
        <w:rPr>
          <w:snapToGrid w:val="0"/>
        </w:rPr>
        <w:tab/>
        <w:t>(12)</w:t>
      </w:r>
      <w:r>
        <w:rPr>
          <w:snapToGrid w:val="0"/>
        </w:rPr>
        <w:tab/>
        <w:t>In any test, on verification or inspection, on the capacity corresponding to any graduation on the dipstick or surface gauge rod provided for use with any farm milk tank either — </w:t>
      </w:r>
    </w:p>
    <w:p>
      <w:pPr>
        <w:pStyle w:val="Indenta"/>
        <w:rPr>
          <w:snapToGrid w:val="0"/>
        </w:rPr>
      </w:pPr>
      <w:r>
        <w:rPr>
          <w:snapToGrid w:val="0"/>
        </w:rPr>
        <w:tab/>
        <w:t>(a)</w:t>
      </w:r>
      <w:r>
        <w:rPr>
          <w:snapToGrid w:val="0"/>
        </w:rPr>
        <w:tab/>
        <w:t>the quantity of water delivered from such farm milk tank shall be determined; or</w:t>
      </w:r>
    </w:p>
    <w:p>
      <w:pPr>
        <w:pStyle w:val="Indenta"/>
        <w:rPr>
          <w:snapToGrid w:val="0"/>
        </w:rPr>
      </w:pPr>
      <w:r>
        <w:rPr>
          <w:snapToGrid w:val="0"/>
        </w:rPr>
        <w:tab/>
        <w:t>(b)</w:t>
      </w:r>
      <w:r>
        <w:rPr>
          <w:snapToGrid w:val="0"/>
        </w:rPr>
        <w:tab/>
        <w:t>the tank — </w:t>
      </w:r>
    </w:p>
    <w:p>
      <w:pPr>
        <w:pStyle w:val="Indenti"/>
        <w:rPr>
          <w:snapToGrid w:val="0"/>
        </w:rPr>
      </w:pPr>
      <w:r>
        <w:rPr>
          <w:snapToGrid w:val="0"/>
        </w:rPr>
        <w:tab/>
        <w:t>(i)</w:t>
      </w:r>
      <w:r>
        <w:rPr>
          <w:snapToGrid w:val="0"/>
        </w:rPr>
        <w:tab/>
        <w:t>shall have its interior surfaces thoroughly wetted with water; and</w:t>
      </w:r>
    </w:p>
    <w:p>
      <w:pPr>
        <w:pStyle w:val="Indenti"/>
        <w:rPr>
          <w:snapToGrid w:val="0"/>
        </w:rPr>
      </w:pPr>
      <w:r>
        <w:rPr>
          <w:snapToGrid w:val="0"/>
        </w:rPr>
        <w:tab/>
        <w:t>(ii)</w:t>
      </w:r>
      <w:r>
        <w:rPr>
          <w:snapToGrid w:val="0"/>
        </w:rPr>
        <w:tab/>
        <w:t xml:space="preserve">shall have such water removed through the discharge valve of such tank followed by drainage of the tank, for 30 seconds after the continuous flow of water has ceased, before testing of such tank by transferring water into it is commenced. </w:t>
      </w:r>
    </w:p>
    <w:p>
      <w:pPr>
        <w:pStyle w:val="Subsection"/>
        <w:rPr>
          <w:snapToGrid w:val="0"/>
        </w:rPr>
      </w:pPr>
      <w:r>
        <w:rPr>
          <w:snapToGrid w:val="0"/>
        </w:rPr>
        <w:tab/>
        <w:t>(13)</w:t>
      </w:r>
      <w:r>
        <w:rPr>
          <w:snapToGrid w:val="0"/>
        </w:rPr>
        <w:tab/>
        <w:t>Tolerances on farm milk tanks (whether or not means are provided for cooling liquid in those tanks) on verification shall be as specified in Table V.</w:t>
      </w:r>
    </w:p>
    <w:p>
      <w:pPr>
        <w:pStyle w:val="Footnotesection"/>
      </w:pPr>
      <w:r>
        <w:tab/>
        <w:t>[Regulation 47A inserted in Gazette 23 May 1960 p. 1396</w:t>
      </w:r>
      <w:r>
        <w:noBreakHyphen/>
        <w:t xml:space="preserve">7.] </w:t>
      </w:r>
    </w:p>
    <w:p>
      <w:pPr>
        <w:pStyle w:val="MiscellaneousHeading"/>
        <w:outlineLvl w:val="0"/>
        <w:rPr>
          <w:b/>
          <w:snapToGrid w:val="0"/>
        </w:rPr>
      </w:pPr>
      <w:r>
        <w:rPr>
          <w:b/>
          <w:snapToGrid w:val="0"/>
        </w:rPr>
        <w:t>Weighing instruments</w:t>
      </w:r>
    </w:p>
    <w:p>
      <w:pPr>
        <w:pStyle w:val="MiscellaneousHeading"/>
        <w:rPr>
          <w:b/>
          <w:snapToGrid w:val="0"/>
        </w:rPr>
      </w:pPr>
      <w:r>
        <w:rPr>
          <w:b/>
          <w:snapToGrid w:val="0"/>
        </w:rPr>
        <w:t>General</w:t>
      </w:r>
    </w:p>
    <w:p>
      <w:pPr>
        <w:pStyle w:val="Heading5"/>
        <w:rPr>
          <w:snapToGrid w:val="0"/>
        </w:rPr>
      </w:pPr>
      <w:bookmarkStart w:id="65" w:name="_Toc390077090"/>
      <w:r>
        <w:rPr>
          <w:rStyle w:val="CharSectno"/>
        </w:rPr>
        <w:t>48</w:t>
      </w:r>
      <w:r>
        <w:rPr>
          <w:snapToGrid w:val="0"/>
        </w:rPr>
        <w:t>.</w:t>
      </w:r>
      <w:r>
        <w:rPr>
          <w:snapToGrid w:val="0"/>
        </w:rPr>
        <w:tab/>
        <w:t>Weighing instruments generally</w:t>
      </w:r>
      <w:bookmarkEnd w:id="65"/>
    </w:p>
    <w:p>
      <w:pPr>
        <w:pStyle w:val="Subsection"/>
        <w:rPr>
          <w:snapToGrid w:val="0"/>
        </w:rPr>
      </w:pPr>
      <w:r>
        <w:rPr>
          <w:snapToGrid w:val="0"/>
        </w:rPr>
        <w:tab/>
      </w:r>
      <w:r>
        <w:rPr>
          <w:snapToGrid w:val="0"/>
        </w:rPr>
        <w:tab/>
        <w:t>A weighing instrument shall — </w:t>
      </w:r>
    </w:p>
    <w:p>
      <w:pPr>
        <w:pStyle w:val="Indenta"/>
        <w:rPr>
          <w:snapToGrid w:val="0"/>
        </w:rPr>
      </w:pPr>
      <w:r>
        <w:rPr>
          <w:snapToGrid w:val="0"/>
        </w:rPr>
        <w:tab/>
        <w:t>(a)</w:t>
      </w:r>
      <w:r>
        <w:rPr>
          <w:snapToGrid w:val="0"/>
        </w:rPr>
        <w:tab/>
        <w:t>have its capacity legibly cast, stamped, or engraved on some prominent and essential part in the following form, for example, “To weight      lb.” or “Capacity,       cwt.”:</w:t>
      </w:r>
    </w:p>
    <w:p>
      <w:pPr>
        <w:pStyle w:val="Indenta"/>
        <w:rPr>
          <w:snapToGrid w:val="0"/>
        </w:rPr>
      </w:pPr>
      <w:r>
        <w:rPr>
          <w:snapToGrid w:val="0"/>
        </w:rPr>
        <w:tab/>
      </w:r>
      <w:r>
        <w:rPr>
          <w:snapToGrid w:val="0"/>
        </w:rPr>
        <w:tab/>
        <w:t>Provided this shall not apply to an instrument which indicates wholly on a steelyard or on a dial or quadrant or combination of such devices which clearly shows the full capacity, or to instruments in use prior to 1 January 1928 if the capacity is marked in any other manner approved by the Chief Inspector;</w:t>
      </w:r>
    </w:p>
    <w:p>
      <w:pPr>
        <w:pStyle w:val="Indenta"/>
        <w:rPr>
          <w:snapToGrid w:val="0"/>
        </w:rPr>
      </w:pPr>
      <w:r>
        <w:rPr>
          <w:snapToGrid w:val="0"/>
        </w:rPr>
        <w:tab/>
        <w:t>(b)</w:t>
      </w:r>
      <w:r>
        <w:rPr>
          <w:snapToGrid w:val="0"/>
        </w:rPr>
        <w:tab/>
        <w:t>have the maker’s name legibly cast, stamped, or engraved or otherwise marked thereon in a manner approved by the Chief Inspector;</w:t>
      </w:r>
    </w:p>
    <w:p>
      <w:pPr>
        <w:pStyle w:val="Indenta"/>
        <w:rPr>
          <w:snapToGrid w:val="0"/>
        </w:rPr>
      </w:pPr>
      <w:r>
        <w:rPr>
          <w:snapToGrid w:val="0"/>
        </w:rPr>
        <w:tab/>
        <w:t>(c)</w:t>
      </w:r>
      <w:r>
        <w:rPr>
          <w:snapToGrid w:val="0"/>
        </w:rPr>
        <w:tab/>
        <w:t>have the maker’s consecutive number legibly cast, stamped or engraved on the beam or other prominent and essential part:</w:t>
      </w:r>
    </w:p>
    <w:p>
      <w:pPr>
        <w:pStyle w:val="Indenta"/>
        <w:rPr>
          <w:snapToGrid w:val="0"/>
        </w:rPr>
      </w:pPr>
      <w:r>
        <w:rPr>
          <w:snapToGrid w:val="0"/>
        </w:rPr>
        <w:tab/>
      </w:r>
      <w:r>
        <w:rPr>
          <w:snapToGrid w:val="0"/>
        </w:rPr>
        <w:tab/>
        <w:t>Provided that this clause shall not apply to counter scales other than the self</w:t>
      </w:r>
      <w:r>
        <w:rPr>
          <w:snapToGrid w:val="0"/>
        </w:rPr>
        <w:noBreakHyphen/>
        <w:t>indicating type or to beam scales, or to instruments in use prior to the date of the regulations;</w:t>
      </w:r>
    </w:p>
    <w:p>
      <w:pPr>
        <w:pStyle w:val="Indenta"/>
        <w:rPr>
          <w:snapToGrid w:val="0"/>
        </w:rPr>
      </w:pPr>
      <w:r>
        <w:rPr>
          <w:snapToGrid w:val="0"/>
        </w:rPr>
        <w:tab/>
      </w:r>
      <w:r>
        <w:rPr>
          <w:snapToGrid w:val="0"/>
        </w:rPr>
        <w:tab/>
        <w:t>(Stamping or engraving on a plate suitably secured by driven screws of hard steel will meet the requirements of clauses (a), (b), and (c).)</w:t>
      </w:r>
    </w:p>
    <w:p>
      <w:pPr>
        <w:pStyle w:val="Indenta"/>
        <w:rPr>
          <w:snapToGrid w:val="0"/>
        </w:rPr>
      </w:pPr>
      <w:r>
        <w:rPr>
          <w:snapToGrid w:val="0"/>
        </w:rPr>
        <w:tab/>
        <w:t>(d)</w:t>
      </w:r>
      <w:r>
        <w:rPr>
          <w:snapToGrid w:val="0"/>
        </w:rPr>
        <w:tab/>
        <w:t>have a stamping plug of soft lead which shall — </w:t>
      </w:r>
    </w:p>
    <w:p>
      <w:pPr>
        <w:pStyle w:val="Indenti"/>
        <w:rPr>
          <w:snapToGrid w:val="0"/>
        </w:rPr>
      </w:pPr>
      <w:r>
        <w:rPr>
          <w:snapToGrid w:val="0"/>
        </w:rPr>
        <w:tab/>
        <w:t>(1)</w:t>
      </w:r>
      <w:r>
        <w:rPr>
          <w:snapToGrid w:val="0"/>
        </w:rPr>
        <w:tab/>
        <w:t>be not less than 5/8 in. in diameter unless precluded by the small size of the instrument or its parts, or by any other reason which the Chief Inspector deems sufficient;</w:t>
      </w:r>
    </w:p>
    <w:p>
      <w:pPr>
        <w:pStyle w:val="Indenti"/>
        <w:rPr>
          <w:snapToGrid w:val="0"/>
        </w:rPr>
      </w:pPr>
      <w:r>
        <w:rPr>
          <w:snapToGrid w:val="0"/>
        </w:rPr>
        <w:tab/>
        <w:t>(2)</w:t>
      </w:r>
      <w:r>
        <w:rPr>
          <w:snapToGrid w:val="0"/>
        </w:rPr>
        <w:tab/>
        <w:t>be securely and firmly set down in an undercut hole below the surface of such hole:</w:t>
      </w:r>
    </w:p>
    <w:p>
      <w:pPr>
        <w:pStyle w:val="Indenti"/>
        <w:rPr>
          <w:snapToGrid w:val="0"/>
        </w:rPr>
      </w:pPr>
      <w:r>
        <w:rPr>
          <w:snapToGrid w:val="0"/>
        </w:rPr>
        <w:tab/>
      </w:r>
      <w:r>
        <w:rPr>
          <w:snapToGrid w:val="0"/>
        </w:rPr>
        <w:tab/>
        <w:t>Provided that if owing to the construction of such instrument this is impracticable, the plug shall be made irremovable in some other manner, approved by the Chief Inspector;</w:t>
      </w:r>
    </w:p>
    <w:p>
      <w:pPr>
        <w:pStyle w:val="Indenti"/>
        <w:rPr>
          <w:snapToGrid w:val="0"/>
        </w:rPr>
      </w:pPr>
      <w:r>
        <w:rPr>
          <w:snapToGrid w:val="0"/>
        </w:rPr>
        <w:tab/>
        <w:t>(3)</w:t>
      </w:r>
      <w:r>
        <w:rPr>
          <w:snapToGrid w:val="0"/>
        </w:rPr>
        <w:tab/>
        <w:t>have a clean and even surface:</w:t>
      </w:r>
    </w:p>
    <w:p>
      <w:pPr>
        <w:pStyle w:val="Indenti"/>
        <w:rPr>
          <w:snapToGrid w:val="0"/>
        </w:rPr>
      </w:pPr>
      <w:r>
        <w:rPr>
          <w:snapToGrid w:val="0"/>
        </w:rPr>
        <w:tab/>
      </w:r>
      <w:r>
        <w:rPr>
          <w:snapToGrid w:val="0"/>
        </w:rPr>
        <w:tab/>
        <w:t>Provided that in small diamond, chemical, and assay balances in which the provision of a plug is impracticable, the stamp may be impressed on the pans or other suitable part or on a suitable wired seal;</w:t>
      </w:r>
    </w:p>
    <w:p>
      <w:pPr>
        <w:pStyle w:val="Indenta"/>
        <w:rPr>
          <w:snapToGrid w:val="0"/>
        </w:rPr>
      </w:pPr>
      <w:r>
        <w:rPr>
          <w:snapToGrid w:val="0"/>
        </w:rPr>
        <w:tab/>
        <w:t>(e)</w:t>
      </w:r>
      <w:r>
        <w:rPr>
          <w:snapToGrid w:val="0"/>
        </w:rPr>
        <w:tab/>
        <w:t>when constructed on the knife edge principle — </w:t>
      </w:r>
    </w:p>
    <w:p>
      <w:pPr>
        <w:pStyle w:val="Indenti"/>
        <w:rPr>
          <w:snapToGrid w:val="0"/>
        </w:rPr>
      </w:pPr>
      <w:r>
        <w:rPr>
          <w:snapToGrid w:val="0"/>
        </w:rPr>
        <w:tab/>
        <w:t>(1)</w:t>
      </w:r>
      <w:r>
        <w:rPr>
          <w:snapToGrid w:val="0"/>
        </w:rPr>
        <w:tab/>
        <w:t>have the knife edges and bearings of steel sufficiently hard to resist the action of a smooth file, or of agate, and so fitted as to bear practically upon the whole length of their working parts;</w:t>
      </w:r>
    </w:p>
    <w:p>
      <w:pPr>
        <w:pStyle w:val="Indenti"/>
        <w:rPr>
          <w:snapToGrid w:val="0"/>
        </w:rPr>
      </w:pPr>
      <w:r>
        <w:rPr>
          <w:snapToGrid w:val="0"/>
        </w:rPr>
        <w:tab/>
        <w:t>(2)</w:t>
      </w:r>
      <w:r>
        <w:rPr>
          <w:snapToGrid w:val="0"/>
        </w:rPr>
        <w:tab/>
        <w:t>have the knife edge shanks so shaped or secured as to prevent rotation in their sockets:</w:t>
      </w:r>
    </w:p>
    <w:p>
      <w:pPr>
        <w:pStyle w:val="Indenti"/>
        <w:rPr>
          <w:snapToGrid w:val="0"/>
        </w:rPr>
      </w:pPr>
      <w:r>
        <w:rPr>
          <w:snapToGrid w:val="0"/>
        </w:rPr>
        <w:tab/>
      </w:r>
      <w:r>
        <w:rPr>
          <w:snapToGrid w:val="0"/>
        </w:rPr>
        <w:tab/>
        <w:t>Provided this shall not apply until 1 January 1928 and shall not thereafter preclude the restamping of instruments stamped prior to such date if the knife edge shanks are firmly and securely fitted;</w:t>
      </w:r>
    </w:p>
    <w:p>
      <w:pPr>
        <w:pStyle w:val="Indenti"/>
        <w:rPr>
          <w:snapToGrid w:val="0"/>
        </w:rPr>
      </w:pPr>
      <w:r>
        <w:rPr>
          <w:snapToGrid w:val="0"/>
        </w:rPr>
        <w:tab/>
        <w:t>(3)</w:t>
      </w:r>
      <w:r>
        <w:rPr>
          <w:snapToGrid w:val="0"/>
        </w:rPr>
        <w:tab/>
        <w:t>have suitable friction points at each bearing unless so constructed that such points are unnecessary, and such points shall be so formed as to reduce friction to a minimum.</w:t>
      </w:r>
    </w:p>
    <w:p>
      <w:pPr>
        <w:pStyle w:val="Indenti"/>
        <w:rPr>
          <w:snapToGrid w:val="0"/>
        </w:rPr>
      </w:pPr>
      <w:r>
        <w:rPr>
          <w:snapToGrid w:val="0"/>
        </w:rPr>
        <w:tab/>
      </w:r>
      <w:r>
        <w:rPr>
          <w:snapToGrid w:val="0"/>
        </w:rPr>
        <w:tab/>
        <w:t>(When plates or caps are used to limit the movement of a knife edge the parts of such plates or caps which are liable to come into contact with the knife edge shall be of steel sufficiently hard to resist the action of a smooth file, or of agate.)</w:t>
      </w:r>
    </w:p>
    <w:p>
      <w:pPr>
        <w:pStyle w:val="Indenta"/>
        <w:rPr>
          <w:snapToGrid w:val="0"/>
        </w:rPr>
      </w:pPr>
      <w:r>
        <w:rPr>
          <w:snapToGrid w:val="0"/>
        </w:rPr>
        <w:tab/>
        <w:t>(f)</w:t>
      </w:r>
      <w:r>
        <w:rPr>
          <w:snapToGrid w:val="0"/>
        </w:rPr>
        <w:tab/>
        <w:t>have any steelyard, lever or beam so fitted as to preclude excessive lateral play;</w:t>
      </w:r>
    </w:p>
    <w:p>
      <w:pPr>
        <w:pStyle w:val="Indenta"/>
        <w:rPr>
          <w:snapToGrid w:val="0"/>
        </w:rPr>
      </w:pPr>
      <w:r>
        <w:rPr>
          <w:snapToGrid w:val="0"/>
        </w:rPr>
        <w:tab/>
        <w:t>(g)</w:t>
      </w:r>
      <w:r>
        <w:rPr>
          <w:snapToGrid w:val="0"/>
        </w:rPr>
        <w:tab/>
        <w:t>when the steelyard is of iron or steel have a non</w:t>
      </w:r>
      <w:r>
        <w:rPr>
          <w:snapToGrid w:val="0"/>
        </w:rPr>
        <w:noBreakHyphen/>
        <w:t>magnetic guide or carrier:</w:t>
      </w:r>
    </w:p>
    <w:p>
      <w:pPr>
        <w:pStyle w:val="Indenta"/>
        <w:rPr>
          <w:snapToGrid w:val="0"/>
        </w:rPr>
      </w:pPr>
      <w:r>
        <w:rPr>
          <w:snapToGrid w:val="0"/>
        </w:rPr>
        <w:tab/>
      </w:r>
      <w:r>
        <w:rPr>
          <w:snapToGrid w:val="0"/>
        </w:rPr>
        <w:tab/>
        <w:t>Provided this shall not apply until 1 January 1928 or preclude the restamping thereafter of instruments stamped prior to such date;</w:t>
      </w:r>
    </w:p>
    <w:p>
      <w:pPr>
        <w:pStyle w:val="Indenta"/>
        <w:rPr>
          <w:snapToGrid w:val="0"/>
        </w:rPr>
      </w:pPr>
      <w:r>
        <w:rPr>
          <w:snapToGrid w:val="0"/>
        </w:rPr>
        <w:tab/>
        <w:t>(h)</w:t>
      </w:r>
      <w:r>
        <w:rPr>
          <w:snapToGrid w:val="0"/>
        </w:rPr>
        <w:tab/>
        <w:t>on any steelyard, dial or quadrant — </w:t>
      </w:r>
    </w:p>
    <w:p>
      <w:pPr>
        <w:pStyle w:val="Indenti"/>
        <w:rPr>
          <w:snapToGrid w:val="0"/>
        </w:rPr>
      </w:pPr>
      <w:r>
        <w:rPr>
          <w:snapToGrid w:val="0"/>
        </w:rPr>
        <w:tab/>
        <w:t>(1)</w:t>
      </w:r>
      <w:r>
        <w:rPr>
          <w:snapToGrid w:val="0"/>
        </w:rPr>
        <w:tab/>
        <w:t>have the graduation lines finely, sharply and clearly defined with longer lines for the principal subdivisions than for the minor graduations;</w:t>
      </w:r>
    </w:p>
    <w:p>
      <w:pPr>
        <w:pStyle w:val="Indenti"/>
        <w:rPr>
          <w:snapToGrid w:val="0"/>
        </w:rPr>
      </w:pPr>
      <w:r>
        <w:rPr>
          <w:snapToGrid w:val="0"/>
        </w:rPr>
        <w:tab/>
        <w:t>(2)</w:t>
      </w:r>
      <w:r>
        <w:rPr>
          <w:snapToGrid w:val="0"/>
        </w:rPr>
        <w:tab/>
        <w:t>have not more than 16 weight graduation lines per inch unless of a type approved by the Chief Inspector:</w:t>
      </w:r>
    </w:p>
    <w:p>
      <w:pPr>
        <w:pStyle w:val="Indenti"/>
        <w:rPr>
          <w:snapToGrid w:val="0"/>
        </w:rPr>
      </w:pPr>
      <w:r>
        <w:rPr>
          <w:snapToGrid w:val="0"/>
        </w:rPr>
        <w:tab/>
      </w:r>
      <w:r>
        <w:rPr>
          <w:snapToGrid w:val="0"/>
        </w:rPr>
        <w:tab/>
        <w:t>Provided that in instruments in use prior to the date of the regulations up to 24 graduations per inch may be permitted for 5 years thereafter if, in the opinion of the Inspector, weight indications are clearly readable;</w:t>
      </w:r>
    </w:p>
    <w:p>
      <w:pPr>
        <w:pStyle w:val="Indenti"/>
        <w:rPr>
          <w:snapToGrid w:val="0"/>
        </w:rPr>
      </w:pPr>
      <w:r>
        <w:rPr>
          <w:snapToGrid w:val="0"/>
        </w:rPr>
        <w:tab/>
        <w:t>(3)</w:t>
      </w:r>
      <w:r>
        <w:rPr>
          <w:snapToGrid w:val="0"/>
        </w:rPr>
        <w:tab/>
        <w:t>have a zero graduation unless of a type approved by the Chief Inspector:</w:t>
      </w:r>
    </w:p>
    <w:p>
      <w:pPr>
        <w:pStyle w:val="Indenti"/>
        <w:rPr>
          <w:snapToGrid w:val="0"/>
        </w:rPr>
      </w:pPr>
      <w:r>
        <w:rPr>
          <w:snapToGrid w:val="0"/>
        </w:rPr>
        <w:tab/>
      </w:r>
      <w:r>
        <w:rPr>
          <w:snapToGrid w:val="0"/>
        </w:rPr>
        <w:tab/>
        <w:t>Provided this shall not apply to “Roman steelyards” in use prior to the date of the regulations for 3 years from such date;</w:t>
      </w:r>
    </w:p>
    <w:p>
      <w:pPr>
        <w:pStyle w:val="Indenti"/>
        <w:rPr>
          <w:snapToGrid w:val="0"/>
        </w:rPr>
      </w:pPr>
      <w:r>
        <w:rPr>
          <w:snapToGrid w:val="0"/>
        </w:rPr>
        <w:tab/>
        <w:t>(4)</w:t>
      </w:r>
      <w:r>
        <w:rPr>
          <w:snapToGrid w:val="0"/>
        </w:rPr>
        <w:tab/>
        <w:t>have the principal subdivisions clearly and distinctly numbered;</w:t>
      </w:r>
    </w:p>
    <w:p>
      <w:pPr>
        <w:pStyle w:val="Indenti"/>
        <w:rPr>
          <w:snapToGrid w:val="0"/>
        </w:rPr>
      </w:pPr>
      <w:r>
        <w:rPr>
          <w:snapToGrid w:val="0"/>
        </w:rPr>
        <w:tab/>
        <w:t>(5)</w:t>
      </w:r>
      <w:r>
        <w:rPr>
          <w:snapToGrid w:val="0"/>
        </w:rPr>
        <w:tab/>
        <w:t>have all figures clear and distinct;</w:t>
      </w:r>
    </w:p>
    <w:p>
      <w:pPr>
        <w:pStyle w:val="Indenta"/>
        <w:rPr>
          <w:snapToGrid w:val="0"/>
        </w:rPr>
      </w:pPr>
      <w:r>
        <w:rPr>
          <w:snapToGrid w:val="0"/>
        </w:rPr>
        <w:tab/>
        <w:t>(i)</w:t>
      </w:r>
      <w:r>
        <w:rPr>
          <w:snapToGrid w:val="0"/>
        </w:rPr>
        <w:tab/>
        <w:t>on any steelyard or beam — </w:t>
      </w:r>
    </w:p>
    <w:p>
      <w:pPr>
        <w:pStyle w:val="Indenti"/>
        <w:rPr>
          <w:snapToGrid w:val="0"/>
        </w:rPr>
      </w:pPr>
      <w:r>
        <w:rPr>
          <w:snapToGrid w:val="0"/>
        </w:rPr>
        <w:tab/>
        <w:t>(1)</w:t>
      </w:r>
      <w:r>
        <w:rPr>
          <w:snapToGrid w:val="0"/>
        </w:rPr>
        <w:tab/>
        <w:t>have the graduation lines uniformly spaced and parallel to each other;</w:t>
      </w:r>
    </w:p>
    <w:p>
      <w:pPr>
        <w:pStyle w:val="Indenti"/>
        <w:rPr>
          <w:snapToGrid w:val="0"/>
        </w:rPr>
      </w:pPr>
      <w:r>
        <w:rPr>
          <w:snapToGrid w:val="0"/>
        </w:rPr>
        <w:tab/>
        <w:t>(2)</w:t>
      </w:r>
      <w:r>
        <w:rPr>
          <w:snapToGrid w:val="0"/>
        </w:rPr>
        <w:tab/>
        <w:t>have the notches uniformly spaced and in the same plane;</w:t>
      </w:r>
    </w:p>
    <w:p>
      <w:pPr>
        <w:pStyle w:val="Indenti"/>
        <w:rPr>
          <w:snapToGrid w:val="0"/>
        </w:rPr>
      </w:pPr>
      <w:r>
        <w:rPr>
          <w:snapToGrid w:val="0"/>
        </w:rPr>
        <w:tab/>
        <w:t>(3)</w:t>
      </w:r>
      <w:r>
        <w:rPr>
          <w:snapToGrid w:val="0"/>
        </w:rPr>
        <w:tab/>
        <w:t>when a combination of notches and lines is employed have the lines correctly placed with reference to the notches;</w:t>
      </w:r>
    </w:p>
    <w:p>
      <w:pPr>
        <w:pStyle w:val="Indenti"/>
        <w:rPr>
          <w:snapToGrid w:val="0"/>
        </w:rPr>
      </w:pPr>
      <w:r>
        <w:rPr>
          <w:snapToGrid w:val="0"/>
        </w:rPr>
        <w:tab/>
        <w:t>(4)</w:t>
      </w:r>
      <w:r>
        <w:rPr>
          <w:snapToGrid w:val="0"/>
        </w:rPr>
        <w:tab/>
        <w:t>have a suitable shoulder stop to prevent the poise travelling behind the zero mark;</w:t>
      </w:r>
    </w:p>
    <w:p>
      <w:pPr>
        <w:pStyle w:val="Indenta"/>
        <w:rPr>
          <w:snapToGrid w:val="0"/>
        </w:rPr>
      </w:pPr>
      <w:r>
        <w:rPr>
          <w:snapToGrid w:val="0"/>
        </w:rPr>
        <w:tab/>
        <w:t>(j)</w:t>
      </w:r>
      <w:r>
        <w:rPr>
          <w:snapToGrid w:val="0"/>
        </w:rPr>
        <w:tab/>
        <w:t>have any indicating finger — </w:t>
      </w:r>
    </w:p>
    <w:p>
      <w:pPr>
        <w:pStyle w:val="Indenti"/>
        <w:rPr>
          <w:snapToGrid w:val="0"/>
        </w:rPr>
      </w:pPr>
      <w:r>
        <w:rPr>
          <w:snapToGrid w:val="0"/>
        </w:rPr>
        <w:tab/>
        <w:t>(1)</w:t>
      </w:r>
      <w:r>
        <w:rPr>
          <w:snapToGrid w:val="0"/>
        </w:rPr>
        <w:tab/>
        <w:t>finely pointed;</w:t>
      </w:r>
    </w:p>
    <w:p>
      <w:pPr>
        <w:pStyle w:val="Indenti"/>
        <w:rPr>
          <w:snapToGrid w:val="0"/>
        </w:rPr>
      </w:pPr>
      <w:r>
        <w:rPr>
          <w:snapToGrid w:val="0"/>
        </w:rPr>
        <w:tab/>
        <w:t>(2)</w:t>
      </w:r>
      <w:r>
        <w:rPr>
          <w:snapToGrid w:val="0"/>
        </w:rPr>
        <w:tab/>
        <w:t>so constructed as to reach but not obscure any graduation line:</w:t>
      </w:r>
    </w:p>
    <w:p>
      <w:pPr>
        <w:pStyle w:val="Indenti"/>
        <w:rPr>
          <w:snapToGrid w:val="0"/>
        </w:rPr>
      </w:pPr>
      <w:r>
        <w:rPr>
          <w:snapToGrid w:val="0"/>
        </w:rPr>
        <w:tab/>
      </w:r>
      <w:r>
        <w:rPr>
          <w:snapToGrid w:val="0"/>
        </w:rPr>
        <w:tab/>
        <w:t>Provided paragraph (2) shall not apply to hair</w:t>
      </w:r>
      <w:r>
        <w:rPr>
          <w:snapToGrid w:val="0"/>
        </w:rPr>
        <w:noBreakHyphen/>
        <w:t>line indicators where the width of the indicating line does not exceed the width of the finest graduation line and shall not take effect until 1 January 1928 or preclude the restamping thereafter of instruments stamped prior to such date if the indications of the instruments are clearly readable;</w:t>
      </w:r>
    </w:p>
    <w:p>
      <w:pPr>
        <w:pStyle w:val="Indenta"/>
        <w:rPr>
          <w:snapToGrid w:val="0"/>
        </w:rPr>
      </w:pPr>
      <w:r>
        <w:rPr>
          <w:snapToGrid w:val="0"/>
        </w:rPr>
        <w:tab/>
        <w:t>(k)</w:t>
      </w:r>
      <w:r>
        <w:rPr>
          <w:snapToGrid w:val="0"/>
        </w:rPr>
        <w:tab/>
        <w:t>have any zero adjustment so arranged that it may be operated only by mechanical means:</w:t>
      </w:r>
    </w:p>
    <w:p>
      <w:pPr>
        <w:pStyle w:val="Indenta"/>
        <w:rPr>
          <w:snapToGrid w:val="0"/>
        </w:rPr>
      </w:pPr>
      <w:r>
        <w:rPr>
          <w:snapToGrid w:val="0"/>
        </w:rPr>
        <w:tab/>
      </w:r>
      <w:r>
        <w:rPr>
          <w:snapToGrid w:val="0"/>
        </w:rPr>
        <w:tab/>
        <w:t>Provided this shall not apply to — </w:t>
      </w:r>
    </w:p>
    <w:p>
      <w:pPr>
        <w:pStyle w:val="Indenti"/>
        <w:rPr>
          <w:snapToGrid w:val="0"/>
        </w:rPr>
      </w:pPr>
      <w:r>
        <w:rPr>
          <w:snapToGrid w:val="0"/>
        </w:rPr>
        <w:tab/>
        <w:t>(1)</w:t>
      </w:r>
      <w:r>
        <w:rPr>
          <w:snapToGrid w:val="0"/>
        </w:rPr>
        <w:tab/>
        <w:t>balances of precision having adjusting screws on beam ends if such screws are firmly threaded and secured;</w:t>
      </w:r>
    </w:p>
    <w:p>
      <w:pPr>
        <w:pStyle w:val="Indenti"/>
        <w:rPr>
          <w:snapToGrid w:val="0"/>
        </w:rPr>
      </w:pPr>
      <w:r>
        <w:rPr>
          <w:snapToGrid w:val="0"/>
        </w:rPr>
        <w:tab/>
        <w:t>(2)</w:t>
      </w:r>
      <w:r>
        <w:rPr>
          <w:snapToGrid w:val="0"/>
        </w:rPr>
        <w:tab/>
        <w:t>instruments in use prior to the date of the regulations other than those having lead threaded or slack threaded balance balls;</w:t>
      </w:r>
    </w:p>
    <w:p>
      <w:pPr>
        <w:pStyle w:val="Indenti"/>
        <w:rPr>
          <w:snapToGrid w:val="0"/>
        </w:rPr>
      </w:pPr>
      <w:r>
        <w:rPr>
          <w:snapToGrid w:val="0"/>
        </w:rPr>
        <w:tab/>
        <w:t>(3)</w:t>
      </w:r>
      <w:r>
        <w:rPr>
          <w:snapToGrid w:val="0"/>
        </w:rPr>
        <w:tab/>
        <w:t>instruments stamped prior to 1 January 1928 where the zero adjustment has a suitable set screw or other approved locking device;</w:t>
      </w:r>
    </w:p>
    <w:p>
      <w:pPr>
        <w:pStyle w:val="Indenti"/>
        <w:rPr>
          <w:snapToGrid w:val="0"/>
        </w:rPr>
      </w:pPr>
      <w:r>
        <w:rPr>
          <w:snapToGrid w:val="0"/>
        </w:rPr>
        <w:tab/>
        <w:t>(4)</w:t>
      </w:r>
      <w:r>
        <w:rPr>
          <w:snapToGrid w:val="0"/>
        </w:rPr>
        <w:tab/>
        <w:t>instruments having a balancing device of a type approved by the Chief Inspector;</w:t>
      </w:r>
    </w:p>
    <w:p>
      <w:pPr>
        <w:pStyle w:val="Indenti"/>
        <w:rPr>
          <w:snapToGrid w:val="0"/>
        </w:rPr>
      </w:pPr>
      <w:r>
        <w:rPr>
          <w:snapToGrid w:val="0"/>
        </w:rPr>
        <w:tab/>
        <w:t>(5)</w:t>
      </w:r>
      <w:r>
        <w:rPr>
          <w:snapToGrid w:val="0"/>
        </w:rPr>
        <w:tab/>
        <w:t>automatic weighing machines in which the adjusting mechanism complies with regulation 105(c);</w:t>
      </w:r>
    </w:p>
    <w:p>
      <w:pPr>
        <w:pStyle w:val="Indenta"/>
        <w:rPr>
          <w:snapToGrid w:val="0"/>
        </w:rPr>
      </w:pPr>
      <w:r>
        <w:rPr>
          <w:snapToGrid w:val="0"/>
        </w:rPr>
        <w:tab/>
        <w:t>(l)</w:t>
      </w:r>
      <w:r>
        <w:rPr>
          <w:snapToGrid w:val="0"/>
        </w:rPr>
        <w:tab/>
        <w:t>under test retain its equilibrium, give constant weight indications and have a correct steelyard movement; and any dial hand or other indicating device shall return to zero when a load is removed;</w:t>
      </w:r>
    </w:p>
    <w:p>
      <w:pPr>
        <w:pStyle w:val="Indenta"/>
        <w:rPr>
          <w:snapToGrid w:val="0"/>
        </w:rPr>
      </w:pPr>
      <w:r>
        <w:rPr>
          <w:snapToGrid w:val="0"/>
        </w:rPr>
        <w:tab/>
        <w:t>(m)</w:t>
      </w:r>
      <w:r>
        <w:rPr>
          <w:snapToGrid w:val="0"/>
        </w:rPr>
        <w:tab/>
        <w:t>be correct within the tolerance for sensitiveness applicable to such instruments, and the following conditions shall apply — </w:t>
      </w:r>
    </w:p>
    <w:p>
      <w:pPr>
        <w:pStyle w:val="Indenti"/>
        <w:rPr>
          <w:snapToGrid w:val="0"/>
        </w:rPr>
      </w:pPr>
      <w:r>
        <w:rPr>
          <w:snapToGrid w:val="0"/>
        </w:rPr>
        <w:tab/>
        <w:t>(1)</w:t>
      </w:r>
      <w:r>
        <w:rPr>
          <w:snapToGrid w:val="0"/>
        </w:rPr>
        <w:tab/>
        <w:t>test for sensitiveness may be made at the full capacity, zero, or other intermediate point;</w:t>
      </w:r>
    </w:p>
    <w:p>
      <w:pPr>
        <w:pStyle w:val="Indenti"/>
        <w:rPr>
          <w:snapToGrid w:val="0"/>
        </w:rPr>
      </w:pPr>
      <w:r>
        <w:rPr>
          <w:snapToGrid w:val="0"/>
        </w:rPr>
        <w:tab/>
        <w:t>(2)</w:t>
      </w:r>
      <w:r>
        <w:rPr>
          <w:snapToGrid w:val="0"/>
        </w:rPr>
        <w:tab/>
        <w:t>the addition or subtraction of the prescribed tolerance shall — </w:t>
      </w:r>
    </w:p>
    <w:p>
      <w:pPr>
        <w:pStyle w:val="IndentI0"/>
        <w:rPr>
          <w:snapToGrid w:val="0"/>
        </w:rPr>
      </w:pPr>
      <w:r>
        <w:rPr>
          <w:snapToGrid w:val="0"/>
        </w:rPr>
        <w:tab/>
        <w:t>(a)</w:t>
      </w:r>
      <w:r>
        <w:rPr>
          <w:snapToGrid w:val="0"/>
        </w:rPr>
        <w:tab/>
        <w:t>on a beam scale cause such scale to turn decidedly from a horizontal position of equilibrium and rest in a position varying appreciably from the horizontal.</w:t>
      </w:r>
    </w:p>
    <w:p>
      <w:pPr>
        <w:pStyle w:val="IndentI0"/>
        <w:rPr>
          <w:snapToGrid w:val="0"/>
        </w:rPr>
      </w:pPr>
      <w:r>
        <w:rPr>
          <w:snapToGrid w:val="0"/>
        </w:rPr>
        <w:tab/>
      </w:r>
      <w:r>
        <w:rPr>
          <w:snapToGrid w:val="0"/>
        </w:rPr>
        <w:tab/>
        <w:t>(When a pointer and graduated scale are fitted, such addition or subtraction shall cause the pointer to move decidedly and rest in a position varying from the vertical by at least 20% of the range of the graduated scale.)</w:t>
      </w:r>
    </w:p>
    <w:p>
      <w:pPr>
        <w:pStyle w:val="IndentI0"/>
        <w:rPr>
          <w:snapToGrid w:val="0"/>
        </w:rPr>
      </w:pPr>
      <w:r>
        <w:rPr>
          <w:snapToGrid w:val="0"/>
        </w:rPr>
        <w:tab/>
        <w:t>(b)</w:t>
      </w:r>
      <w:r>
        <w:rPr>
          <w:snapToGrid w:val="0"/>
        </w:rPr>
        <w:tab/>
        <w:t>on a counter scale cause such scale to rise or fall to the limit of its movement and to rest in a position at or nearly at such limit;</w:t>
      </w:r>
    </w:p>
    <w:p>
      <w:pPr>
        <w:pStyle w:val="IndentI0"/>
        <w:rPr>
          <w:snapToGrid w:val="0"/>
        </w:rPr>
      </w:pPr>
      <w:r>
        <w:rPr>
          <w:snapToGrid w:val="0"/>
        </w:rPr>
        <w:tab/>
        <w:t>(c)</w:t>
      </w:r>
      <w:r>
        <w:rPr>
          <w:snapToGrid w:val="0"/>
        </w:rPr>
        <w:tab/>
        <w:t>on a weighing instrument with a steelyard and a guide therefor cause the steelyard to rise or fall from a position of equilibrium midway in the guide to the limit of its movement and to rest in a position at or nearly such limit;</w:t>
      </w:r>
    </w:p>
    <w:p>
      <w:pPr>
        <w:pStyle w:val="IndentI0"/>
        <w:rPr>
          <w:snapToGrid w:val="0"/>
        </w:rPr>
      </w:pPr>
      <w:r>
        <w:rPr>
          <w:snapToGrid w:val="0"/>
        </w:rPr>
        <w:tab/>
        <w:t>(d)</w:t>
      </w:r>
      <w:r>
        <w:rPr>
          <w:snapToGrid w:val="0"/>
        </w:rPr>
        <w:tab/>
        <w:t>on a “Roman steelyard” cause such steelyard to rise or fall from a horizontal position at or nearly to the limit of its movement and to rest in a position at or nearly at such limit;</w:t>
      </w:r>
    </w:p>
    <w:p>
      <w:pPr>
        <w:pStyle w:val="Indenta"/>
        <w:rPr>
          <w:snapToGrid w:val="0"/>
        </w:rPr>
      </w:pPr>
      <w:r>
        <w:rPr>
          <w:snapToGrid w:val="0"/>
        </w:rPr>
        <w:tab/>
      </w:r>
      <w:r>
        <w:rPr>
          <w:snapToGrid w:val="0"/>
        </w:rPr>
        <w:tab/>
        <w:t>Provided that instruments brought into use after 1 January 1928 having a weight graduation of less value than the prescribed tolerance shall be sensitive in the manner specified to the weight represented by such graduation;</w:t>
      </w:r>
    </w:p>
    <w:p>
      <w:pPr>
        <w:pStyle w:val="Indenta"/>
        <w:rPr>
          <w:snapToGrid w:val="0"/>
        </w:rPr>
      </w:pPr>
      <w:r>
        <w:rPr>
          <w:snapToGrid w:val="0"/>
        </w:rPr>
        <w:tab/>
        <w:t>(n)</w:t>
      </w:r>
      <w:r>
        <w:rPr>
          <w:snapToGrid w:val="0"/>
        </w:rPr>
        <w:tab/>
        <w:t>be correct within the tolerance for error applicable to such instrument, and the following conditions shall apply — </w:t>
      </w:r>
    </w:p>
    <w:p>
      <w:pPr>
        <w:pStyle w:val="Indenti"/>
        <w:rPr>
          <w:snapToGrid w:val="0"/>
        </w:rPr>
      </w:pPr>
      <w:r>
        <w:rPr>
          <w:snapToGrid w:val="0"/>
        </w:rPr>
        <w:tab/>
        <w:t>(1)</w:t>
      </w:r>
      <w:r>
        <w:rPr>
          <w:snapToGrid w:val="0"/>
        </w:rPr>
        <w:tab/>
        <w:t>fixed instruments shall be tested in situ;</w:t>
      </w:r>
    </w:p>
    <w:p>
      <w:pPr>
        <w:pStyle w:val="Indenti"/>
        <w:rPr>
          <w:snapToGrid w:val="0"/>
        </w:rPr>
      </w:pPr>
      <w:r>
        <w:rPr>
          <w:snapToGrid w:val="0"/>
        </w:rPr>
        <w:tab/>
        <w:t>(2)</w:t>
      </w:r>
      <w:r>
        <w:rPr>
          <w:snapToGrid w:val="0"/>
        </w:rPr>
        <w:tab/>
        <w:t>movable instruments provided with a base shall be tested on a level plane, or as near to level as practicable. Such instruments shall be so constructed as to stand evenly on a level surface;</w:t>
      </w:r>
    </w:p>
    <w:p>
      <w:pPr>
        <w:pStyle w:val="Indenti"/>
        <w:rPr>
          <w:snapToGrid w:val="0"/>
        </w:rPr>
      </w:pPr>
      <w:r>
        <w:rPr>
          <w:snapToGrid w:val="0"/>
        </w:rPr>
        <w:tab/>
        <w:t>(3)</w:t>
      </w:r>
      <w:r>
        <w:rPr>
          <w:snapToGrid w:val="0"/>
        </w:rPr>
        <w:tab/>
        <w:t>instruments of the vibrating type shall be tested for error by ascertaining the weight in excess or deficiency (if any) required when loaded to bring the steelyard or beam to a horizontal position;</w:t>
      </w:r>
    </w:p>
    <w:p>
      <w:pPr>
        <w:pStyle w:val="Indenti"/>
        <w:rPr>
          <w:snapToGrid w:val="0"/>
        </w:rPr>
      </w:pPr>
      <w:r>
        <w:rPr>
          <w:snapToGrid w:val="0"/>
        </w:rPr>
        <w:tab/>
        <w:t>(4)</w:t>
      </w:r>
      <w:r>
        <w:rPr>
          <w:snapToGrid w:val="0"/>
        </w:rPr>
        <w:tab/>
        <w:t>instruments of the accelerating type shall be tested for error by ascertaining the weight in excess or deficiency (if any) required when loaded just to bring the steelyard or beam from the horizontal position on the lower stop and no more, and such instruments shall be further tested by ascertaining the weight required to be subtracted to bring the steelyard or beam from its position of greatest displacement to the horizontal, the machine being loaded and truly balanced;</w:t>
      </w:r>
    </w:p>
    <w:p>
      <w:pPr>
        <w:pStyle w:val="Indenti"/>
        <w:rPr>
          <w:snapToGrid w:val="0"/>
        </w:rPr>
      </w:pPr>
      <w:r>
        <w:rPr>
          <w:snapToGrid w:val="0"/>
        </w:rPr>
        <w:tab/>
        <w:t>(5)</w:t>
      </w:r>
      <w:r>
        <w:rPr>
          <w:snapToGrid w:val="0"/>
        </w:rPr>
        <w:tab/>
        <w:t>on instruments tested at less than the full capacity the permissible error shall be as specified for a similar instrument of the capacity at which the test is made.</w:t>
      </w:r>
    </w:p>
    <w:p>
      <w:pPr>
        <w:pStyle w:val="Footnotesection"/>
      </w:pPr>
      <w:r>
        <w:tab/>
        <w:t xml:space="preserve">[Regulation 48 amended in Gazette 9 Sep 1968 p. 2743; 31 Aug 1984 p. 2829.] </w:t>
      </w:r>
    </w:p>
    <w:p>
      <w:pPr>
        <w:pStyle w:val="Heading5"/>
        <w:rPr>
          <w:snapToGrid w:val="0"/>
        </w:rPr>
      </w:pPr>
      <w:bookmarkStart w:id="66" w:name="_Toc390077091"/>
      <w:r>
        <w:rPr>
          <w:rStyle w:val="CharSectno"/>
        </w:rPr>
        <w:t>49</w:t>
      </w:r>
      <w:r>
        <w:rPr>
          <w:snapToGrid w:val="0"/>
        </w:rPr>
        <w:t>.</w:t>
      </w:r>
      <w:r>
        <w:rPr>
          <w:snapToGrid w:val="0"/>
        </w:rPr>
        <w:tab/>
        <w:t>Travelling poise</w:t>
      </w:r>
      <w:bookmarkEnd w:id="66"/>
    </w:p>
    <w:p>
      <w:pPr>
        <w:pStyle w:val="Subsection"/>
        <w:rPr>
          <w:snapToGrid w:val="0"/>
        </w:rPr>
      </w:pPr>
      <w:r>
        <w:rPr>
          <w:snapToGrid w:val="0"/>
        </w:rPr>
        <w:tab/>
      </w:r>
      <w:r>
        <w:rPr>
          <w:snapToGrid w:val="0"/>
        </w:rPr>
        <w:tab/>
        <w:t>A travelling poise on a weighing instrument shall — </w:t>
      </w:r>
    </w:p>
    <w:p>
      <w:pPr>
        <w:pStyle w:val="Indenta"/>
        <w:rPr>
          <w:snapToGrid w:val="0"/>
        </w:rPr>
      </w:pPr>
      <w:r>
        <w:rPr>
          <w:snapToGrid w:val="0"/>
        </w:rPr>
        <w:tab/>
        <w:t>(a)</w:t>
      </w:r>
      <w:r>
        <w:rPr>
          <w:snapToGrid w:val="0"/>
        </w:rPr>
        <w:tab/>
        <w:t>have the reading edges or indicators sharply and clearly defined and parallel to the graduation lines on the steelyard or beam, and generally of such form that all weight indications may be clearly and definitely read;</w:t>
      </w:r>
    </w:p>
    <w:p>
      <w:pPr>
        <w:pStyle w:val="Indenta"/>
        <w:rPr>
          <w:snapToGrid w:val="0"/>
        </w:rPr>
      </w:pPr>
      <w:r>
        <w:rPr>
          <w:snapToGrid w:val="0"/>
        </w:rPr>
        <w:tab/>
        <w:t>(b)</w:t>
      </w:r>
      <w:r>
        <w:rPr>
          <w:snapToGrid w:val="0"/>
        </w:rPr>
        <w:tab/>
        <w:t>be adjustable by an undercut load hole or in other approved manner;</w:t>
      </w:r>
    </w:p>
    <w:p>
      <w:pPr>
        <w:pStyle w:val="Indenta"/>
        <w:rPr>
          <w:snapToGrid w:val="0"/>
        </w:rPr>
      </w:pPr>
      <w:r>
        <w:rPr>
          <w:snapToGrid w:val="0"/>
        </w:rPr>
        <w:tab/>
        <w:t>(c)</w:t>
      </w:r>
      <w:r>
        <w:rPr>
          <w:snapToGrid w:val="0"/>
        </w:rPr>
        <w:tab/>
        <w:t>if on a notched steelyard or beam be provided with a suitable rib or edge;</w:t>
      </w:r>
    </w:p>
    <w:p>
      <w:pPr>
        <w:pStyle w:val="Indenta"/>
        <w:rPr>
          <w:snapToGrid w:val="0"/>
        </w:rPr>
      </w:pPr>
      <w:r>
        <w:rPr>
          <w:snapToGrid w:val="0"/>
        </w:rPr>
        <w:tab/>
        <w:t>(d)</w:t>
      </w:r>
      <w:r>
        <w:rPr>
          <w:snapToGrid w:val="0"/>
        </w:rPr>
        <w:tab/>
        <w:t>when of the suspended type have the bearing edge so formed as to allow the poise to swing freely in the notches.</w:t>
      </w:r>
    </w:p>
    <w:p>
      <w:pPr>
        <w:pStyle w:val="Heading5"/>
        <w:rPr>
          <w:snapToGrid w:val="0"/>
        </w:rPr>
      </w:pPr>
      <w:bookmarkStart w:id="67" w:name="_Toc390077092"/>
      <w:r>
        <w:rPr>
          <w:rStyle w:val="CharSectno"/>
        </w:rPr>
        <w:t>50</w:t>
      </w:r>
      <w:r>
        <w:rPr>
          <w:snapToGrid w:val="0"/>
        </w:rPr>
        <w:t>.</w:t>
      </w:r>
      <w:r>
        <w:rPr>
          <w:snapToGrid w:val="0"/>
        </w:rPr>
        <w:tab/>
        <w:t>Loose counterpoise weights</w:t>
      </w:r>
      <w:bookmarkEnd w:id="67"/>
    </w:p>
    <w:p>
      <w:pPr>
        <w:pStyle w:val="Subsection"/>
        <w:rPr>
          <w:snapToGrid w:val="0"/>
        </w:rPr>
      </w:pPr>
      <w:r>
        <w:rPr>
          <w:snapToGrid w:val="0"/>
        </w:rPr>
        <w:tab/>
      </w:r>
      <w:r>
        <w:rPr>
          <w:snapToGrid w:val="0"/>
        </w:rPr>
        <w:tab/>
        <w:t>Loose counterpoise weights on a weighing instrument shall — </w:t>
      </w:r>
    </w:p>
    <w:p>
      <w:pPr>
        <w:pStyle w:val="Indenta"/>
        <w:rPr>
          <w:snapToGrid w:val="0"/>
        </w:rPr>
      </w:pPr>
      <w:r>
        <w:rPr>
          <w:snapToGrid w:val="0"/>
        </w:rPr>
        <w:tab/>
        <w:t>(a)</w:t>
      </w:r>
      <w:r>
        <w:rPr>
          <w:snapToGrid w:val="0"/>
        </w:rPr>
        <w:tab/>
        <w:t>be marked with their equivalent weight in the following manner, for example, “1 cwt.”. Where the actual weight such as “1 lb.” is also marked such weight shall be correct within the permissible tolerance in error;</w:t>
      </w:r>
    </w:p>
    <w:p>
      <w:pPr>
        <w:pStyle w:val="Indenta"/>
        <w:rPr>
          <w:snapToGrid w:val="0"/>
        </w:rPr>
      </w:pPr>
      <w:r>
        <w:rPr>
          <w:snapToGrid w:val="0"/>
        </w:rPr>
        <w:tab/>
        <w:t>(b)</w:t>
      </w:r>
      <w:r>
        <w:rPr>
          <w:snapToGrid w:val="0"/>
        </w:rPr>
        <w:tab/>
        <w:t>when 2 different series, as, for example, “cwts.” and “centals” are provided on the same instruments the “cwt.” series shall be flat circular and the “cental” series shall be octagonal, provided this shall not apply to instruments in use prior to the date of the regulations if the different series are painted distinctly different colours;</w:t>
      </w:r>
    </w:p>
    <w:p>
      <w:pPr>
        <w:pStyle w:val="Indenta"/>
        <w:rPr>
          <w:snapToGrid w:val="0"/>
        </w:rPr>
      </w:pPr>
      <w:r>
        <w:rPr>
          <w:snapToGrid w:val="0"/>
        </w:rPr>
        <w:tab/>
        <w:t>(c)</w:t>
      </w:r>
      <w:r>
        <w:rPr>
          <w:snapToGrid w:val="0"/>
        </w:rPr>
        <w:tab/>
        <w:t>have one adjusting hole only;</w:t>
      </w:r>
    </w:p>
    <w:p>
      <w:pPr>
        <w:pStyle w:val="Indenta"/>
        <w:rPr>
          <w:snapToGrid w:val="0"/>
        </w:rPr>
      </w:pPr>
      <w:r>
        <w:rPr>
          <w:snapToGrid w:val="0"/>
        </w:rPr>
        <w:tab/>
        <w:t>(d)</w:t>
      </w:r>
      <w:r>
        <w:rPr>
          <w:snapToGrid w:val="0"/>
        </w:rPr>
        <w:tab/>
        <w:t>have any adjusting hole or holes and the adjustment therein in accordance with the requirements of regulation 14;</w:t>
      </w:r>
    </w:p>
    <w:p>
      <w:pPr>
        <w:pStyle w:val="Indenta"/>
        <w:rPr>
          <w:snapToGrid w:val="0"/>
        </w:rPr>
      </w:pPr>
      <w:r>
        <w:rPr>
          <w:snapToGrid w:val="0"/>
        </w:rPr>
        <w:tab/>
        <w:t>(e)</w:t>
      </w:r>
      <w:r>
        <w:rPr>
          <w:snapToGrid w:val="0"/>
        </w:rPr>
        <w:tab/>
        <w:t xml:space="preserve">unless precluded by their small size have a circular adjusting hole not less than </w:t>
      </w:r>
      <w:r>
        <w:rPr>
          <w:sz w:val="18"/>
          <w:vertAlign w:val="superscript"/>
        </w:rPr>
        <w:t>5</w:t>
      </w:r>
      <w:r>
        <w:rPr>
          <w:sz w:val="18"/>
        </w:rPr>
        <w:t>/</w:t>
      </w:r>
      <w:r>
        <w:rPr>
          <w:sz w:val="18"/>
          <w:vertAlign w:val="subscript"/>
        </w:rPr>
        <w:t>8</w:t>
      </w:r>
      <w:r>
        <w:rPr>
          <w:snapToGrid w:val="0"/>
        </w:rPr>
        <w:t xml:space="preserve"> in. in diameter or a rectangular hole not less than </w:t>
      </w:r>
      <w:r>
        <w:rPr>
          <w:sz w:val="18"/>
          <w:vertAlign w:val="superscript"/>
        </w:rPr>
        <w:t>5</w:t>
      </w:r>
      <w:r>
        <w:rPr>
          <w:sz w:val="18"/>
        </w:rPr>
        <w:t>/</w:t>
      </w:r>
      <w:r>
        <w:rPr>
          <w:sz w:val="18"/>
          <w:vertAlign w:val="subscript"/>
        </w:rPr>
        <w:t>8</w:t>
      </w:r>
      <w:r>
        <w:rPr>
          <w:snapToGrid w:val="0"/>
        </w:rPr>
        <w:t xml:space="preserve"> in. long and </w:t>
      </w:r>
      <w:r>
        <w:rPr>
          <w:sz w:val="18"/>
          <w:vertAlign w:val="superscript"/>
        </w:rPr>
        <w:t>3</w:t>
      </w:r>
      <w:r>
        <w:rPr>
          <w:sz w:val="18"/>
        </w:rPr>
        <w:t>/</w:t>
      </w:r>
      <w:r>
        <w:rPr>
          <w:sz w:val="18"/>
          <w:vertAlign w:val="subscript"/>
        </w:rPr>
        <w:t>8</w:t>
      </w:r>
      <w:r>
        <w:rPr>
          <w:snapToGrid w:val="0"/>
        </w:rPr>
        <w:t xml:space="preserve"> in. wide.</w:t>
      </w:r>
    </w:p>
    <w:p>
      <w:pPr>
        <w:pStyle w:val="Footnotesection"/>
      </w:pPr>
      <w:r>
        <w:tab/>
        <w:t xml:space="preserve">[Regulation 50 amended in Gazette 23 May 1960 p. 1397.] </w:t>
      </w:r>
    </w:p>
    <w:p>
      <w:pPr>
        <w:pStyle w:val="Heading5"/>
        <w:rPr>
          <w:snapToGrid w:val="0"/>
        </w:rPr>
      </w:pPr>
      <w:bookmarkStart w:id="68" w:name="_Toc390077093"/>
      <w:r>
        <w:rPr>
          <w:rStyle w:val="CharSectno"/>
        </w:rPr>
        <w:t>51</w:t>
      </w:r>
      <w:r>
        <w:rPr>
          <w:snapToGrid w:val="0"/>
        </w:rPr>
        <w:t>.</w:t>
      </w:r>
      <w:r>
        <w:rPr>
          <w:snapToGrid w:val="0"/>
        </w:rPr>
        <w:tab/>
        <w:t>Counterpoise cup</w:t>
      </w:r>
      <w:bookmarkEnd w:id="68"/>
    </w:p>
    <w:p>
      <w:pPr>
        <w:pStyle w:val="Subsection"/>
        <w:rPr>
          <w:snapToGrid w:val="0"/>
        </w:rPr>
      </w:pPr>
      <w:r>
        <w:rPr>
          <w:snapToGrid w:val="0"/>
        </w:rPr>
        <w:tab/>
      </w:r>
      <w:r>
        <w:rPr>
          <w:snapToGrid w:val="0"/>
        </w:rPr>
        <w:tab/>
        <w:t>Loose material in any counterpoise cup shall be securely enclosed.</w:t>
      </w:r>
    </w:p>
    <w:p>
      <w:pPr>
        <w:pStyle w:val="Heading5"/>
        <w:rPr>
          <w:snapToGrid w:val="0"/>
        </w:rPr>
      </w:pPr>
      <w:bookmarkStart w:id="69" w:name="_Toc390077094"/>
      <w:r>
        <w:rPr>
          <w:rStyle w:val="CharSectno"/>
        </w:rPr>
        <w:t>52</w:t>
      </w:r>
      <w:r>
        <w:rPr>
          <w:snapToGrid w:val="0"/>
        </w:rPr>
        <w:t>.</w:t>
      </w:r>
      <w:r>
        <w:rPr>
          <w:snapToGrid w:val="0"/>
        </w:rPr>
        <w:tab/>
        <w:t>Restrictions on all weighing machines</w:t>
      </w:r>
      <w:bookmarkEnd w:id="69"/>
    </w:p>
    <w:p>
      <w:pPr>
        <w:pStyle w:val="Subsection"/>
        <w:keepNext/>
        <w:rPr>
          <w:snapToGrid w:val="0"/>
        </w:rPr>
      </w:pPr>
      <w:r>
        <w:rPr>
          <w:snapToGrid w:val="0"/>
        </w:rPr>
        <w:tab/>
      </w:r>
      <w:r>
        <w:rPr>
          <w:snapToGrid w:val="0"/>
        </w:rPr>
        <w:tab/>
        <w:t>A weighing instrument shall not — </w:t>
      </w:r>
    </w:p>
    <w:p>
      <w:pPr>
        <w:pStyle w:val="Indenta"/>
        <w:rPr>
          <w:snapToGrid w:val="0"/>
        </w:rPr>
      </w:pPr>
      <w:r>
        <w:rPr>
          <w:snapToGrid w:val="0"/>
        </w:rPr>
        <w:tab/>
        <w:t>(a)</w:t>
      </w:r>
      <w:r>
        <w:rPr>
          <w:snapToGrid w:val="0"/>
        </w:rPr>
        <w:tab/>
        <w:t>have removable parts the removal of which would affect the accuracy of the instruments unless the instrument cannot be used without such parts;</w:t>
      </w:r>
    </w:p>
    <w:p>
      <w:pPr>
        <w:pStyle w:val="Indenta"/>
        <w:rPr>
          <w:snapToGrid w:val="0"/>
        </w:rPr>
      </w:pPr>
      <w:r>
        <w:rPr>
          <w:snapToGrid w:val="0"/>
        </w:rPr>
        <w:tab/>
        <w:t>(b)</w:t>
      </w:r>
      <w:r>
        <w:rPr>
          <w:snapToGrid w:val="0"/>
        </w:rPr>
        <w:tab/>
        <w:t>have interchangeable or reversible parts the interchange or reversal of which would affect the accuracy of the instrument;</w:t>
      </w:r>
    </w:p>
    <w:p>
      <w:pPr>
        <w:pStyle w:val="Indenta"/>
        <w:rPr>
          <w:snapToGrid w:val="0"/>
        </w:rPr>
      </w:pPr>
      <w:r>
        <w:rPr>
          <w:snapToGrid w:val="0"/>
        </w:rPr>
        <w:tab/>
      </w:r>
      <w:r>
        <w:rPr>
          <w:snapToGrid w:val="0"/>
        </w:rPr>
        <w:tab/>
        <w:t>(Corner or middle links of platform machines clearly identified by a number with the position to which they belong shall not be considered interchangeable. Check rods shall be permanently secured at one end)</w:t>
      </w:r>
    </w:p>
    <w:p>
      <w:pPr>
        <w:pStyle w:val="Indenta"/>
        <w:rPr>
          <w:snapToGrid w:val="0"/>
        </w:rPr>
      </w:pPr>
      <w:r>
        <w:rPr>
          <w:snapToGrid w:val="0"/>
        </w:rPr>
        <w:tab/>
        <w:t>(c)</w:t>
      </w:r>
      <w:r>
        <w:rPr>
          <w:snapToGrid w:val="0"/>
        </w:rPr>
        <w:tab/>
        <w:t>when of a capacity exceeding 20,000 lb. have point pivots and cup bearings:</w:t>
      </w:r>
    </w:p>
    <w:p>
      <w:pPr>
        <w:pStyle w:val="Indenta"/>
        <w:rPr>
          <w:snapToGrid w:val="0"/>
        </w:rPr>
      </w:pPr>
      <w:r>
        <w:rPr>
          <w:snapToGrid w:val="0"/>
        </w:rPr>
        <w:tab/>
      </w:r>
      <w:r>
        <w:rPr>
          <w:snapToGrid w:val="0"/>
        </w:rPr>
        <w:tab/>
        <w:t>Provided this shall not apply until 1 January 1928 and shall not thereafter preclude the restamping of instruments stamped prior to such date;</w:t>
      </w:r>
    </w:p>
    <w:p>
      <w:pPr>
        <w:pStyle w:val="Indenta"/>
        <w:rPr>
          <w:snapToGrid w:val="0"/>
        </w:rPr>
      </w:pPr>
      <w:r>
        <w:rPr>
          <w:snapToGrid w:val="0"/>
        </w:rPr>
        <w:tab/>
        <w:t>(d)</w:t>
      </w:r>
      <w:r>
        <w:rPr>
          <w:snapToGrid w:val="0"/>
        </w:rPr>
        <w:tab/>
        <w:t>have graduations indicated by dots.</w:t>
      </w:r>
    </w:p>
    <w:p>
      <w:pPr>
        <w:pStyle w:val="Footnotesection"/>
      </w:pPr>
      <w:r>
        <w:tab/>
        <w:t xml:space="preserve">[Regulation 52 amended in Gazette 23 May 1960 p. 1397.] </w:t>
      </w:r>
    </w:p>
    <w:p>
      <w:pPr>
        <w:pStyle w:val="Heading5"/>
        <w:rPr>
          <w:snapToGrid w:val="0"/>
        </w:rPr>
      </w:pPr>
      <w:bookmarkStart w:id="70" w:name="_Toc390077095"/>
      <w:r>
        <w:rPr>
          <w:rStyle w:val="CharSectno"/>
        </w:rPr>
        <w:t>53</w:t>
      </w:r>
      <w:r>
        <w:rPr>
          <w:snapToGrid w:val="0"/>
        </w:rPr>
        <w:t>.</w:t>
      </w:r>
      <w:r>
        <w:rPr>
          <w:snapToGrid w:val="0"/>
        </w:rPr>
        <w:tab/>
        <w:t>Inspector may require instrument to be disassembled</w:t>
      </w:r>
      <w:bookmarkEnd w:id="70"/>
    </w:p>
    <w:p>
      <w:pPr>
        <w:pStyle w:val="Subsection"/>
        <w:rPr>
          <w:snapToGrid w:val="0"/>
        </w:rPr>
      </w:pPr>
      <w:r>
        <w:rPr>
          <w:snapToGrid w:val="0"/>
        </w:rPr>
        <w:tab/>
      </w:r>
      <w:r>
        <w:rPr>
          <w:snapToGrid w:val="0"/>
        </w:rPr>
        <w:tab/>
        <w:t>An Inspector may required the person presenting a weighing or measuring instrument for verification to take such instrument sufficiently apart to enable an inspection of all working parts to be made, and until such request is complied with may refuse to verify such instrument, or may, with the consent of such person, take such instrument apart without liability for damage resulting thereto.</w:t>
      </w:r>
    </w:p>
    <w:p>
      <w:pPr>
        <w:pStyle w:val="Heading5"/>
        <w:rPr>
          <w:snapToGrid w:val="0"/>
        </w:rPr>
      </w:pPr>
      <w:bookmarkStart w:id="71" w:name="_Toc390077096"/>
      <w:r>
        <w:rPr>
          <w:rStyle w:val="CharSectno"/>
        </w:rPr>
        <w:t>54</w:t>
      </w:r>
      <w:r>
        <w:rPr>
          <w:snapToGrid w:val="0"/>
        </w:rPr>
        <w:t>.</w:t>
      </w:r>
      <w:r>
        <w:rPr>
          <w:snapToGrid w:val="0"/>
        </w:rPr>
        <w:tab/>
        <w:t>Verification of instruments subject to wind, dust etc.</w:t>
      </w:r>
      <w:bookmarkEnd w:id="71"/>
    </w:p>
    <w:p>
      <w:pPr>
        <w:pStyle w:val="Subsection"/>
        <w:rPr>
          <w:snapToGrid w:val="0"/>
        </w:rPr>
      </w:pPr>
      <w:r>
        <w:rPr>
          <w:snapToGrid w:val="0"/>
        </w:rPr>
        <w:tab/>
      </w:r>
      <w:r>
        <w:rPr>
          <w:snapToGrid w:val="0"/>
        </w:rPr>
        <w:tab/>
        <w:t>When a weighing instrument is situated in a position exposed to wind or other disturbing influence, or put to a use the nature of which is such that it is likely to become clogged with dust or other debris and its accuracy seriously affected thereby, and Inspector may refuse to stamp such instrument until it is suitably enclosed or protected.</w:t>
      </w:r>
    </w:p>
    <w:p>
      <w:pPr>
        <w:pStyle w:val="Heading5"/>
        <w:rPr>
          <w:snapToGrid w:val="0"/>
        </w:rPr>
      </w:pPr>
      <w:bookmarkStart w:id="72" w:name="_Toc390077097"/>
      <w:r>
        <w:rPr>
          <w:rStyle w:val="CharSectno"/>
        </w:rPr>
        <w:t>54A</w:t>
      </w:r>
      <w:r>
        <w:rPr>
          <w:snapToGrid w:val="0"/>
        </w:rPr>
        <w:t>.</w:t>
      </w:r>
      <w:r>
        <w:rPr>
          <w:snapToGrid w:val="0"/>
        </w:rPr>
        <w:tab/>
        <w:t>Coal, coke or firewood weighing instruments</w:t>
      </w:r>
      <w:bookmarkEnd w:id="72"/>
    </w:p>
    <w:p>
      <w:pPr>
        <w:pStyle w:val="Subsection"/>
        <w:rPr>
          <w:snapToGrid w:val="0"/>
        </w:rPr>
      </w:pPr>
      <w:r>
        <w:rPr>
          <w:snapToGrid w:val="0"/>
        </w:rPr>
        <w:tab/>
        <w:t>(1)</w:t>
      </w:r>
      <w:r>
        <w:rPr>
          <w:snapToGrid w:val="0"/>
        </w:rPr>
        <w:tab/>
        <w:t>On any weighing instrument used only for weighing coal, coke or firewood, if clearly, prominently and indelibly marked “coal”, “coke”, or “firewood”, 4 times the tolerance for error prescribed for that instrument shall be permitted and the tolerance for sensitivity shall be the same as that allowed for error on instruments used for the purpose.</w:t>
      </w:r>
    </w:p>
    <w:p>
      <w:pPr>
        <w:pStyle w:val="Subsection"/>
        <w:rPr>
          <w:snapToGrid w:val="0"/>
        </w:rPr>
      </w:pPr>
      <w:r>
        <w:rPr>
          <w:snapToGrid w:val="0"/>
        </w:rPr>
        <w:tab/>
        <w:t>(2)</w:t>
      </w:r>
      <w:r>
        <w:rPr>
          <w:snapToGrid w:val="0"/>
        </w:rPr>
        <w:tab/>
        <w:t>Subregulation (1) does not apply to new instruments purchased after the coming into operation of this regulation not to instruments which are repaired or adjusted after that time, nor does it apply to the tolerance for error on acceleration.</w:t>
      </w:r>
    </w:p>
    <w:p>
      <w:pPr>
        <w:pStyle w:val="Footnotesection"/>
      </w:pPr>
      <w:r>
        <w:tab/>
        <w:t>[Regulation 54A inserted in Gazette 23 May 1960 p. 1397</w:t>
      </w:r>
      <w:r>
        <w:softHyphen/>
      </w:r>
      <w:r>
        <w:noBreakHyphen/>
        <w:t xml:space="preserve">8.] </w:t>
      </w:r>
    </w:p>
    <w:p>
      <w:pPr>
        <w:pStyle w:val="MiscellaneousHeading"/>
        <w:outlineLvl w:val="0"/>
        <w:rPr>
          <w:b/>
          <w:snapToGrid w:val="0"/>
        </w:rPr>
      </w:pPr>
      <w:r>
        <w:rPr>
          <w:b/>
          <w:snapToGrid w:val="0"/>
        </w:rPr>
        <w:t>Beam scales</w:t>
      </w:r>
    </w:p>
    <w:p>
      <w:pPr>
        <w:pStyle w:val="Heading5"/>
        <w:rPr>
          <w:snapToGrid w:val="0"/>
        </w:rPr>
      </w:pPr>
      <w:bookmarkStart w:id="73" w:name="_Toc390077098"/>
      <w:r>
        <w:rPr>
          <w:rStyle w:val="CharSectno"/>
        </w:rPr>
        <w:t>55</w:t>
      </w:r>
      <w:r>
        <w:rPr>
          <w:snapToGrid w:val="0"/>
        </w:rPr>
        <w:t>.</w:t>
      </w:r>
      <w:r>
        <w:rPr>
          <w:snapToGrid w:val="0"/>
        </w:rPr>
        <w:tab/>
        <w:t>Definition of “beam scale”</w:t>
      </w:r>
      <w:bookmarkEnd w:id="73"/>
    </w:p>
    <w:p>
      <w:pPr>
        <w:pStyle w:val="Subsection"/>
        <w:rPr>
          <w:snapToGrid w:val="0"/>
        </w:rPr>
      </w:pPr>
      <w:r>
        <w:rPr>
          <w:snapToGrid w:val="0"/>
        </w:rPr>
        <w:tab/>
      </w:r>
      <w:r>
        <w:rPr>
          <w:snapToGrid w:val="0"/>
        </w:rPr>
        <w:tab/>
        <w:t xml:space="preserve">The term </w:t>
      </w:r>
      <w:r>
        <w:rPr>
          <w:b/>
          <w:snapToGrid w:val="0"/>
        </w:rPr>
        <w:t>“</w:t>
      </w:r>
      <w:r>
        <w:rPr>
          <w:rStyle w:val="CharDefText"/>
        </w:rPr>
        <w:t>beam scale</w:t>
      </w:r>
      <w:r>
        <w:rPr>
          <w:b/>
          <w:snapToGrid w:val="0"/>
        </w:rPr>
        <w:t>”</w:t>
      </w:r>
      <w:r>
        <w:rPr>
          <w:snapToGrid w:val="0"/>
        </w:rPr>
        <w:t xml:space="preserve"> means an equal</w:t>
      </w:r>
      <w:r>
        <w:rPr>
          <w:snapToGrid w:val="0"/>
        </w:rPr>
        <w:noBreakHyphen/>
        <w:t>armed weighing instrument, the pans of which are below the beam.</w:t>
      </w:r>
    </w:p>
    <w:p>
      <w:pPr>
        <w:pStyle w:val="Heading5"/>
        <w:rPr>
          <w:snapToGrid w:val="0"/>
        </w:rPr>
      </w:pPr>
      <w:bookmarkStart w:id="74" w:name="_Toc390077099"/>
      <w:r>
        <w:rPr>
          <w:rStyle w:val="CharSectno"/>
        </w:rPr>
        <w:t>56</w:t>
      </w:r>
      <w:r>
        <w:rPr>
          <w:snapToGrid w:val="0"/>
        </w:rPr>
        <w:t>.</w:t>
      </w:r>
      <w:r>
        <w:rPr>
          <w:snapToGrid w:val="0"/>
        </w:rPr>
        <w:tab/>
        <w:t>Classes of beam scales</w:t>
      </w:r>
      <w:bookmarkEnd w:id="74"/>
    </w:p>
    <w:p>
      <w:pPr>
        <w:pStyle w:val="Subsection"/>
        <w:rPr>
          <w:snapToGrid w:val="0"/>
        </w:rPr>
      </w:pPr>
      <w:r>
        <w:rPr>
          <w:snapToGrid w:val="0"/>
        </w:rPr>
        <w:tab/>
      </w:r>
      <w:r>
        <w:rPr>
          <w:snapToGrid w:val="0"/>
        </w:rPr>
        <w:tab/>
        <w:t>Beam scales shall be divided into 3 classes — </w:t>
      </w:r>
    </w:p>
    <w:p>
      <w:pPr>
        <w:pStyle w:val="MiscellaneousBody"/>
        <w:tabs>
          <w:tab w:val="left" w:pos="1418"/>
        </w:tabs>
        <w:spacing w:before="80"/>
        <w:ind w:left="1418" w:hanging="567"/>
        <w:rPr>
          <w:snapToGrid w:val="0"/>
          <w:spacing w:val="-3"/>
        </w:rPr>
      </w:pPr>
      <w:r>
        <w:rPr>
          <w:snapToGrid w:val="0"/>
          <w:spacing w:val="-3"/>
        </w:rPr>
        <w:t>Class A includes diamond, chemical, and assay balances, and such other beam scales as comply with the requirements of Table VI for Class A instruments, and are provided with means for relieving at least the end bearings and knife edges.</w:t>
      </w:r>
    </w:p>
    <w:p>
      <w:pPr>
        <w:pStyle w:val="MiscellaneousBody"/>
        <w:tabs>
          <w:tab w:val="left" w:pos="1418"/>
        </w:tabs>
        <w:spacing w:before="80"/>
        <w:ind w:left="1418" w:hanging="567"/>
        <w:rPr>
          <w:snapToGrid w:val="0"/>
        </w:rPr>
      </w:pPr>
      <w:r>
        <w:rPr>
          <w:snapToGrid w:val="0"/>
        </w:rPr>
        <w:t>Class B includes beam scales other than those included in Class A, which are provided with means for relieving at least the end bearings and knife edges, and comply with the requirements of Table VI for Class B instruments, and are marked Class B.</w:t>
      </w:r>
    </w:p>
    <w:p>
      <w:pPr>
        <w:pStyle w:val="MiscellaneousBody"/>
        <w:tabs>
          <w:tab w:val="left" w:pos="1418"/>
        </w:tabs>
        <w:spacing w:before="80"/>
        <w:ind w:left="1418" w:hanging="567"/>
        <w:rPr>
          <w:snapToGrid w:val="0"/>
        </w:rPr>
      </w:pPr>
      <w:r>
        <w:rPr>
          <w:snapToGrid w:val="0"/>
        </w:rPr>
        <w:t>Class C includes all beam scales other than those included in Classes A or B. They shall comply with the requirements of Table VI for Class C instruments, and be marked Class C:</w:t>
      </w:r>
    </w:p>
    <w:p>
      <w:pPr>
        <w:pStyle w:val="Subsection"/>
        <w:rPr>
          <w:snapToGrid w:val="0"/>
        </w:rPr>
      </w:pPr>
      <w:r>
        <w:rPr>
          <w:snapToGrid w:val="0"/>
        </w:rPr>
        <w:tab/>
      </w:r>
      <w:r>
        <w:rPr>
          <w:snapToGrid w:val="0"/>
        </w:rPr>
        <w:tab/>
        <w:t>Provided that a beam scales with means for relieving the bearings and knife edges may be marked Class C, and if so marked shall belong to that class.</w:t>
      </w:r>
    </w:p>
    <w:p>
      <w:pPr>
        <w:pStyle w:val="Footnotesection"/>
      </w:pPr>
      <w:r>
        <w:tab/>
        <w:t xml:space="preserve">[Regulation 56 amended in Gazette 23 May 1960 p. 1398.] </w:t>
      </w:r>
    </w:p>
    <w:p>
      <w:pPr>
        <w:pStyle w:val="Heading5"/>
        <w:rPr>
          <w:snapToGrid w:val="0"/>
        </w:rPr>
      </w:pPr>
      <w:bookmarkStart w:id="75" w:name="_Toc390077100"/>
      <w:r>
        <w:rPr>
          <w:rStyle w:val="CharSectno"/>
        </w:rPr>
        <w:t>57</w:t>
      </w:r>
      <w:r>
        <w:rPr>
          <w:snapToGrid w:val="0"/>
        </w:rPr>
        <w:t>.</w:t>
      </w:r>
      <w:r>
        <w:rPr>
          <w:snapToGrid w:val="0"/>
        </w:rPr>
        <w:tab/>
        <w:t>Attachments to be permanently fastened</w:t>
      </w:r>
      <w:bookmarkEnd w:id="75"/>
    </w:p>
    <w:p>
      <w:pPr>
        <w:pStyle w:val="Subsection"/>
        <w:rPr>
          <w:snapToGrid w:val="0"/>
        </w:rPr>
      </w:pPr>
      <w:r>
        <w:rPr>
          <w:snapToGrid w:val="0"/>
        </w:rPr>
        <w:tab/>
      </w:r>
      <w:r>
        <w:rPr>
          <w:snapToGrid w:val="0"/>
        </w:rPr>
        <w:tab/>
        <w:t>Any attachment for adjusting the balance of a beam scale shall be permanently fastened, and where a balance ball or box is used for occasional adjustment it shall be so fixed that it cannot be readily tampered with.</w:t>
      </w:r>
    </w:p>
    <w:p>
      <w:pPr>
        <w:pStyle w:val="Heading5"/>
        <w:rPr>
          <w:snapToGrid w:val="0"/>
        </w:rPr>
      </w:pPr>
      <w:bookmarkStart w:id="76" w:name="_Toc390077101"/>
      <w:r>
        <w:rPr>
          <w:rStyle w:val="CharSectno"/>
        </w:rPr>
        <w:t>58</w:t>
      </w:r>
      <w:r>
        <w:rPr>
          <w:snapToGrid w:val="0"/>
        </w:rPr>
        <w:t>.</w:t>
      </w:r>
      <w:r>
        <w:rPr>
          <w:snapToGrid w:val="0"/>
        </w:rPr>
        <w:tab/>
        <w:t>Beam scales</w:t>
      </w:r>
      <w:bookmarkEnd w:id="76"/>
    </w:p>
    <w:p>
      <w:pPr>
        <w:pStyle w:val="Subsection"/>
        <w:rPr>
          <w:snapToGrid w:val="0"/>
        </w:rPr>
      </w:pPr>
      <w:r>
        <w:rPr>
          <w:snapToGrid w:val="0"/>
        </w:rPr>
        <w:tab/>
      </w:r>
      <w:r>
        <w:rPr>
          <w:snapToGrid w:val="0"/>
        </w:rPr>
        <w:tab/>
        <w:t>A beam scale shall — </w:t>
      </w:r>
    </w:p>
    <w:p>
      <w:pPr>
        <w:pStyle w:val="Indenta"/>
        <w:rPr>
          <w:snapToGrid w:val="0"/>
        </w:rPr>
      </w:pPr>
      <w:r>
        <w:rPr>
          <w:snapToGrid w:val="0"/>
        </w:rPr>
        <w:tab/>
        <w:t>(a)</w:t>
      </w:r>
      <w:r>
        <w:rPr>
          <w:snapToGrid w:val="0"/>
        </w:rPr>
        <w:tab/>
        <w:t>be correct whether the load is on the middle or near the edge of the pan;</w:t>
      </w:r>
    </w:p>
    <w:p>
      <w:pPr>
        <w:pStyle w:val="Indenta"/>
        <w:rPr>
          <w:snapToGrid w:val="0"/>
        </w:rPr>
      </w:pPr>
      <w:r>
        <w:rPr>
          <w:snapToGrid w:val="0"/>
        </w:rPr>
        <w:tab/>
        <w:t>(b)</w:t>
      </w:r>
      <w:r>
        <w:rPr>
          <w:snapToGrid w:val="0"/>
        </w:rPr>
        <w:tab/>
        <w:t>when loaded to half its capacity, show no appreciable difference in accuracy if the knife edges of bearings are shifted within their limits of movement.</w:t>
      </w:r>
    </w:p>
    <w:p>
      <w:pPr>
        <w:pStyle w:val="Heading5"/>
        <w:rPr>
          <w:snapToGrid w:val="0"/>
        </w:rPr>
      </w:pPr>
      <w:bookmarkStart w:id="77" w:name="_Toc390077102"/>
      <w:r>
        <w:rPr>
          <w:rStyle w:val="CharSectno"/>
        </w:rPr>
        <w:t>59</w:t>
      </w:r>
      <w:r>
        <w:rPr>
          <w:snapToGrid w:val="0"/>
        </w:rPr>
        <w:t>.</w:t>
      </w:r>
      <w:r>
        <w:rPr>
          <w:snapToGrid w:val="0"/>
        </w:rPr>
        <w:tab/>
        <w:t>Stamping plug</w:t>
      </w:r>
      <w:bookmarkEnd w:id="77"/>
    </w:p>
    <w:p>
      <w:pPr>
        <w:pStyle w:val="Subsection"/>
        <w:rPr>
          <w:snapToGrid w:val="0"/>
        </w:rPr>
      </w:pPr>
      <w:r>
        <w:rPr>
          <w:snapToGrid w:val="0"/>
        </w:rPr>
        <w:tab/>
      </w:r>
      <w:r>
        <w:rPr>
          <w:snapToGrid w:val="0"/>
        </w:rPr>
        <w:tab/>
        <w:t>The stamping plug in a beam scale shall be fixed in the beam immediately under or over the central knife edge, or as near as practicable thereto.</w:t>
      </w:r>
    </w:p>
    <w:p>
      <w:pPr>
        <w:pStyle w:val="Heading5"/>
        <w:rPr>
          <w:snapToGrid w:val="0"/>
        </w:rPr>
      </w:pPr>
      <w:bookmarkStart w:id="78" w:name="_Toc390077103"/>
      <w:r>
        <w:rPr>
          <w:rStyle w:val="CharSectno"/>
        </w:rPr>
        <w:t>60</w:t>
      </w:r>
      <w:r>
        <w:rPr>
          <w:snapToGrid w:val="0"/>
        </w:rPr>
        <w:t>.</w:t>
      </w:r>
      <w:r>
        <w:rPr>
          <w:snapToGrid w:val="0"/>
        </w:rPr>
        <w:tab/>
        <w:t>Certain beam scales not to be verified</w:t>
      </w:r>
      <w:bookmarkEnd w:id="78"/>
    </w:p>
    <w:p>
      <w:pPr>
        <w:pStyle w:val="Subsection"/>
        <w:rPr>
          <w:snapToGrid w:val="0"/>
        </w:rPr>
      </w:pPr>
      <w:r>
        <w:rPr>
          <w:snapToGrid w:val="0"/>
        </w:rPr>
        <w:tab/>
      </w:r>
      <w:r>
        <w:rPr>
          <w:snapToGrid w:val="0"/>
        </w:rPr>
        <w:tab/>
        <w:t>An Inspector shall not stamp any beam scale — </w:t>
      </w:r>
    </w:p>
    <w:p>
      <w:pPr>
        <w:pStyle w:val="Indenta"/>
        <w:rPr>
          <w:snapToGrid w:val="0"/>
        </w:rPr>
      </w:pPr>
      <w:r>
        <w:rPr>
          <w:snapToGrid w:val="0"/>
        </w:rPr>
        <w:tab/>
        <w:t>(a)</w:t>
      </w:r>
      <w:r>
        <w:rPr>
          <w:snapToGrid w:val="0"/>
        </w:rPr>
        <w:tab/>
        <w:t>which accelerates;</w:t>
      </w:r>
    </w:p>
    <w:p>
      <w:pPr>
        <w:pStyle w:val="Indenta"/>
        <w:rPr>
          <w:snapToGrid w:val="0"/>
        </w:rPr>
      </w:pPr>
      <w:r>
        <w:rPr>
          <w:snapToGrid w:val="0"/>
        </w:rPr>
        <w:tab/>
        <w:t>(b)</w:t>
      </w:r>
      <w:r>
        <w:rPr>
          <w:snapToGrid w:val="0"/>
        </w:rPr>
        <w:tab/>
        <w:t>such as could in use be suspended in the hand, unless provided with a suitable stand;</w:t>
      </w:r>
    </w:p>
    <w:p>
      <w:pPr>
        <w:pStyle w:val="Indenta"/>
        <w:rPr>
          <w:snapToGrid w:val="0"/>
        </w:rPr>
      </w:pPr>
      <w:r>
        <w:rPr>
          <w:snapToGrid w:val="0"/>
        </w:rPr>
        <w:tab/>
        <w:t>(c)</w:t>
      </w:r>
      <w:r>
        <w:rPr>
          <w:snapToGrid w:val="0"/>
        </w:rPr>
        <w:tab/>
        <w:t>with swan</w:t>
      </w:r>
      <w:r>
        <w:rPr>
          <w:snapToGrid w:val="0"/>
        </w:rPr>
        <w:noBreakHyphen/>
        <w:t>neck ends the beam of which is under 16 inches in length, or is of a capacity of 7 lb. or under;</w:t>
      </w:r>
    </w:p>
    <w:p>
      <w:pPr>
        <w:pStyle w:val="Indenta"/>
        <w:rPr>
          <w:snapToGrid w:val="0"/>
        </w:rPr>
      </w:pPr>
      <w:r>
        <w:rPr>
          <w:snapToGrid w:val="0"/>
        </w:rPr>
        <w:tab/>
        <w:t>(d)</w:t>
      </w:r>
      <w:r>
        <w:rPr>
          <w:snapToGrid w:val="0"/>
        </w:rPr>
        <w:tab/>
        <w:t>with wooden scale boards, unless of a capacity of 2 cwt. or over;</w:t>
      </w:r>
    </w:p>
    <w:p>
      <w:pPr>
        <w:pStyle w:val="Indenta"/>
        <w:rPr>
          <w:snapToGrid w:val="0"/>
        </w:rPr>
      </w:pPr>
      <w:r>
        <w:rPr>
          <w:snapToGrid w:val="0"/>
        </w:rPr>
        <w:tab/>
        <w:t>(e)</w:t>
      </w:r>
      <w:r>
        <w:rPr>
          <w:snapToGrid w:val="0"/>
        </w:rPr>
        <w:tab/>
        <w:t>with loaded weight pans, unless the loading is suitably enclosed;</w:t>
      </w:r>
    </w:p>
    <w:p>
      <w:pPr>
        <w:pStyle w:val="Indenta"/>
        <w:rPr>
          <w:snapToGrid w:val="0"/>
        </w:rPr>
      </w:pPr>
      <w:r>
        <w:rPr>
          <w:snapToGrid w:val="0"/>
        </w:rPr>
        <w:tab/>
        <w:t>(f)</w:t>
      </w:r>
      <w:r>
        <w:rPr>
          <w:snapToGrid w:val="0"/>
        </w:rPr>
        <w:tab/>
        <w:t>with a china goods pans which is much cracked or chipped;</w:t>
      </w:r>
    </w:p>
    <w:p>
      <w:pPr>
        <w:pStyle w:val="Indenta"/>
        <w:rPr>
          <w:snapToGrid w:val="0"/>
        </w:rPr>
      </w:pPr>
      <w:r>
        <w:rPr>
          <w:snapToGrid w:val="0"/>
        </w:rPr>
        <w:tab/>
        <w:t>(g)</w:t>
      </w:r>
      <w:r>
        <w:rPr>
          <w:snapToGrid w:val="0"/>
        </w:rPr>
        <w:tab/>
        <w:t>which is not provided with a tongue or pointer, either upwards or downwards from its centre at right angles with a line joining the extreme knife edge, or some equivalent arrangement for indicating the position of equilibrium.</w:t>
      </w:r>
    </w:p>
    <w:p>
      <w:pPr>
        <w:pStyle w:val="Footnotesection"/>
      </w:pPr>
      <w:r>
        <w:tab/>
        <w:t xml:space="preserve">[Regulation 60 amended in Gazette 23 May 1960 p. 1398.] </w:t>
      </w:r>
    </w:p>
    <w:p>
      <w:pPr>
        <w:pStyle w:val="MiscellaneousHeading"/>
        <w:outlineLvl w:val="0"/>
        <w:rPr>
          <w:b/>
          <w:snapToGrid w:val="0"/>
        </w:rPr>
      </w:pPr>
      <w:r>
        <w:rPr>
          <w:b/>
          <w:snapToGrid w:val="0"/>
        </w:rPr>
        <w:t>Counter scale</w:t>
      </w:r>
    </w:p>
    <w:p>
      <w:pPr>
        <w:pStyle w:val="Heading5"/>
        <w:rPr>
          <w:snapToGrid w:val="0"/>
        </w:rPr>
      </w:pPr>
      <w:bookmarkStart w:id="79" w:name="_Toc390077104"/>
      <w:r>
        <w:rPr>
          <w:rStyle w:val="CharSectno"/>
        </w:rPr>
        <w:t>61</w:t>
      </w:r>
      <w:r>
        <w:rPr>
          <w:snapToGrid w:val="0"/>
        </w:rPr>
        <w:t>.</w:t>
      </w:r>
      <w:r>
        <w:rPr>
          <w:snapToGrid w:val="0"/>
        </w:rPr>
        <w:tab/>
        <w:t>Definition of “counter scale”</w:t>
      </w:r>
      <w:bookmarkEnd w:id="79"/>
    </w:p>
    <w:p>
      <w:pPr>
        <w:pStyle w:val="Subsection"/>
        <w:rPr>
          <w:snapToGrid w:val="0"/>
        </w:rPr>
      </w:pPr>
      <w:r>
        <w:rPr>
          <w:snapToGrid w:val="0"/>
        </w:rPr>
        <w:tab/>
      </w:r>
      <w:r>
        <w:rPr>
          <w:snapToGrid w:val="0"/>
        </w:rPr>
        <w:tab/>
        <w:t xml:space="preserve">The term </w:t>
      </w:r>
      <w:r>
        <w:rPr>
          <w:b/>
          <w:snapToGrid w:val="0"/>
        </w:rPr>
        <w:t>“</w:t>
      </w:r>
      <w:r>
        <w:rPr>
          <w:rStyle w:val="CharDefText"/>
        </w:rPr>
        <w:t>counter scale</w:t>
      </w:r>
      <w:r>
        <w:rPr>
          <w:b/>
          <w:snapToGrid w:val="0"/>
        </w:rPr>
        <w:t>”</w:t>
      </w:r>
      <w:r>
        <w:rPr>
          <w:snapToGrid w:val="0"/>
        </w:rPr>
        <w:t xml:space="preserve"> means any equal</w:t>
      </w:r>
      <w:r>
        <w:rPr>
          <w:snapToGrid w:val="0"/>
        </w:rPr>
        <w:noBreakHyphen/>
        <w:t>armed weighing instrument in which the pans are above the beam, of a type designed for counter use, and of a capacity not exceeding 1 cwt.</w:t>
      </w:r>
    </w:p>
    <w:p>
      <w:pPr>
        <w:pStyle w:val="Heading5"/>
        <w:rPr>
          <w:snapToGrid w:val="0"/>
        </w:rPr>
      </w:pPr>
      <w:bookmarkStart w:id="80" w:name="_Toc390077105"/>
      <w:r>
        <w:rPr>
          <w:rStyle w:val="CharSectno"/>
        </w:rPr>
        <w:t>62</w:t>
      </w:r>
      <w:r>
        <w:rPr>
          <w:snapToGrid w:val="0"/>
        </w:rPr>
        <w:t>.</w:t>
      </w:r>
      <w:r>
        <w:rPr>
          <w:snapToGrid w:val="0"/>
        </w:rPr>
        <w:tab/>
        <w:t>Counter scales</w:t>
      </w:r>
      <w:bookmarkEnd w:id="80"/>
    </w:p>
    <w:p>
      <w:pPr>
        <w:pStyle w:val="Subsection"/>
        <w:rPr>
          <w:snapToGrid w:val="0"/>
        </w:rPr>
      </w:pPr>
      <w:r>
        <w:rPr>
          <w:snapToGrid w:val="0"/>
        </w:rPr>
        <w:tab/>
      </w:r>
      <w:r>
        <w:rPr>
          <w:snapToGrid w:val="0"/>
        </w:rPr>
        <w:tab/>
        <w:t>A counter scales shall — </w:t>
      </w:r>
    </w:p>
    <w:p>
      <w:pPr>
        <w:pStyle w:val="Indenta"/>
        <w:rPr>
          <w:snapToGrid w:val="0"/>
        </w:rPr>
      </w:pPr>
      <w:r>
        <w:rPr>
          <w:snapToGrid w:val="0"/>
        </w:rPr>
        <w:tab/>
        <w:t>(a)</w:t>
      </w:r>
      <w:r>
        <w:rPr>
          <w:snapToGrid w:val="0"/>
        </w:rPr>
        <w:tab/>
        <w:t>when the beam or body has 2 sides, have such sides connected by not less than 2 cross</w:t>
      </w:r>
      <w:r>
        <w:rPr>
          <w:snapToGrid w:val="0"/>
        </w:rPr>
        <w:noBreakHyphen/>
        <w:t>bars;</w:t>
      </w:r>
    </w:p>
    <w:p>
      <w:pPr>
        <w:pStyle w:val="Indenta"/>
        <w:rPr>
          <w:snapToGrid w:val="0"/>
        </w:rPr>
      </w:pPr>
      <w:r>
        <w:rPr>
          <w:snapToGrid w:val="0"/>
        </w:rPr>
        <w:tab/>
        <w:t>(b)</w:t>
      </w:r>
      <w:r>
        <w:rPr>
          <w:snapToGrid w:val="0"/>
        </w:rPr>
        <w:tab/>
        <w:t>have the supports for the pans of a suitable rigid structure, such as crosses, strengthened by straps;</w:t>
      </w:r>
    </w:p>
    <w:p>
      <w:pPr>
        <w:pStyle w:val="Indenta"/>
        <w:rPr>
          <w:snapToGrid w:val="0"/>
        </w:rPr>
      </w:pPr>
      <w:r>
        <w:rPr>
          <w:snapToGrid w:val="0"/>
        </w:rPr>
        <w:tab/>
        <w:t>(c)</w:t>
      </w:r>
      <w:r>
        <w:rPr>
          <w:snapToGrid w:val="0"/>
        </w:rPr>
        <w:tab/>
        <w:t>have the centre forks so fixed that they cannot twist of get out of place;</w:t>
      </w:r>
    </w:p>
    <w:p>
      <w:pPr>
        <w:pStyle w:val="Indenta"/>
        <w:rPr>
          <w:snapToGrid w:val="0"/>
        </w:rPr>
      </w:pPr>
      <w:r>
        <w:rPr>
          <w:snapToGrid w:val="0"/>
        </w:rPr>
        <w:tab/>
        <w:t>(d)</w:t>
      </w:r>
      <w:r>
        <w:rPr>
          <w:snapToGrid w:val="0"/>
        </w:rPr>
        <w:tab/>
        <w:t>have the bearing surface and points of contact of all legs, stays, hooks, and loops of hard steel, or agate, or other material approved by the Chief Inspector;</w:t>
      </w:r>
    </w:p>
    <w:p>
      <w:pPr>
        <w:pStyle w:val="Indenta"/>
        <w:keepNext/>
        <w:spacing w:after="80"/>
        <w:rPr>
          <w:snapToGrid w:val="0"/>
        </w:rPr>
      </w:pPr>
      <w:r>
        <w:rPr>
          <w:snapToGrid w:val="0"/>
        </w:rPr>
        <w:tab/>
        <w:t>(e)</w:t>
      </w:r>
      <w:r>
        <w:rPr>
          <w:snapToGrid w:val="0"/>
        </w:rPr>
        <w:tab/>
        <w:t>when of the vibrating type, have a fall either way not less than as hereunder specified — </w:t>
      </w:r>
    </w:p>
    <w:tbl>
      <w:tblPr>
        <w:tblW w:w="0" w:type="auto"/>
        <w:tblInd w:w="1701" w:type="dxa"/>
        <w:tblBorders>
          <w:top w:val="single" w:sz="4" w:space="0" w:color="auto"/>
          <w:bottom w:val="single" w:sz="4" w:space="0" w:color="auto"/>
          <w:insideH w:val="single" w:sz="4" w:space="0" w:color="auto"/>
          <w:insideV w:val="single" w:sz="4" w:space="0" w:color="auto"/>
        </w:tblBorders>
        <w:tblLayout w:type="fixed"/>
        <w:tblCellMar>
          <w:left w:w="59" w:type="dxa"/>
          <w:right w:w="59" w:type="dxa"/>
        </w:tblCellMar>
        <w:tblLook w:val="0000" w:firstRow="0" w:lastRow="0" w:firstColumn="0" w:lastColumn="0" w:noHBand="0" w:noVBand="0"/>
      </w:tblPr>
      <w:tblGrid>
        <w:gridCol w:w="4312"/>
        <w:gridCol w:w="1134"/>
      </w:tblGrid>
      <w:tr>
        <w:tc>
          <w:tcPr>
            <w:tcW w:w="4312" w:type="dxa"/>
            <w:tcBorders>
              <w:bottom w:val="nil"/>
            </w:tcBorders>
          </w:tcPr>
          <w:p>
            <w:pPr>
              <w:pStyle w:val="Table"/>
              <w:keepNext/>
              <w:spacing w:line="220" w:lineRule="atLeast"/>
              <w:ind w:right="-142"/>
              <w:jc w:val="center"/>
              <w:rPr>
                <w:b/>
                <w:sz w:val="18"/>
              </w:rPr>
            </w:pPr>
            <w:r>
              <w:rPr>
                <w:b/>
                <w:sz w:val="18"/>
              </w:rPr>
              <w:t>Capacity</w:t>
            </w:r>
          </w:p>
        </w:tc>
        <w:tc>
          <w:tcPr>
            <w:tcW w:w="1134" w:type="dxa"/>
            <w:tcBorders>
              <w:bottom w:val="nil"/>
            </w:tcBorders>
          </w:tcPr>
          <w:p>
            <w:pPr>
              <w:pStyle w:val="Table"/>
              <w:keepNext/>
              <w:spacing w:line="220" w:lineRule="atLeast"/>
              <w:jc w:val="center"/>
              <w:rPr>
                <w:b/>
                <w:sz w:val="18"/>
              </w:rPr>
            </w:pPr>
            <w:r>
              <w:rPr>
                <w:b/>
                <w:sz w:val="18"/>
              </w:rPr>
              <w:t>Fall</w:t>
            </w:r>
          </w:p>
        </w:tc>
      </w:tr>
      <w:tr>
        <w:tc>
          <w:tcPr>
            <w:tcW w:w="4312" w:type="dxa"/>
            <w:tcBorders>
              <w:bottom w:val="nil"/>
            </w:tcBorders>
          </w:tcPr>
          <w:p>
            <w:pPr>
              <w:pStyle w:val="Table"/>
              <w:keepNext/>
              <w:spacing w:line="220" w:lineRule="atLeast"/>
              <w:ind w:right="-142"/>
              <w:rPr>
                <w:b/>
                <w:sz w:val="18"/>
              </w:rPr>
            </w:pPr>
          </w:p>
        </w:tc>
        <w:tc>
          <w:tcPr>
            <w:tcW w:w="1134" w:type="dxa"/>
            <w:tcBorders>
              <w:bottom w:val="nil"/>
            </w:tcBorders>
          </w:tcPr>
          <w:p>
            <w:pPr>
              <w:pStyle w:val="Table"/>
              <w:keepNext/>
              <w:spacing w:line="220" w:lineRule="atLeast"/>
              <w:jc w:val="center"/>
              <w:rPr>
                <w:b/>
                <w:sz w:val="18"/>
              </w:rPr>
            </w:pPr>
            <w:r>
              <w:rPr>
                <w:b/>
                <w:sz w:val="18"/>
              </w:rPr>
              <w:t>Inch</w:t>
            </w:r>
          </w:p>
        </w:tc>
      </w:tr>
      <w:tr>
        <w:tc>
          <w:tcPr>
            <w:tcW w:w="4312" w:type="dxa"/>
            <w:tcBorders>
              <w:top w:val="nil"/>
              <w:bottom w:val="nil"/>
            </w:tcBorders>
          </w:tcPr>
          <w:p>
            <w:pPr>
              <w:pStyle w:val="Table"/>
              <w:spacing w:line="220" w:lineRule="atLeast"/>
              <w:ind w:right="-142"/>
              <w:rPr>
                <w:sz w:val="18"/>
              </w:rPr>
            </w:pPr>
            <w:r>
              <w:rPr>
                <w:sz w:val="18"/>
              </w:rPr>
              <w:t>Not exceeding 4 lb. ..............................................................</w:t>
            </w:r>
          </w:p>
        </w:tc>
        <w:tc>
          <w:tcPr>
            <w:tcW w:w="1134" w:type="dxa"/>
            <w:tcBorders>
              <w:top w:val="nil"/>
              <w:bottom w:val="nil"/>
            </w:tcBorders>
          </w:tcPr>
          <w:p>
            <w:pPr>
              <w:pStyle w:val="Table"/>
              <w:spacing w:line="220" w:lineRule="atLeast"/>
              <w:jc w:val="center"/>
              <w:rPr>
                <w:sz w:val="18"/>
              </w:rPr>
            </w:pPr>
            <w:r>
              <w:rPr>
                <w:sz w:val="18"/>
              </w:rPr>
              <w:t>¼</w:t>
            </w:r>
          </w:p>
        </w:tc>
      </w:tr>
      <w:tr>
        <w:tc>
          <w:tcPr>
            <w:tcW w:w="4312" w:type="dxa"/>
            <w:tcBorders>
              <w:top w:val="nil"/>
              <w:bottom w:val="nil"/>
            </w:tcBorders>
          </w:tcPr>
          <w:p>
            <w:pPr>
              <w:pStyle w:val="Table"/>
              <w:spacing w:line="220" w:lineRule="atLeast"/>
              <w:ind w:right="-142"/>
              <w:rPr>
                <w:sz w:val="18"/>
              </w:rPr>
            </w:pPr>
            <w:r>
              <w:rPr>
                <w:sz w:val="18"/>
              </w:rPr>
              <w:t>Above 4 lb. and not exceeding 7 lb. ....................................</w:t>
            </w:r>
          </w:p>
        </w:tc>
        <w:tc>
          <w:tcPr>
            <w:tcW w:w="1134" w:type="dxa"/>
            <w:tcBorders>
              <w:top w:val="nil"/>
              <w:bottom w:val="nil"/>
            </w:tcBorders>
          </w:tcPr>
          <w:p>
            <w:pPr>
              <w:pStyle w:val="Table"/>
              <w:spacing w:line="220" w:lineRule="atLeast"/>
              <w:jc w:val="center"/>
              <w:rPr>
                <w:sz w:val="18"/>
              </w:rPr>
            </w:pPr>
            <w:r>
              <w:rPr>
                <w:sz w:val="18"/>
                <w:vertAlign w:val="superscript"/>
              </w:rPr>
              <w:t>5</w:t>
            </w:r>
            <w:r>
              <w:rPr>
                <w:sz w:val="18"/>
              </w:rPr>
              <w:t>/</w:t>
            </w:r>
            <w:r>
              <w:rPr>
                <w:sz w:val="18"/>
                <w:vertAlign w:val="subscript"/>
              </w:rPr>
              <w:t>16</w:t>
            </w:r>
          </w:p>
        </w:tc>
      </w:tr>
      <w:tr>
        <w:tc>
          <w:tcPr>
            <w:tcW w:w="4312" w:type="dxa"/>
            <w:tcBorders>
              <w:top w:val="nil"/>
              <w:bottom w:val="nil"/>
            </w:tcBorders>
          </w:tcPr>
          <w:p>
            <w:pPr>
              <w:pStyle w:val="Table"/>
              <w:spacing w:line="220" w:lineRule="atLeast"/>
              <w:ind w:right="-142"/>
              <w:rPr>
                <w:sz w:val="18"/>
              </w:rPr>
            </w:pPr>
            <w:r>
              <w:rPr>
                <w:sz w:val="18"/>
              </w:rPr>
              <w:t>Above 7 lb. and not exceeding 28 lb. ..................................</w:t>
            </w:r>
          </w:p>
        </w:tc>
        <w:tc>
          <w:tcPr>
            <w:tcW w:w="1134" w:type="dxa"/>
            <w:tcBorders>
              <w:top w:val="nil"/>
              <w:bottom w:val="nil"/>
            </w:tcBorders>
          </w:tcPr>
          <w:p>
            <w:pPr>
              <w:pStyle w:val="Table"/>
              <w:spacing w:line="220" w:lineRule="atLeast"/>
              <w:jc w:val="center"/>
              <w:rPr>
                <w:sz w:val="18"/>
              </w:rPr>
            </w:pPr>
            <w:r>
              <w:rPr>
                <w:sz w:val="18"/>
                <w:vertAlign w:val="superscript"/>
              </w:rPr>
              <w:t>3</w:t>
            </w:r>
            <w:r>
              <w:rPr>
                <w:sz w:val="18"/>
              </w:rPr>
              <w:t>/</w:t>
            </w:r>
            <w:r>
              <w:rPr>
                <w:sz w:val="18"/>
                <w:vertAlign w:val="subscript"/>
              </w:rPr>
              <w:t>8</w:t>
            </w:r>
          </w:p>
        </w:tc>
      </w:tr>
      <w:tr>
        <w:tc>
          <w:tcPr>
            <w:tcW w:w="4312" w:type="dxa"/>
            <w:tcBorders>
              <w:top w:val="nil"/>
              <w:bottom w:val="nil"/>
            </w:tcBorders>
          </w:tcPr>
          <w:p>
            <w:pPr>
              <w:pStyle w:val="Table"/>
              <w:spacing w:line="220" w:lineRule="atLeast"/>
              <w:ind w:right="-142"/>
              <w:rPr>
                <w:sz w:val="18"/>
              </w:rPr>
            </w:pPr>
            <w:r>
              <w:rPr>
                <w:sz w:val="18"/>
              </w:rPr>
              <w:t>Above 28 lb. and not exceeding 56 lb. ................................</w:t>
            </w:r>
          </w:p>
        </w:tc>
        <w:tc>
          <w:tcPr>
            <w:tcW w:w="1134" w:type="dxa"/>
            <w:tcBorders>
              <w:top w:val="nil"/>
              <w:bottom w:val="nil"/>
            </w:tcBorders>
          </w:tcPr>
          <w:p>
            <w:pPr>
              <w:pStyle w:val="Table"/>
              <w:spacing w:line="220" w:lineRule="atLeast"/>
              <w:jc w:val="center"/>
              <w:rPr>
                <w:sz w:val="18"/>
              </w:rPr>
            </w:pPr>
            <w:r>
              <w:rPr>
                <w:sz w:val="18"/>
                <w:vertAlign w:val="superscript"/>
              </w:rPr>
              <w:t>7</w:t>
            </w:r>
            <w:r>
              <w:rPr>
                <w:sz w:val="18"/>
              </w:rPr>
              <w:t>/</w:t>
            </w:r>
            <w:r>
              <w:rPr>
                <w:sz w:val="18"/>
                <w:vertAlign w:val="subscript"/>
              </w:rPr>
              <w:t>16</w:t>
            </w:r>
          </w:p>
        </w:tc>
      </w:tr>
      <w:tr>
        <w:tc>
          <w:tcPr>
            <w:tcW w:w="4312" w:type="dxa"/>
            <w:tcBorders>
              <w:top w:val="nil"/>
            </w:tcBorders>
          </w:tcPr>
          <w:p>
            <w:pPr>
              <w:pStyle w:val="Table"/>
              <w:spacing w:line="220" w:lineRule="atLeast"/>
              <w:ind w:right="-142"/>
              <w:rPr>
                <w:sz w:val="18"/>
              </w:rPr>
            </w:pPr>
            <w:r>
              <w:rPr>
                <w:sz w:val="18"/>
              </w:rPr>
              <w:t>Above 56 lb. ........................................................................</w:t>
            </w:r>
          </w:p>
        </w:tc>
        <w:tc>
          <w:tcPr>
            <w:tcW w:w="1134" w:type="dxa"/>
            <w:tcBorders>
              <w:top w:val="nil"/>
            </w:tcBorders>
          </w:tcPr>
          <w:p>
            <w:pPr>
              <w:pStyle w:val="Table"/>
              <w:spacing w:line="220" w:lineRule="atLeast"/>
              <w:jc w:val="center"/>
              <w:rPr>
                <w:sz w:val="18"/>
              </w:rPr>
            </w:pPr>
            <w:r>
              <w:rPr>
                <w:sz w:val="18"/>
              </w:rPr>
              <w:t>½</w:t>
            </w:r>
          </w:p>
        </w:tc>
      </w:tr>
    </w:tbl>
    <w:p>
      <w:pPr>
        <w:pStyle w:val="Indenta"/>
        <w:spacing w:before="60"/>
        <w:rPr>
          <w:snapToGrid w:val="0"/>
        </w:rPr>
      </w:pPr>
      <w:r>
        <w:rPr>
          <w:snapToGrid w:val="0"/>
        </w:rPr>
        <w:tab/>
        <w:t>(f)</w:t>
      </w:r>
      <w:r>
        <w:rPr>
          <w:snapToGrid w:val="0"/>
        </w:rPr>
        <w:tab/>
        <w:t>when loaded to half its capacity show no appreciable difference in accuracy if the knife</w:t>
      </w:r>
      <w:r>
        <w:rPr>
          <w:snapToGrid w:val="0"/>
        </w:rPr>
        <w:noBreakHyphen/>
        <w:t>edges or bearings are shifted within the limits of their movement;</w:t>
      </w:r>
    </w:p>
    <w:p>
      <w:pPr>
        <w:pStyle w:val="Indenta"/>
        <w:spacing w:before="60"/>
        <w:rPr>
          <w:snapToGrid w:val="0"/>
        </w:rPr>
      </w:pPr>
      <w:r>
        <w:rPr>
          <w:snapToGrid w:val="0"/>
        </w:rPr>
        <w:tab/>
        <w:t>(g)</w:t>
      </w:r>
      <w:r>
        <w:rPr>
          <w:snapToGrid w:val="0"/>
        </w:rPr>
        <w:tab/>
        <w:t>when the goods pan is not in the form of a scoop, indicate the same weight within half the prescribed limits of error, if the centre of half the full load is placed anywhere within a distance from the centre of the goods pan equal to one</w:t>
      </w:r>
      <w:r>
        <w:rPr>
          <w:snapToGrid w:val="0"/>
        </w:rPr>
        <w:noBreakHyphen/>
        <w:t>third the greatest length of such pan, or if the pan has a vertical side, against the middle of that side, the weights being entirely on the weights pan, but in any position thereon;</w:t>
      </w:r>
    </w:p>
    <w:p>
      <w:pPr>
        <w:pStyle w:val="Indenta"/>
        <w:spacing w:before="60"/>
        <w:rPr>
          <w:snapToGrid w:val="0"/>
        </w:rPr>
      </w:pPr>
      <w:r>
        <w:rPr>
          <w:snapToGrid w:val="0"/>
        </w:rPr>
        <w:tab/>
        <w:t>(h)</w:t>
      </w:r>
      <w:r>
        <w:rPr>
          <w:snapToGrid w:val="0"/>
        </w:rPr>
        <w:tab/>
      </w:r>
      <w:r>
        <w:rPr>
          <w:snapToGrid w:val="0"/>
          <w:spacing w:val="-2"/>
        </w:rPr>
        <w:t>when the goods pan is in the form of a scoop, be correct if half the full load is placed against the middle of the back of the scoop, and the other half in any position on it;</w:t>
      </w:r>
    </w:p>
    <w:p>
      <w:pPr>
        <w:pStyle w:val="Indenta"/>
        <w:spacing w:before="60"/>
        <w:rPr>
          <w:snapToGrid w:val="0"/>
        </w:rPr>
      </w:pPr>
      <w:r>
        <w:rPr>
          <w:snapToGrid w:val="0"/>
        </w:rPr>
        <w:tab/>
        <w:t>(i)</w:t>
      </w:r>
      <w:r>
        <w:rPr>
          <w:snapToGrid w:val="0"/>
        </w:rPr>
        <w:tab/>
        <w:t>have the stamping plug fixed in a conspicuous part of the beam or body.</w:t>
      </w:r>
    </w:p>
    <w:p>
      <w:pPr>
        <w:pStyle w:val="Footnotesection"/>
        <w:spacing w:before="100"/>
        <w:ind w:left="890" w:hanging="890"/>
      </w:pPr>
      <w:r>
        <w:tab/>
        <w:t xml:space="preserve">[Regulation 62 amended in Gazette 23 May 1960 p. 1398; 9 Sep 1968 p. 2743; 31 Aug 1984 p. 2829.] </w:t>
      </w:r>
    </w:p>
    <w:p>
      <w:pPr>
        <w:pStyle w:val="Heading5"/>
        <w:rPr>
          <w:snapToGrid w:val="0"/>
        </w:rPr>
      </w:pPr>
      <w:bookmarkStart w:id="81" w:name="_Toc390077106"/>
      <w:r>
        <w:rPr>
          <w:rStyle w:val="CharSectno"/>
        </w:rPr>
        <w:t>63</w:t>
      </w:r>
      <w:r>
        <w:rPr>
          <w:snapToGrid w:val="0"/>
        </w:rPr>
        <w:t>.</w:t>
      </w:r>
      <w:r>
        <w:rPr>
          <w:snapToGrid w:val="0"/>
        </w:rPr>
        <w:tab/>
        <w:t>Balancing box</w:t>
      </w:r>
      <w:bookmarkEnd w:id="81"/>
    </w:p>
    <w:p>
      <w:pPr>
        <w:pStyle w:val="Subsection"/>
        <w:spacing w:before="140"/>
        <w:rPr>
          <w:snapToGrid w:val="0"/>
        </w:rPr>
      </w:pPr>
      <w:r>
        <w:rPr>
          <w:snapToGrid w:val="0"/>
        </w:rPr>
        <w:tab/>
      </w:r>
      <w:r>
        <w:rPr>
          <w:snapToGrid w:val="0"/>
        </w:rPr>
        <w:tab/>
        <w:t>No adjusting contrivance other than a balancing box shall be permissible.</w:t>
      </w:r>
    </w:p>
    <w:p>
      <w:pPr>
        <w:pStyle w:val="Subsection"/>
        <w:spacing w:before="140"/>
        <w:rPr>
          <w:snapToGrid w:val="0"/>
        </w:rPr>
      </w:pPr>
      <w:r>
        <w:rPr>
          <w:snapToGrid w:val="0"/>
        </w:rPr>
        <w:tab/>
      </w:r>
      <w:r>
        <w:rPr>
          <w:snapToGrid w:val="0"/>
        </w:rPr>
        <w:tab/>
        <w:t>Any balancing box shall be permanently fixed beneath the weights pan.</w:t>
      </w:r>
    </w:p>
    <w:p>
      <w:pPr>
        <w:pStyle w:val="Footnotesection"/>
        <w:spacing w:before="100"/>
        <w:ind w:left="890" w:hanging="890"/>
      </w:pPr>
      <w:r>
        <w:tab/>
        <w:t xml:space="preserve">[Regulation 63 amended in Gazette 23 May 1960 p. 1398.] </w:t>
      </w:r>
    </w:p>
    <w:p>
      <w:pPr>
        <w:pStyle w:val="Heading5"/>
        <w:spacing w:before="180"/>
        <w:rPr>
          <w:snapToGrid w:val="0"/>
        </w:rPr>
      </w:pPr>
      <w:bookmarkStart w:id="82" w:name="_Toc390077107"/>
      <w:r>
        <w:rPr>
          <w:rStyle w:val="CharSectno"/>
        </w:rPr>
        <w:t>64</w:t>
      </w:r>
      <w:r>
        <w:rPr>
          <w:snapToGrid w:val="0"/>
        </w:rPr>
        <w:t>.</w:t>
      </w:r>
      <w:r>
        <w:rPr>
          <w:snapToGrid w:val="0"/>
        </w:rPr>
        <w:tab/>
        <w:t>Certain counter scales not to be verified</w:t>
      </w:r>
      <w:bookmarkEnd w:id="82"/>
    </w:p>
    <w:p>
      <w:pPr>
        <w:pStyle w:val="Subsection"/>
        <w:spacing w:before="120"/>
        <w:rPr>
          <w:snapToGrid w:val="0"/>
        </w:rPr>
      </w:pPr>
      <w:r>
        <w:rPr>
          <w:snapToGrid w:val="0"/>
        </w:rPr>
        <w:tab/>
      </w:r>
      <w:r>
        <w:rPr>
          <w:snapToGrid w:val="0"/>
        </w:rPr>
        <w:tab/>
        <w:t>An Inspector shall not stamp — </w:t>
      </w:r>
    </w:p>
    <w:p>
      <w:pPr>
        <w:pStyle w:val="Indenta"/>
        <w:spacing w:before="60"/>
        <w:rPr>
          <w:snapToGrid w:val="0"/>
        </w:rPr>
      </w:pPr>
      <w:r>
        <w:rPr>
          <w:snapToGrid w:val="0"/>
        </w:rPr>
        <w:tab/>
        <w:t>(a)</w:t>
      </w:r>
      <w:r>
        <w:rPr>
          <w:snapToGrid w:val="0"/>
        </w:rPr>
        <w:tab/>
        <w:t>any accelerating counter scale;</w:t>
      </w:r>
    </w:p>
    <w:p>
      <w:pPr>
        <w:pStyle w:val="Indenta"/>
        <w:spacing w:before="60"/>
        <w:rPr>
          <w:snapToGrid w:val="0"/>
        </w:rPr>
      </w:pPr>
      <w:r>
        <w:rPr>
          <w:snapToGrid w:val="0"/>
        </w:rPr>
        <w:tab/>
        <w:t>(b)</w:t>
      </w:r>
      <w:r>
        <w:rPr>
          <w:snapToGrid w:val="0"/>
        </w:rPr>
        <w:tab/>
        <w:t>any counter scale — </w:t>
      </w:r>
    </w:p>
    <w:p>
      <w:pPr>
        <w:pStyle w:val="Indenti"/>
        <w:spacing w:before="60"/>
        <w:rPr>
          <w:snapToGrid w:val="0"/>
        </w:rPr>
      </w:pPr>
      <w:r>
        <w:rPr>
          <w:snapToGrid w:val="0"/>
        </w:rPr>
        <w:tab/>
        <w:t>(1)</w:t>
      </w:r>
      <w:r>
        <w:rPr>
          <w:snapToGrid w:val="0"/>
        </w:rPr>
        <w:tab/>
        <w:t>having a sliding or tare weight unless of a type approved by the Chief Inspector;</w:t>
      </w:r>
    </w:p>
    <w:p>
      <w:pPr>
        <w:pStyle w:val="Indenti"/>
        <w:spacing w:before="60"/>
        <w:rPr>
          <w:snapToGrid w:val="0"/>
        </w:rPr>
      </w:pPr>
      <w:r>
        <w:rPr>
          <w:snapToGrid w:val="0"/>
        </w:rPr>
        <w:tab/>
        <w:t>(2)</w:t>
      </w:r>
      <w:r>
        <w:rPr>
          <w:snapToGrid w:val="0"/>
        </w:rPr>
        <w:tab/>
        <w:t>having a china goods plate which is much cracked or chipped, or which by loss of glazing has become readily absorbent.</w:t>
      </w:r>
    </w:p>
    <w:p>
      <w:pPr>
        <w:pStyle w:val="Footnotesection"/>
        <w:spacing w:before="100"/>
        <w:ind w:left="890" w:hanging="890"/>
      </w:pPr>
      <w:r>
        <w:tab/>
        <w:t xml:space="preserve">[Regulation 64 amended in Gazette 23 May 1960 p. 1398; 9 Sep 1968 p. 2743; 31 Aug 1984 p. 2829.] </w:t>
      </w:r>
    </w:p>
    <w:p>
      <w:pPr>
        <w:pStyle w:val="Heading5"/>
        <w:spacing w:before="180"/>
        <w:rPr>
          <w:snapToGrid w:val="0"/>
        </w:rPr>
      </w:pPr>
      <w:bookmarkStart w:id="83" w:name="_Toc390077108"/>
      <w:r>
        <w:rPr>
          <w:rStyle w:val="CharSectno"/>
        </w:rPr>
        <w:t>65</w:t>
      </w:r>
      <w:r>
        <w:rPr>
          <w:snapToGrid w:val="0"/>
        </w:rPr>
        <w:t>.</w:t>
      </w:r>
      <w:r>
        <w:rPr>
          <w:snapToGrid w:val="0"/>
        </w:rPr>
        <w:tab/>
        <w:t>Tolerance</w:t>
      </w:r>
      <w:bookmarkEnd w:id="83"/>
    </w:p>
    <w:p>
      <w:pPr>
        <w:pStyle w:val="Subsection"/>
        <w:spacing w:before="120"/>
        <w:rPr>
          <w:snapToGrid w:val="0"/>
        </w:rPr>
      </w:pPr>
      <w:r>
        <w:rPr>
          <w:snapToGrid w:val="0"/>
        </w:rPr>
        <w:tab/>
      </w:r>
      <w:r>
        <w:rPr>
          <w:snapToGrid w:val="0"/>
        </w:rPr>
        <w:tab/>
        <w:t>The errors permissible on verification of counter scales shall be as specified in Table VII.</w:t>
      </w:r>
    </w:p>
    <w:p>
      <w:pPr>
        <w:pStyle w:val="Subsection"/>
        <w:spacing w:before="120"/>
        <w:rPr>
          <w:snapToGrid w:val="0"/>
        </w:rPr>
      </w:pPr>
      <w:r>
        <w:rPr>
          <w:snapToGrid w:val="0"/>
        </w:rPr>
        <w:tab/>
      </w:r>
      <w:r>
        <w:rPr>
          <w:snapToGrid w:val="0"/>
        </w:rPr>
        <w:tab/>
        <w:t>Provided that the errors permissible in dispensing scales shall be as specified in Table VI for Class B beam</w:t>
      </w:r>
      <w:r>
        <w:rPr>
          <w:snapToGrid w:val="0"/>
        </w:rPr>
        <w:noBreakHyphen/>
        <w:t>scales.</w:t>
      </w:r>
    </w:p>
    <w:p>
      <w:pPr>
        <w:pStyle w:val="Footnotesection"/>
        <w:spacing w:before="100"/>
        <w:ind w:left="890" w:hanging="890"/>
      </w:pPr>
      <w:r>
        <w:tab/>
        <w:t xml:space="preserve">[Regulation 65 amended in Gazette 23 May 1960 p. 1398.] </w:t>
      </w:r>
    </w:p>
    <w:p>
      <w:pPr>
        <w:pStyle w:val="MiscellaneousHeading"/>
        <w:outlineLvl w:val="0"/>
        <w:rPr>
          <w:b/>
          <w:snapToGrid w:val="0"/>
        </w:rPr>
      </w:pPr>
      <w:r>
        <w:rPr>
          <w:b/>
          <w:snapToGrid w:val="0"/>
        </w:rPr>
        <w:t>Spring balances</w:t>
      </w:r>
    </w:p>
    <w:p>
      <w:pPr>
        <w:pStyle w:val="Heading5"/>
        <w:spacing w:before="180"/>
        <w:rPr>
          <w:snapToGrid w:val="0"/>
        </w:rPr>
      </w:pPr>
      <w:bookmarkStart w:id="84" w:name="_Toc390077109"/>
      <w:r>
        <w:rPr>
          <w:rStyle w:val="CharSectno"/>
        </w:rPr>
        <w:t>66</w:t>
      </w:r>
      <w:r>
        <w:rPr>
          <w:snapToGrid w:val="0"/>
        </w:rPr>
        <w:t>.</w:t>
      </w:r>
      <w:r>
        <w:rPr>
          <w:snapToGrid w:val="0"/>
        </w:rPr>
        <w:tab/>
        <w:t>Definition of “spring balance”</w:t>
      </w:r>
      <w:bookmarkEnd w:id="84"/>
    </w:p>
    <w:p>
      <w:pPr>
        <w:pStyle w:val="Subsection"/>
        <w:spacing w:before="120"/>
        <w:rPr>
          <w:snapToGrid w:val="0"/>
        </w:rPr>
      </w:pPr>
      <w:r>
        <w:rPr>
          <w:snapToGrid w:val="0"/>
        </w:rPr>
        <w:tab/>
      </w:r>
      <w:r>
        <w:rPr>
          <w:snapToGrid w:val="0"/>
        </w:rPr>
        <w:tab/>
        <w:t xml:space="preserve">The term </w:t>
      </w:r>
      <w:r>
        <w:rPr>
          <w:b/>
          <w:snapToGrid w:val="0"/>
        </w:rPr>
        <w:t>“</w:t>
      </w:r>
      <w:r>
        <w:rPr>
          <w:rStyle w:val="CharDefText"/>
        </w:rPr>
        <w:t>spring balance</w:t>
      </w:r>
      <w:r>
        <w:rPr>
          <w:b/>
          <w:snapToGrid w:val="0"/>
        </w:rPr>
        <w:t>”</w:t>
      </w:r>
      <w:r>
        <w:rPr>
          <w:snapToGrid w:val="0"/>
        </w:rPr>
        <w:t xml:space="preserve"> means any weighing instrument in which weight indications are dependent on the extension of a spring, and which is so constructed that the load, whether above of below the spring, is suspended directly from it.</w:t>
      </w:r>
    </w:p>
    <w:p>
      <w:pPr>
        <w:pStyle w:val="Heading5"/>
        <w:spacing w:before="180"/>
        <w:rPr>
          <w:snapToGrid w:val="0"/>
        </w:rPr>
      </w:pPr>
      <w:bookmarkStart w:id="85" w:name="_Toc390077110"/>
      <w:r>
        <w:rPr>
          <w:rStyle w:val="CharSectno"/>
        </w:rPr>
        <w:t>67</w:t>
      </w:r>
      <w:r>
        <w:rPr>
          <w:snapToGrid w:val="0"/>
        </w:rPr>
        <w:t>.</w:t>
      </w:r>
      <w:r>
        <w:rPr>
          <w:snapToGrid w:val="0"/>
        </w:rPr>
        <w:tab/>
        <w:t>Spring balances</w:t>
      </w:r>
      <w:bookmarkEnd w:id="85"/>
    </w:p>
    <w:p>
      <w:pPr>
        <w:pStyle w:val="Subsection"/>
        <w:spacing w:before="120"/>
        <w:rPr>
          <w:snapToGrid w:val="0"/>
        </w:rPr>
      </w:pPr>
      <w:r>
        <w:rPr>
          <w:snapToGrid w:val="0"/>
        </w:rPr>
        <w:tab/>
      </w:r>
      <w:r>
        <w:rPr>
          <w:snapToGrid w:val="0"/>
        </w:rPr>
        <w:tab/>
        <w:t>A spring balance shall — </w:t>
      </w:r>
    </w:p>
    <w:p>
      <w:pPr>
        <w:pStyle w:val="Indenta"/>
        <w:spacing w:before="60"/>
        <w:rPr>
          <w:snapToGrid w:val="0"/>
        </w:rPr>
      </w:pPr>
      <w:r>
        <w:rPr>
          <w:snapToGrid w:val="0"/>
        </w:rPr>
        <w:tab/>
        <w:t>(a)</w:t>
      </w:r>
      <w:r>
        <w:rPr>
          <w:snapToGrid w:val="0"/>
        </w:rPr>
        <w:tab/>
        <w:t>have all racks and pinions of suitably hard metal;</w:t>
      </w:r>
    </w:p>
    <w:p>
      <w:pPr>
        <w:pStyle w:val="Indenta"/>
        <w:spacing w:before="60"/>
        <w:rPr>
          <w:snapToGrid w:val="0"/>
        </w:rPr>
      </w:pPr>
      <w:r>
        <w:rPr>
          <w:snapToGrid w:val="0"/>
        </w:rPr>
        <w:tab/>
        <w:t>(b)</w:t>
      </w:r>
      <w:r>
        <w:rPr>
          <w:snapToGrid w:val="0"/>
        </w:rPr>
        <w:tab/>
        <w:t>have the dial or scale graduated into approximately equal parts;</w:t>
      </w:r>
    </w:p>
    <w:p>
      <w:pPr>
        <w:pStyle w:val="Indenta"/>
        <w:spacing w:before="60"/>
        <w:rPr>
          <w:snapToGrid w:val="0"/>
        </w:rPr>
      </w:pPr>
      <w:r>
        <w:rPr>
          <w:snapToGrid w:val="0"/>
        </w:rPr>
        <w:tab/>
        <w:t>(c)</w:t>
      </w:r>
      <w:r>
        <w:rPr>
          <w:snapToGrid w:val="0"/>
        </w:rPr>
        <w:tab/>
        <w:t>have not more than 8 graduation lines per inch in capacities exceeding 30 lb. unless of a type approved by the Chief Inspector;</w:t>
      </w:r>
    </w:p>
    <w:p>
      <w:pPr>
        <w:pStyle w:val="Indenta"/>
        <w:spacing w:before="60"/>
        <w:rPr>
          <w:snapToGrid w:val="0"/>
        </w:rPr>
      </w:pPr>
      <w:r>
        <w:rPr>
          <w:snapToGrid w:val="0"/>
        </w:rPr>
        <w:tab/>
        <w:t>(d)</w:t>
      </w:r>
      <w:r>
        <w:rPr>
          <w:snapToGrid w:val="0"/>
        </w:rPr>
        <w:tab/>
        <w:t>when designed for counter or retail use — </w:t>
      </w:r>
    </w:p>
    <w:p>
      <w:pPr>
        <w:pStyle w:val="Indenti"/>
        <w:spacing w:before="60"/>
        <w:rPr>
          <w:snapToGrid w:val="0"/>
        </w:rPr>
      </w:pPr>
      <w:r>
        <w:rPr>
          <w:snapToGrid w:val="0"/>
        </w:rPr>
        <w:tab/>
        <w:t>(1)</w:t>
      </w:r>
      <w:r>
        <w:rPr>
          <w:snapToGrid w:val="0"/>
        </w:rPr>
        <w:tab/>
        <w:t>have no graduation line exceeding 3/64th inch in width;</w:t>
      </w:r>
    </w:p>
    <w:p>
      <w:pPr>
        <w:pStyle w:val="Indenti"/>
        <w:spacing w:before="60"/>
        <w:rPr>
          <w:snapToGrid w:val="0"/>
        </w:rPr>
      </w:pPr>
      <w:r>
        <w:rPr>
          <w:snapToGrid w:val="0"/>
        </w:rPr>
        <w:tab/>
        <w:t>(2)</w:t>
      </w:r>
      <w:r>
        <w:rPr>
          <w:snapToGrid w:val="0"/>
        </w:rPr>
        <w:tab/>
        <w:t>have no indicating line or point of any index finger exceeding 1/32nd inch in width;</w:t>
      </w:r>
    </w:p>
    <w:p>
      <w:pPr>
        <w:pStyle w:val="Indenti"/>
        <w:spacing w:before="60"/>
        <w:rPr>
          <w:snapToGrid w:val="0"/>
        </w:rPr>
      </w:pPr>
      <w:r>
        <w:rPr>
          <w:snapToGrid w:val="0"/>
        </w:rPr>
        <w:tab/>
        <w:t>(3)</w:t>
      </w:r>
      <w:r>
        <w:rPr>
          <w:snapToGrid w:val="0"/>
        </w:rPr>
        <w:tab/>
        <w:t>have the portion of any index finger which covers any graduation line not exceeding 3/64th inch in width;</w:t>
      </w:r>
    </w:p>
    <w:p>
      <w:pPr>
        <w:pStyle w:val="Indenti"/>
        <w:spacing w:before="60"/>
        <w:rPr>
          <w:snapToGrid w:val="0"/>
        </w:rPr>
      </w:pPr>
      <w:r>
        <w:rPr>
          <w:snapToGrid w:val="0"/>
        </w:rPr>
        <w:tab/>
        <w:t>(4)</w:t>
      </w:r>
      <w:r>
        <w:rPr>
          <w:snapToGrid w:val="0"/>
        </w:rPr>
        <w:tab/>
        <w:t>have the indicating line or index finger not more than 1/12th inch from the graduated surface of the dial or scale:</w:t>
      </w:r>
    </w:p>
    <w:p>
      <w:pPr>
        <w:pStyle w:val="Indenti"/>
        <w:spacing w:before="60"/>
        <w:rPr>
          <w:snapToGrid w:val="0"/>
        </w:rPr>
      </w:pPr>
      <w:r>
        <w:rPr>
          <w:snapToGrid w:val="0"/>
        </w:rPr>
        <w:tab/>
      </w:r>
      <w:r>
        <w:rPr>
          <w:snapToGrid w:val="0"/>
        </w:rPr>
        <w:tab/>
        <w:t>Provided paragraphs (1) and (2) shall not apply until 1 January 1928 and shall not thereafter preclude the restamping of instruments stamped prior to such date;</w:t>
      </w:r>
    </w:p>
    <w:p>
      <w:pPr>
        <w:pStyle w:val="Indenta"/>
        <w:spacing w:before="60"/>
        <w:rPr>
          <w:snapToGrid w:val="0"/>
        </w:rPr>
      </w:pPr>
      <w:r>
        <w:rPr>
          <w:snapToGrid w:val="0"/>
        </w:rPr>
        <w:tab/>
        <w:t>(e)</w:t>
      </w:r>
      <w:r>
        <w:rPr>
          <w:snapToGrid w:val="0"/>
        </w:rPr>
        <w:tab/>
        <w:t>when the pan is below the spring, be correct within the prescribed limits of error wherever a test load is placed upon such pan;</w:t>
      </w:r>
    </w:p>
    <w:p>
      <w:pPr>
        <w:pStyle w:val="Indenta"/>
        <w:spacing w:before="60"/>
        <w:rPr>
          <w:snapToGrid w:val="0"/>
        </w:rPr>
      </w:pPr>
      <w:r>
        <w:rPr>
          <w:snapToGrid w:val="0"/>
        </w:rPr>
        <w:tab/>
        <w:t>(f)</w:t>
      </w:r>
      <w:r>
        <w:rPr>
          <w:snapToGrid w:val="0"/>
        </w:rPr>
        <w:tab/>
        <w:t>when the pan is above the spring, be subject to the requirements of regulation 62(g);</w:t>
      </w:r>
    </w:p>
    <w:p>
      <w:pPr>
        <w:pStyle w:val="Indenta"/>
        <w:spacing w:before="60"/>
        <w:rPr>
          <w:snapToGrid w:val="0"/>
        </w:rPr>
      </w:pPr>
      <w:r>
        <w:rPr>
          <w:snapToGrid w:val="0"/>
        </w:rPr>
        <w:tab/>
        <w:t>(g)</w:t>
      </w:r>
      <w:r>
        <w:rPr>
          <w:snapToGrid w:val="0"/>
        </w:rPr>
        <w:tab/>
        <w:t>be correct whether the test is backward or forward;</w:t>
      </w:r>
    </w:p>
    <w:p>
      <w:pPr>
        <w:pStyle w:val="Indenta"/>
        <w:spacing w:before="60"/>
        <w:rPr>
          <w:snapToGrid w:val="0"/>
        </w:rPr>
      </w:pPr>
      <w:r>
        <w:rPr>
          <w:snapToGrid w:val="0"/>
        </w:rPr>
        <w:tab/>
        <w:t>(h)</w:t>
      </w:r>
      <w:r>
        <w:rPr>
          <w:snapToGrid w:val="0"/>
        </w:rPr>
        <w:tab/>
        <w:t>have a satisfactory and definite action without excessive vibration of the index;</w:t>
      </w:r>
    </w:p>
    <w:p>
      <w:pPr>
        <w:pStyle w:val="Indenta"/>
        <w:rPr>
          <w:snapToGrid w:val="0"/>
        </w:rPr>
      </w:pPr>
      <w:r>
        <w:rPr>
          <w:snapToGrid w:val="0"/>
        </w:rPr>
        <w:tab/>
        <w:t>(i)</w:t>
      </w:r>
      <w:r>
        <w:rPr>
          <w:snapToGrid w:val="0"/>
        </w:rPr>
        <w:tab/>
        <w:t>have a double</w:t>
      </w:r>
      <w:r>
        <w:rPr>
          <w:snapToGrid w:val="0"/>
        </w:rPr>
        <w:noBreakHyphen/>
        <w:t>sided dial suitably covered by glass:</w:t>
      </w:r>
    </w:p>
    <w:p>
      <w:pPr>
        <w:pStyle w:val="Indenta"/>
        <w:rPr>
          <w:snapToGrid w:val="0"/>
        </w:rPr>
      </w:pPr>
      <w:r>
        <w:rPr>
          <w:snapToGrid w:val="0"/>
        </w:rPr>
        <w:tab/>
      </w:r>
      <w:r>
        <w:rPr>
          <w:snapToGrid w:val="0"/>
        </w:rPr>
        <w:tab/>
        <w:t>Provided this shall not apply to instruments — </w:t>
      </w:r>
    </w:p>
    <w:p>
      <w:pPr>
        <w:pStyle w:val="Indenti"/>
        <w:rPr>
          <w:snapToGrid w:val="0"/>
        </w:rPr>
      </w:pPr>
      <w:r>
        <w:rPr>
          <w:snapToGrid w:val="0"/>
        </w:rPr>
        <w:tab/>
        <w:t>(1)</w:t>
      </w:r>
      <w:r>
        <w:rPr>
          <w:snapToGrid w:val="0"/>
        </w:rPr>
        <w:tab/>
        <w:t>marked “For use by itinerant vendors only” or “Hawker’s scale only”;</w:t>
      </w:r>
    </w:p>
    <w:p>
      <w:pPr>
        <w:pStyle w:val="Indenti"/>
        <w:rPr>
          <w:snapToGrid w:val="0"/>
        </w:rPr>
      </w:pPr>
      <w:r>
        <w:rPr>
          <w:snapToGrid w:val="0"/>
        </w:rPr>
        <w:tab/>
        <w:t>(2)</w:t>
      </w:r>
      <w:r>
        <w:rPr>
          <w:snapToGrid w:val="0"/>
        </w:rPr>
        <w:tab/>
        <w:t>of a capacity exceeding 60 lb.;</w:t>
      </w:r>
    </w:p>
    <w:p>
      <w:pPr>
        <w:pStyle w:val="Indenti"/>
        <w:rPr>
          <w:snapToGrid w:val="0"/>
        </w:rPr>
      </w:pPr>
      <w:r>
        <w:rPr>
          <w:snapToGrid w:val="0"/>
        </w:rPr>
        <w:tab/>
        <w:t>(3)</w:t>
      </w:r>
      <w:r>
        <w:rPr>
          <w:snapToGrid w:val="0"/>
        </w:rPr>
        <w:tab/>
        <w:t>in use prior to the date of the regulations;</w:t>
      </w:r>
    </w:p>
    <w:p>
      <w:pPr>
        <w:pStyle w:val="Indenti"/>
        <w:rPr>
          <w:snapToGrid w:val="0"/>
        </w:rPr>
      </w:pPr>
      <w:r>
        <w:rPr>
          <w:snapToGrid w:val="0"/>
        </w:rPr>
        <w:tab/>
        <w:t>(4)</w:t>
      </w:r>
      <w:r>
        <w:rPr>
          <w:snapToGrid w:val="0"/>
        </w:rPr>
        <w:tab/>
        <w:t>of a type approved by the Chief Inspector;</w:t>
      </w:r>
    </w:p>
    <w:p>
      <w:pPr>
        <w:pStyle w:val="Indenta"/>
        <w:rPr>
          <w:snapToGrid w:val="0"/>
        </w:rPr>
      </w:pPr>
      <w:r>
        <w:rPr>
          <w:snapToGrid w:val="0"/>
        </w:rPr>
        <w:tab/>
        <w:t>(j)</w:t>
      </w:r>
      <w:r>
        <w:rPr>
          <w:snapToGrid w:val="0"/>
        </w:rPr>
        <w:tab/>
        <w:t>when the dial or scale is double sided, show identical indications on each side;</w:t>
      </w:r>
    </w:p>
    <w:p>
      <w:pPr>
        <w:pStyle w:val="Indenta"/>
        <w:rPr>
          <w:snapToGrid w:val="0"/>
        </w:rPr>
      </w:pPr>
      <w:r>
        <w:rPr>
          <w:snapToGrid w:val="0"/>
        </w:rPr>
        <w:tab/>
        <w:t>(k)</w:t>
      </w:r>
      <w:r>
        <w:rPr>
          <w:snapToGrid w:val="0"/>
        </w:rPr>
        <w:tab/>
        <w:t>have the stamping plug so supported as to prevent injury to the instrument in stamping.</w:t>
      </w:r>
    </w:p>
    <w:p>
      <w:pPr>
        <w:pStyle w:val="Subsection"/>
        <w:rPr>
          <w:snapToGrid w:val="0"/>
        </w:rPr>
      </w:pPr>
      <w:r>
        <w:rPr>
          <w:snapToGrid w:val="0"/>
        </w:rPr>
        <w:tab/>
      </w:r>
      <w:r>
        <w:rPr>
          <w:snapToGrid w:val="0"/>
        </w:rPr>
        <w:tab/>
        <w:t>In instruments brought into use after the date of the regulations the plug shall, where practicable, pass through the dial and frame.</w:t>
      </w:r>
    </w:p>
    <w:p>
      <w:pPr>
        <w:pStyle w:val="Footnotesection"/>
      </w:pPr>
      <w:r>
        <w:tab/>
        <w:t xml:space="preserve">[Regulation 67 amended in Gazette 9 Sep 1968 p. 2743; 31 Aug 1984 p. 2829.] </w:t>
      </w:r>
    </w:p>
    <w:p>
      <w:pPr>
        <w:pStyle w:val="Heading5"/>
        <w:rPr>
          <w:snapToGrid w:val="0"/>
        </w:rPr>
      </w:pPr>
      <w:bookmarkStart w:id="86" w:name="_Toc390077111"/>
      <w:r>
        <w:rPr>
          <w:rStyle w:val="CharSectno"/>
        </w:rPr>
        <w:t>68</w:t>
      </w:r>
      <w:r>
        <w:rPr>
          <w:snapToGrid w:val="0"/>
        </w:rPr>
        <w:t>.</w:t>
      </w:r>
      <w:r>
        <w:rPr>
          <w:snapToGrid w:val="0"/>
        </w:rPr>
        <w:tab/>
        <w:t>Graduation on dial or scale</w:t>
      </w:r>
      <w:bookmarkEnd w:id="86"/>
    </w:p>
    <w:p>
      <w:pPr>
        <w:pStyle w:val="Subsection"/>
        <w:spacing w:after="80"/>
        <w:rPr>
          <w:snapToGrid w:val="0"/>
        </w:rPr>
      </w:pPr>
      <w:r>
        <w:rPr>
          <w:snapToGrid w:val="0"/>
        </w:rPr>
        <w:tab/>
      </w:r>
      <w:r>
        <w:rPr>
          <w:snapToGrid w:val="0"/>
        </w:rPr>
        <w:tab/>
        <w:t>The graduation lines on the dial or scale of a spring balance shall be in conformity with the following requirements — </w:t>
      </w:r>
    </w:p>
    <w:tbl>
      <w:tblPr>
        <w:tblW w:w="0" w:type="auto"/>
        <w:tblInd w:w="1049" w:type="dxa"/>
        <w:tblLayout w:type="fixed"/>
        <w:tblCellMar>
          <w:left w:w="56" w:type="dxa"/>
          <w:right w:w="56" w:type="dxa"/>
        </w:tblCellMar>
        <w:tblLook w:val="0000" w:firstRow="0" w:lastRow="0" w:firstColumn="0" w:lastColumn="0" w:noHBand="0" w:noVBand="0"/>
      </w:tblPr>
      <w:tblGrid>
        <w:gridCol w:w="3346"/>
        <w:gridCol w:w="2749"/>
      </w:tblGrid>
      <w:tr>
        <w:tc>
          <w:tcPr>
            <w:tcW w:w="3346" w:type="dxa"/>
            <w:tcBorders>
              <w:top w:val="single" w:sz="4" w:space="0" w:color="auto"/>
              <w:bottom w:val="single" w:sz="4" w:space="0" w:color="auto"/>
              <w:right w:val="single" w:sz="4" w:space="0" w:color="auto"/>
            </w:tcBorders>
          </w:tcPr>
          <w:p>
            <w:pPr>
              <w:pStyle w:val="Table"/>
              <w:jc w:val="center"/>
              <w:rPr>
                <w:b/>
                <w:sz w:val="18"/>
              </w:rPr>
            </w:pPr>
            <w:r>
              <w:rPr>
                <w:b/>
                <w:sz w:val="18"/>
              </w:rPr>
              <w:t>Capacity</w:t>
            </w:r>
          </w:p>
        </w:tc>
        <w:tc>
          <w:tcPr>
            <w:tcW w:w="2749" w:type="dxa"/>
            <w:tcBorders>
              <w:top w:val="single" w:sz="4" w:space="0" w:color="auto"/>
              <w:left w:val="single" w:sz="4" w:space="0" w:color="auto"/>
            </w:tcBorders>
          </w:tcPr>
          <w:p>
            <w:pPr>
              <w:pStyle w:val="Table"/>
              <w:jc w:val="center"/>
              <w:rPr>
                <w:b/>
                <w:sz w:val="18"/>
              </w:rPr>
            </w:pPr>
            <w:r>
              <w:rPr>
                <w:b/>
                <w:sz w:val="18"/>
              </w:rPr>
              <w:t>Weight corresponding to interval between consecutive graduations must not exceed —</w:t>
            </w:r>
          </w:p>
        </w:tc>
      </w:tr>
      <w:tr>
        <w:tc>
          <w:tcPr>
            <w:tcW w:w="3346" w:type="dxa"/>
          </w:tcPr>
          <w:p>
            <w:pPr>
              <w:pStyle w:val="Table"/>
              <w:rPr>
                <w:sz w:val="18"/>
              </w:rPr>
            </w:pPr>
            <w:r>
              <w:rPr>
                <w:sz w:val="18"/>
              </w:rPr>
              <w:t xml:space="preserve">1 lb. ............................................................... </w:t>
            </w:r>
          </w:p>
        </w:tc>
        <w:tc>
          <w:tcPr>
            <w:tcW w:w="2749" w:type="dxa"/>
            <w:tcBorders>
              <w:top w:val="single" w:sz="4" w:space="0" w:color="auto"/>
              <w:left w:val="single" w:sz="4" w:space="0" w:color="auto"/>
            </w:tcBorders>
          </w:tcPr>
          <w:p>
            <w:pPr>
              <w:pStyle w:val="Table"/>
              <w:jc w:val="center"/>
              <w:rPr>
                <w:sz w:val="18"/>
              </w:rPr>
            </w:pPr>
            <w:r>
              <w:rPr>
                <w:sz w:val="18"/>
              </w:rPr>
              <w:t>2 drams.</w:t>
            </w:r>
          </w:p>
        </w:tc>
      </w:tr>
      <w:tr>
        <w:tc>
          <w:tcPr>
            <w:tcW w:w="3346" w:type="dxa"/>
          </w:tcPr>
          <w:p>
            <w:pPr>
              <w:pStyle w:val="Table"/>
              <w:rPr>
                <w:sz w:val="18"/>
              </w:rPr>
            </w:pPr>
            <w:r>
              <w:rPr>
                <w:sz w:val="18"/>
              </w:rPr>
              <w:t xml:space="preserve">2 lb. to 7 lb. ................................................... </w:t>
            </w:r>
          </w:p>
        </w:tc>
        <w:tc>
          <w:tcPr>
            <w:tcW w:w="2749" w:type="dxa"/>
            <w:tcBorders>
              <w:left w:val="single" w:sz="4" w:space="0" w:color="auto"/>
            </w:tcBorders>
          </w:tcPr>
          <w:p>
            <w:pPr>
              <w:pStyle w:val="Table"/>
              <w:jc w:val="center"/>
              <w:rPr>
                <w:sz w:val="18"/>
              </w:rPr>
            </w:pPr>
            <w:r>
              <w:rPr>
                <w:sz w:val="18"/>
              </w:rPr>
              <w:t>4 drams.</w:t>
            </w:r>
          </w:p>
        </w:tc>
      </w:tr>
      <w:tr>
        <w:tc>
          <w:tcPr>
            <w:tcW w:w="3346" w:type="dxa"/>
          </w:tcPr>
          <w:p>
            <w:pPr>
              <w:pStyle w:val="Table"/>
              <w:rPr>
                <w:sz w:val="18"/>
              </w:rPr>
            </w:pPr>
            <w:r>
              <w:rPr>
                <w:sz w:val="18"/>
              </w:rPr>
              <w:t xml:space="preserve">10 lb. to 15 lb. ............................................... </w:t>
            </w:r>
          </w:p>
        </w:tc>
        <w:tc>
          <w:tcPr>
            <w:tcW w:w="2749" w:type="dxa"/>
            <w:tcBorders>
              <w:left w:val="single" w:sz="4" w:space="0" w:color="auto"/>
            </w:tcBorders>
          </w:tcPr>
          <w:p>
            <w:pPr>
              <w:pStyle w:val="Table"/>
              <w:jc w:val="center"/>
              <w:rPr>
                <w:sz w:val="18"/>
              </w:rPr>
            </w:pPr>
            <w:r>
              <w:rPr>
                <w:sz w:val="18"/>
              </w:rPr>
              <w:t>8 drams.</w:t>
            </w:r>
          </w:p>
        </w:tc>
      </w:tr>
      <w:tr>
        <w:tc>
          <w:tcPr>
            <w:tcW w:w="3346" w:type="dxa"/>
          </w:tcPr>
          <w:p>
            <w:pPr>
              <w:pStyle w:val="Table"/>
              <w:rPr>
                <w:sz w:val="18"/>
              </w:rPr>
            </w:pPr>
            <w:r>
              <w:rPr>
                <w:sz w:val="18"/>
              </w:rPr>
              <w:t xml:space="preserve">20 lb. to 30 lb. ............................................... </w:t>
            </w:r>
          </w:p>
        </w:tc>
        <w:tc>
          <w:tcPr>
            <w:tcW w:w="2749" w:type="dxa"/>
            <w:tcBorders>
              <w:left w:val="single" w:sz="4" w:space="0" w:color="auto"/>
            </w:tcBorders>
          </w:tcPr>
          <w:p>
            <w:pPr>
              <w:pStyle w:val="Table"/>
              <w:jc w:val="center"/>
              <w:rPr>
                <w:sz w:val="18"/>
              </w:rPr>
            </w:pPr>
            <w:r>
              <w:rPr>
                <w:sz w:val="18"/>
              </w:rPr>
              <w:t>1 oz.</w:t>
            </w:r>
          </w:p>
        </w:tc>
      </w:tr>
      <w:tr>
        <w:tc>
          <w:tcPr>
            <w:tcW w:w="3346" w:type="dxa"/>
          </w:tcPr>
          <w:p>
            <w:pPr>
              <w:pStyle w:val="Table"/>
              <w:rPr>
                <w:sz w:val="18"/>
              </w:rPr>
            </w:pPr>
            <w:r>
              <w:rPr>
                <w:sz w:val="18"/>
              </w:rPr>
              <w:t xml:space="preserve">40 lb. to 60 lb. ............................................... </w:t>
            </w:r>
          </w:p>
        </w:tc>
        <w:tc>
          <w:tcPr>
            <w:tcW w:w="2749" w:type="dxa"/>
            <w:tcBorders>
              <w:left w:val="single" w:sz="4" w:space="0" w:color="auto"/>
            </w:tcBorders>
          </w:tcPr>
          <w:p>
            <w:pPr>
              <w:pStyle w:val="Table"/>
              <w:jc w:val="center"/>
              <w:rPr>
                <w:sz w:val="18"/>
              </w:rPr>
            </w:pPr>
            <w:r>
              <w:rPr>
                <w:sz w:val="18"/>
              </w:rPr>
              <w:t>2 oz.</w:t>
            </w:r>
          </w:p>
        </w:tc>
      </w:tr>
      <w:tr>
        <w:tc>
          <w:tcPr>
            <w:tcW w:w="3346" w:type="dxa"/>
            <w:tcBorders>
              <w:bottom w:val="single" w:sz="4" w:space="0" w:color="auto"/>
            </w:tcBorders>
          </w:tcPr>
          <w:p>
            <w:pPr>
              <w:pStyle w:val="Table"/>
              <w:rPr>
                <w:sz w:val="18"/>
              </w:rPr>
            </w:pPr>
            <w:r>
              <w:rPr>
                <w:sz w:val="18"/>
              </w:rPr>
              <w:t>100 lb. and over ............................................</w:t>
            </w:r>
          </w:p>
        </w:tc>
        <w:tc>
          <w:tcPr>
            <w:tcW w:w="2749" w:type="dxa"/>
            <w:tcBorders>
              <w:left w:val="single" w:sz="4" w:space="0" w:color="auto"/>
              <w:bottom w:val="single" w:sz="4" w:space="0" w:color="auto"/>
            </w:tcBorders>
          </w:tcPr>
          <w:p>
            <w:pPr>
              <w:pStyle w:val="Table"/>
              <w:jc w:val="center"/>
              <w:rPr>
                <w:sz w:val="18"/>
              </w:rPr>
            </w:pPr>
            <w:r>
              <w:rPr>
                <w:sz w:val="18"/>
              </w:rPr>
              <w:t>1/200 of capacity.</w:t>
            </w:r>
          </w:p>
        </w:tc>
      </w:tr>
    </w:tbl>
    <w:p>
      <w:pPr>
        <w:pStyle w:val="Subsection"/>
        <w:rPr>
          <w:snapToGrid w:val="0"/>
        </w:rPr>
      </w:pPr>
      <w:r>
        <w:rPr>
          <w:snapToGrid w:val="0"/>
        </w:rPr>
        <w:tab/>
      </w:r>
      <w:r>
        <w:rPr>
          <w:snapToGrid w:val="0"/>
        </w:rPr>
        <w:tab/>
        <w:t>Spring balances of a capacity between 1 lb. and 100 lb. other than those included in the above table shall not be stamped unless of a type approved by the Chief Inspector.</w:t>
      </w:r>
    </w:p>
    <w:p>
      <w:pPr>
        <w:pStyle w:val="Footnotesection"/>
      </w:pPr>
      <w:r>
        <w:tab/>
        <w:t xml:space="preserve">[Regulation 68 amended in Gazette 9 Sep 1968 p. 2743; 31 Aug 1984 p. 2829.] </w:t>
      </w:r>
    </w:p>
    <w:p>
      <w:pPr>
        <w:pStyle w:val="Heading5"/>
        <w:rPr>
          <w:snapToGrid w:val="0"/>
        </w:rPr>
      </w:pPr>
      <w:bookmarkStart w:id="87" w:name="_Toc390077112"/>
      <w:r>
        <w:rPr>
          <w:rStyle w:val="CharSectno"/>
        </w:rPr>
        <w:t>69</w:t>
      </w:r>
      <w:r>
        <w:rPr>
          <w:snapToGrid w:val="0"/>
        </w:rPr>
        <w:t>.</w:t>
      </w:r>
      <w:r>
        <w:rPr>
          <w:snapToGrid w:val="0"/>
        </w:rPr>
        <w:tab/>
        <w:t>Graduation on vertical slide</w:t>
      </w:r>
      <w:bookmarkEnd w:id="87"/>
    </w:p>
    <w:p>
      <w:pPr>
        <w:pStyle w:val="Subsection"/>
        <w:rPr>
          <w:snapToGrid w:val="0"/>
        </w:rPr>
      </w:pPr>
      <w:r>
        <w:rPr>
          <w:snapToGrid w:val="0"/>
        </w:rPr>
        <w:tab/>
      </w:r>
      <w:r>
        <w:rPr>
          <w:snapToGrid w:val="0"/>
        </w:rPr>
        <w:tab/>
        <w:t>A spring balance may have a vertical slide with graduations thereon representing an amount equal to a complete revolution of the dial hand.</w:t>
      </w:r>
    </w:p>
    <w:p>
      <w:pPr>
        <w:pStyle w:val="Subsection"/>
        <w:rPr>
          <w:snapToGrid w:val="0"/>
        </w:rPr>
      </w:pPr>
      <w:r>
        <w:rPr>
          <w:snapToGrid w:val="0"/>
        </w:rPr>
        <w:tab/>
      </w:r>
      <w:r>
        <w:rPr>
          <w:snapToGrid w:val="0"/>
        </w:rPr>
        <w:tab/>
        <w:t xml:space="preserve">Such graduations shall be marked and denominated in such a manner as to be clearly readable from any position in which the dial indications are readable. </w:t>
      </w:r>
    </w:p>
    <w:p>
      <w:pPr>
        <w:pStyle w:val="Heading5"/>
        <w:rPr>
          <w:snapToGrid w:val="0"/>
        </w:rPr>
      </w:pPr>
      <w:bookmarkStart w:id="88" w:name="_Toc390077113"/>
      <w:r>
        <w:rPr>
          <w:rStyle w:val="CharSectno"/>
        </w:rPr>
        <w:t>70</w:t>
      </w:r>
      <w:r>
        <w:rPr>
          <w:snapToGrid w:val="0"/>
        </w:rPr>
        <w:t>.</w:t>
      </w:r>
      <w:r>
        <w:rPr>
          <w:snapToGrid w:val="0"/>
        </w:rPr>
        <w:tab/>
        <w:t>Verification subject to approval of Chief Inspector</w:t>
      </w:r>
      <w:bookmarkEnd w:id="88"/>
    </w:p>
    <w:p>
      <w:pPr>
        <w:pStyle w:val="Subsection"/>
        <w:rPr>
          <w:snapToGrid w:val="0"/>
        </w:rPr>
      </w:pPr>
      <w:r>
        <w:rPr>
          <w:snapToGrid w:val="0"/>
        </w:rPr>
        <w:tab/>
      </w:r>
      <w:r>
        <w:rPr>
          <w:snapToGrid w:val="0"/>
        </w:rPr>
        <w:tab/>
        <w:t>An Inspector shall not stamp any spring balance in which — </w:t>
      </w:r>
    </w:p>
    <w:p>
      <w:pPr>
        <w:pStyle w:val="Indenta"/>
        <w:rPr>
          <w:snapToGrid w:val="0"/>
        </w:rPr>
      </w:pPr>
      <w:r>
        <w:rPr>
          <w:snapToGrid w:val="0"/>
        </w:rPr>
        <w:tab/>
        <w:t>(a)</w:t>
      </w:r>
      <w:r>
        <w:rPr>
          <w:snapToGrid w:val="0"/>
        </w:rPr>
        <w:tab/>
        <w:t>weight indications are given by the movement of a pointer down a vertical scale;</w:t>
      </w:r>
    </w:p>
    <w:p>
      <w:pPr>
        <w:pStyle w:val="Indenta"/>
        <w:rPr>
          <w:snapToGrid w:val="0"/>
        </w:rPr>
      </w:pPr>
      <w:r>
        <w:rPr>
          <w:snapToGrid w:val="0"/>
        </w:rPr>
        <w:tab/>
        <w:t>(b)</w:t>
      </w:r>
      <w:r>
        <w:rPr>
          <w:snapToGrid w:val="0"/>
        </w:rPr>
        <w:tab/>
        <w:t>a circular dial revolves past a fixed point,</w:t>
      </w:r>
    </w:p>
    <w:p>
      <w:pPr>
        <w:pStyle w:val="Subsection"/>
        <w:rPr>
          <w:snapToGrid w:val="0"/>
        </w:rPr>
      </w:pPr>
      <w:r>
        <w:rPr>
          <w:snapToGrid w:val="0"/>
        </w:rPr>
        <w:tab/>
      </w:r>
      <w:r>
        <w:rPr>
          <w:snapToGrid w:val="0"/>
        </w:rPr>
        <w:tab/>
        <w:t>unless of a type approved by the Chief Inspector.</w:t>
      </w:r>
    </w:p>
    <w:p>
      <w:pPr>
        <w:pStyle w:val="Footnotesection"/>
      </w:pPr>
      <w:r>
        <w:tab/>
        <w:t xml:space="preserve">[Regulation 70 amended in Gazette 9 Sep 1968 p. 2743; 31 Aug 1984 p. 2829.] </w:t>
      </w:r>
    </w:p>
    <w:p>
      <w:pPr>
        <w:pStyle w:val="Heading5"/>
        <w:rPr>
          <w:snapToGrid w:val="0"/>
        </w:rPr>
      </w:pPr>
      <w:bookmarkStart w:id="89" w:name="_Toc390077114"/>
      <w:r>
        <w:rPr>
          <w:rStyle w:val="CharSectno"/>
        </w:rPr>
        <w:t>71</w:t>
      </w:r>
      <w:r>
        <w:rPr>
          <w:snapToGrid w:val="0"/>
        </w:rPr>
        <w:t>.</w:t>
      </w:r>
      <w:r>
        <w:rPr>
          <w:snapToGrid w:val="0"/>
        </w:rPr>
        <w:tab/>
        <w:t>Tolerance</w:t>
      </w:r>
      <w:bookmarkEnd w:id="89"/>
    </w:p>
    <w:p>
      <w:pPr>
        <w:pStyle w:val="Subsection"/>
        <w:rPr>
          <w:snapToGrid w:val="0"/>
        </w:rPr>
      </w:pPr>
      <w:r>
        <w:rPr>
          <w:snapToGrid w:val="0"/>
        </w:rPr>
        <w:tab/>
        <w:t>(1)</w:t>
      </w:r>
      <w:r>
        <w:rPr>
          <w:snapToGrid w:val="0"/>
        </w:rPr>
        <w:tab/>
        <w:t>The errors permissible on verification of spring balances of a capacity of 30 lb. and under shall be as specified in Table VII for self indicating counter scales, and on instruments exceeding 30 lb. capacity, a weight corresponding to a quarter of the interval between consecutive graduations</w:t>
      </w:r>
    </w:p>
    <w:p>
      <w:pPr>
        <w:pStyle w:val="Subsection"/>
        <w:rPr>
          <w:snapToGrid w:val="0"/>
        </w:rPr>
      </w:pPr>
      <w:r>
        <w:rPr>
          <w:snapToGrid w:val="0"/>
        </w:rPr>
        <w:tab/>
        <w:t>(2)</w:t>
      </w:r>
      <w:r>
        <w:rPr>
          <w:snapToGrid w:val="0"/>
        </w:rPr>
        <w:tab/>
        <w:t>From and after 1 January 1960 double the error described in subregulation (1) shall be permissible on verification of any spring balance which is not equipped with a thermostatic control or other device to control variations caused in weighing indications by temperature changes.</w:t>
      </w:r>
    </w:p>
    <w:p>
      <w:pPr>
        <w:pStyle w:val="Footnotesection"/>
      </w:pPr>
      <w:r>
        <w:tab/>
        <w:t xml:space="preserve">[Regulation 71 amended in Gazette 23 May 1960 p. 1398.] </w:t>
      </w:r>
    </w:p>
    <w:p>
      <w:pPr>
        <w:pStyle w:val="MiscellaneousHeading"/>
        <w:outlineLvl w:val="0"/>
        <w:rPr>
          <w:b/>
          <w:snapToGrid w:val="0"/>
        </w:rPr>
      </w:pPr>
      <w:r>
        <w:rPr>
          <w:b/>
          <w:snapToGrid w:val="0"/>
        </w:rPr>
        <w:t>Self</w:t>
      </w:r>
      <w:r>
        <w:rPr>
          <w:b/>
          <w:snapToGrid w:val="0"/>
        </w:rPr>
        <w:noBreakHyphen/>
        <w:t>indicating counter machine</w:t>
      </w:r>
    </w:p>
    <w:p>
      <w:pPr>
        <w:pStyle w:val="Heading5"/>
        <w:rPr>
          <w:snapToGrid w:val="0"/>
        </w:rPr>
      </w:pPr>
      <w:bookmarkStart w:id="90" w:name="_Toc390077115"/>
      <w:r>
        <w:rPr>
          <w:rStyle w:val="CharSectno"/>
        </w:rPr>
        <w:t>72</w:t>
      </w:r>
      <w:r>
        <w:rPr>
          <w:snapToGrid w:val="0"/>
        </w:rPr>
        <w:t>.</w:t>
      </w:r>
      <w:r>
        <w:rPr>
          <w:snapToGrid w:val="0"/>
        </w:rPr>
        <w:tab/>
        <w:t>Definition of “self</w:t>
      </w:r>
      <w:r>
        <w:rPr>
          <w:snapToGrid w:val="0"/>
        </w:rPr>
        <w:noBreakHyphen/>
        <w:t>indicating counter machine”</w:t>
      </w:r>
      <w:bookmarkEnd w:id="90"/>
    </w:p>
    <w:p>
      <w:pPr>
        <w:pStyle w:val="Subsection"/>
        <w:rPr>
          <w:snapToGrid w:val="0"/>
        </w:rPr>
      </w:pPr>
      <w:r>
        <w:rPr>
          <w:snapToGrid w:val="0"/>
        </w:rPr>
        <w:tab/>
      </w:r>
      <w:r>
        <w:rPr>
          <w:snapToGrid w:val="0"/>
        </w:rPr>
        <w:tab/>
        <w:t xml:space="preserve">The term </w:t>
      </w:r>
      <w:r>
        <w:rPr>
          <w:b/>
          <w:snapToGrid w:val="0"/>
        </w:rPr>
        <w:t>“</w:t>
      </w:r>
      <w:r>
        <w:rPr>
          <w:rStyle w:val="CharDefText"/>
        </w:rPr>
        <w:t>self</w:t>
      </w:r>
      <w:r>
        <w:rPr>
          <w:rStyle w:val="CharDefText"/>
        </w:rPr>
        <w:noBreakHyphen/>
        <w:t>indicating counter machine</w:t>
      </w:r>
      <w:r>
        <w:rPr>
          <w:b/>
          <w:snapToGrid w:val="0"/>
        </w:rPr>
        <w:t>”</w:t>
      </w:r>
      <w:r>
        <w:rPr>
          <w:snapToGrid w:val="0"/>
        </w:rPr>
        <w:t xml:space="preserve"> means any self</w:t>
      </w:r>
      <w:r>
        <w:rPr>
          <w:snapToGrid w:val="0"/>
        </w:rPr>
        <w:noBreakHyphen/>
        <w:t>indicating weighing instrument, other than a spring balance, of a type specially designed for counter use.</w:t>
      </w:r>
    </w:p>
    <w:p>
      <w:pPr>
        <w:pStyle w:val="Heading5"/>
        <w:rPr>
          <w:snapToGrid w:val="0"/>
        </w:rPr>
      </w:pPr>
      <w:bookmarkStart w:id="91" w:name="_Toc390077116"/>
      <w:r>
        <w:rPr>
          <w:rStyle w:val="CharSectno"/>
        </w:rPr>
        <w:t>73</w:t>
      </w:r>
      <w:r>
        <w:rPr>
          <w:snapToGrid w:val="0"/>
        </w:rPr>
        <w:t>.</w:t>
      </w:r>
      <w:r>
        <w:rPr>
          <w:snapToGrid w:val="0"/>
        </w:rPr>
        <w:tab/>
        <w:t>Self</w:t>
      </w:r>
      <w:r>
        <w:rPr>
          <w:snapToGrid w:val="0"/>
        </w:rPr>
        <w:noBreakHyphen/>
        <w:t>indicating counter machines</w:t>
      </w:r>
      <w:bookmarkEnd w:id="91"/>
    </w:p>
    <w:p>
      <w:pPr>
        <w:pStyle w:val="Subsection"/>
        <w:rPr>
          <w:snapToGrid w:val="0"/>
        </w:rPr>
      </w:pPr>
      <w:r>
        <w:rPr>
          <w:snapToGrid w:val="0"/>
        </w:rPr>
        <w:tab/>
      </w:r>
      <w:r>
        <w:rPr>
          <w:snapToGrid w:val="0"/>
        </w:rPr>
        <w:tab/>
        <w:t>A self</w:t>
      </w:r>
      <w:r>
        <w:rPr>
          <w:snapToGrid w:val="0"/>
        </w:rPr>
        <w:noBreakHyphen/>
        <w:t>indicating counter machine shall — </w:t>
      </w:r>
    </w:p>
    <w:p>
      <w:pPr>
        <w:pStyle w:val="Indenta"/>
        <w:rPr>
          <w:snapToGrid w:val="0"/>
        </w:rPr>
      </w:pPr>
      <w:r>
        <w:rPr>
          <w:snapToGrid w:val="0"/>
        </w:rPr>
        <w:tab/>
        <w:t>(a)</w:t>
      </w:r>
      <w:r>
        <w:rPr>
          <w:snapToGrid w:val="0"/>
        </w:rPr>
        <w:tab/>
        <w:t>comply with regulations 62, 67(a), (b), (e), (f), (g), (h), (i), and (k), and 70 where applicable to its type;</w:t>
      </w:r>
    </w:p>
    <w:p>
      <w:pPr>
        <w:pStyle w:val="Indenta"/>
        <w:rPr>
          <w:snapToGrid w:val="0"/>
        </w:rPr>
      </w:pPr>
      <w:r>
        <w:rPr>
          <w:snapToGrid w:val="0"/>
        </w:rPr>
        <w:tab/>
        <w:t>(b)</w:t>
      </w:r>
      <w:r>
        <w:rPr>
          <w:snapToGrid w:val="0"/>
        </w:rPr>
        <w:tab/>
        <w:t>have a double</w:t>
      </w:r>
      <w:r>
        <w:rPr>
          <w:snapToGrid w:val="0"/>
        </w:rPr>
        <w:noBreakHyphen/>
        <w:t>sided dial or quadrant suitably covered by glass:</w:t>
      </w:r>
    </w:p>
    <w:p>
      <w:pPr>
        <w:pStyle w:val="Indenta"/>
        <w:rPr>
          <w:snapToGrid w:val="0"/>
        </w:rPr>
      </w:pPr>
      <w:r>
        <w:rPr>
          <w:snapToGrid w:val="0"/>
        </w:rPr>
        <w:tab/>
      </w:r>
      <w:r>
        <w:rPr>
          <w:snapToGrid w:val="0"/>
        </w:rPr>
        <w:tab/>
        <w:t>Provided this shall not apply to instruments used only for ascertaining freight or similar purposes, or to those clearly, prominently, and indelibly marked “not for counter retail use”;</w:t>
      </w:r>
    </w:p>
    <w:p>
      <w:pPr>
        <w:pStyle w:val="Indenta"/>
        <w:rPr>
          <w:snapToGrid w:val="0"/>
        </w:rPr>
      </w:pPr>
      <w:r>
        <w:rPr>
          <w:snapToGrid w:val="0"/>
        </w:rPr>
        <w:tab/>
        <w:t>(c)</w:t>
      </w:r>
      <w:r>
        <w:rPr>
          <w:snapToGrid w:val="0"/>
        </w:rPr>
        <w:tab/>
        <w:t>have any lever counter</w:t>
      </w:r>
      <w:r>
        <w:rPr>
          <w:snapToGrid w:val="0"/>
        </w:rPr>
        <w:noBreakHyphen/>
        <w:t>weight situated at front of machine suitably covered:</w:t>
      </w:r>
    </w:p>
    <w:p>
      <w:pPr>
        <w:pStyle w:val="Indenta"/>
        <w:rPr>
          <w:snapToGrid w:val="0"/>
        </w:rPr>
      </w:pPr>
      <w:r>
        <w:rPr>
          <w:snapToGrid w:val="0"/>
        </w:rPr>
        <w:tab/>
      </w:r>
      <w:r>
        <w:rPr>
          <w:snapToGrid w:val="0"/>
        </w:rPr>
        <w:tab/>
        <w:t>Provided this shall not apply until 1 January 1928 and shall not thereafter preclude the restamping of instruments stamped prior to such date;</w:t>
      </w:r>
    </w:p>
    <w:p>
      <w:pPr>
        <w:pStyle w:val="Indenta"/>
        <w:rPr>
          <w:snapToGrid w:val="0"/>
        </w:rPr>
      </w:pPr>
      <w:r>
        <w:rPr>
          <w:snapToGrid w:val="0"/>
        </w:rPr>
        <w:tab/>
        <w:t>(c1)</w:t>
      </w:r>
      <w:r>
        <w:rPr>
          <w:snapToGrid w:val="0"/>
        </w:rPr>
        <w:tab/>
        <w:t>have the graduation lines not less than 1/100th inch in width;</w:t>
      </w:r>
    </w:p>
    <w:p>
      <w:pPr>
        <w:pStyle w:val="Indenta"/>
        <w:rPr>
          <w:snapToGrid w:val="0"/>
        </w:rPr>
      </w:pPr>
      <w:r>
        <w:rPr>
          <w:snapToGrid w:val="0"/>
        </w:rPr>
        <w:tab/>
        <w:t>(c2)</w:t>
      </w:r>
      <w:r>
        <w:rPr>
          <w:snapToGrid w:val="0"/>
        </w:rPr>
        <w:tab/>
        <w:t>have the indicating line or point of index finger not more than 1/64th inch in width and not more than 1/12th inch from the graduated surface of the scale;</w:t>
      </w:r>
    </w:p>
    <w:p>
      <w:pPr>
        <w:pStyle w:val="Indenta"/>
        <w:spacing w:after="80"/>
        <w:rPr>
          <w:snapToGrid w:val="0"/>
        </w:rPr>
      </w:pPr>
      <w:r>
        <w:rPr>
          <w:snapToGrid w:val="0"/>
        </w:rPr>
        <w:tab/>
        <w:t>(d)</w:t>
      </w:r>
      <w:r>
        <w:rPr>
          <w:snapToGrid w:val="0"/>
        </w:rPr>
        <w:tab/>
        <w:t>have the graduation lines on the dial or scale in conformity with the following requirements — </w:t>
      </w:r>
    </w:p>
    <w:tbl>
      <w:tblPr>
        <w:tblW w:w="0" w:type="auto"/>
        <w:tblInd w:w="1757" w:type="dxa"/>
        <w:tblLayout w:type="fixed"/>
        <w:tblCellMar>
          <w:left w:w="56" w:type="dxa"/>
          <w:right w:w="56" w:type="dxa"/>
        </w:tblCellMar>
        <w:tblLook w:val="0000" w:firstRow="0" w:lastRow="0" w:firstColumn="0" w:lastColumn="0" w:noHBand="0" w:noVBand="0"/>
      </w:tblPr>
      <w:tblGrid>
        <w:gridCol w:w="2922"/>
        <w:gridCol w:w="2465"/>
      </w:tblGrid>
      <w:tr>
        <w:tc>
          <w:tcPr>
            <w:tcW w:w="2922" w:type="dxa"/>
            <w:tcBorders>
              <w:top w:val="single" w:sz="4" w:space="0" w:color="auto"/>
              <w:bottom w:val="single" w:sz="4" w:space="0" w:color="auto"/>
            </w:tcBorders>
          </w:tcPr>
          <w:p>
            <w:pPr>
              <w:pStyle w:val="Table"/>
              <w:keepNext/>
              <w:spacing w:line="240" w:lineRule="auto"/>
              <w:jc w:val="center"/>
              <w:rPr>
                <w:b/>
                <w:sz w:val="18"/>
              </w:rPr>
            </w:pPr>
            <w:r>
              <w:rPr>
                <w:b/>
                <w:sz w:val="18"/>
              </w:rPr>
              <w:t>Dial capacity.</w:t>
            </w:r>
          </w:p>
        </w:tc>
        <w:tc>
          <w:tcPr>
            <w:tcW w:w="2465" w:type="dxa"/>
            <w:tcBorders>
              <w:top w:val="single" w:sz="4" w:space="0" w:color="auto"/>
              <w:left w:val="single" w:sz="4" w:space="0" w:color="auto"/>
              <w:bottom w:val="single" w:sz="4" w:space="0" w:color="auto"/>
            </w:tcBorders>
          </w:tcPr>
          <w:p>
            <w:pPr>
              <w:pStyle w:val="Table"/>
              <w:keepNext/>
              <w:spacing w:line="240" w:lineRule="auto"/>
              <w:jc w:val="center"/>
              <w:rPr>
                <w:b/>
                <w:sz w:val="18"/>
              </w:rPr>
            </w:pPr>
            <w:r>
              <w:rPr>
                <w:b/>
                <w:sz w:val="18"/>
              </w:rPr>
              <w:t>Weight corresponding to interval between consecutive graduations shall not exceed —</w:t>
            </w:r>
          </w:p>
        </w:tc>
      </w:tr>
      <w:tr>
        <w:tc>
          <w:tcPr>
            <w:tcW w:w="2922" w:type="dxa"/>
          </w:tcPr>
          <w:p>
            <w:pPr>
              <w:pStyle w:val="Table"/>
              <w:spacing w:line="240" w:lineRule="auto"/>
              <w:rPr>
                <w:sz w:val="18"/>
              </w:rPr>
            </w:pPr>
            <w:r>
              <w:rPr>
                <w:sz w:val="18"/>
              </w:rPr>
              <w:t xml:space="preserve">Not exceeding 1 lb. .............................. </w:t>
            </w:r>
          </w:p>
        </w:tc>
        <w:tc>
          <w:tcPr>
            <w:tcW w:w="2465" w:type="dxa"/>
            <w:tcBorders>
              <w:left w:val="single" w:sz="4" w:space="0" w:color="auto"/>
            </w:tcBorders>
          </w:tcPr>
          <w:p>
            <w:pPr>
              <w:pStyle w:val="Table"/>
              <w:spacing w:line="240" w:lineRule="auto"/>
              <w:jc w:val="center"/>
              <w:rPr>
                <w:sz w:val="18"/>
              </w:rPr>
            </w:pPr>
            <w:r>
              <w:rPr>
                <w:sz w:val="18"/>
              </w:rPr>
              <w:t>4 drams.</w:t>
            </w:r>
          </w:p>
        </w:tc>
      </w:tr>
      <w:tr>
        <w:tc>
          <w:tcPr>
            <w:tcW w:w="2922" w:type="dxa"/>
          </w:tcPr>
          <w:p>
            <w:pPr>
              <w:pStyle w:val="Table"/>
              <w:spacing w:line="240" w:lineRule="auto"/>
              <w:rPr>
                <w:sz w:val="18"/>
              </w:rPr>
            </w:pPr>
            <w:r>
              <w:rPr>
                <w:sz w:val="18"/>
              </w:rPr>
              <w:t xml:space="preserve">Exceeding 1 lb. to 6 lb. ........................ </w:t>
            </w:r>
          </w:p>
        </w:tc>
        <w:tc>
          <w:tcPr>
            <w:tcW w:w="2465" w:type="dxa"/>
            <w:tcBorders>
              <w:left w:val="single" w:sz="4" w:space="0" w:color="auto"/>
            </w:tcBorders>
          </w:tcPr>
          <w:p>
            <w:pPr>
              <w:pStyle w:val="Table"/>
              <w:spacing w:line="240" w:lineRule="auto"/>
              <w:jc w:val="center"/>
              <w:rPr>
                <w:sz w:val="18"/>
              </w:rPr>
            </w:pPr>
            <w:r>
              <w:rPr>
                <w:sz w:val="18"/>
              </w:rPr>
              <w:t>8 drams.</w:t>
            </w:r>
          </w:p>
        </w:tc>
      </w:tr>
      <w:tr>
        <w:tc>
          <w:tcPr>
            <w:tcW w:w="2922" w:type="dxa"/>
            <w:tcBorders>
              <w:bottom w:val="single" w:sz="4" w:space="0" w:color="auto"/>
            </w:tcBorders>
          </w:tcPr>
          <w:p>
            <w:pPr>
              <w:pStyle w:val="Table"/>
              <w:spacing w:line="240" w:lineRule="auto"/>
              <w:rPr>
                <w:sz w:val="18"/>
              </w:rPr>
            </w:pPr>
            <w:r>
              <w:rPr>
                <w:sz w:val="18"/>
              </w:rPr>
              <w:t xml:space="preserve">Exceeding 6 lb. to 30 lb. ...................... </w:t>
            </w:r>
          </w:p>
        </w:tc>
        <w:tc>
          <w:tcPr>
            <w:tcW w:w="2465" w:type="dxa"/>
            <w:tcBorders>
              <w:left w:val="single" w:sz="4" w:space="0" w:color="auto"/>
              <w:bottom w:val="single" w:sz="4" w:space="0" w:color="auto"/>
            </w:tcBorders>
          </w:tcPr>
          <w:p>
            <w:pPr>
              <w:pStyle w:val="Table"/>
              <w:spacing w:line="240" w:lineRule="auto"/>
              <w:jc w:val="center"/>
              <w:rPr>
                <w:sz w:val="18"/>
              </w:rPr>
            </w:pPr>
            <w:r>
              <w:rPr>
                <w:sz w:val="18"/>
              </w:rPr>
              <w:t>1 oz.</w:t>
            </w:r>
          </w:p>
        </w:tc>
      </w:tr>
    </w:tbl>
    <w:p>
      <w:pPr>
        <w:pStyle w:val="Indenta"/>
        <w:rPr>
          <w:snapToGrid w:val="0"/>
        </w:rPr>
      </w:pPr>
      <w:r>
        <w:rPr>
          <w:snapToGrid w:val="0"/>
        </w:rPr>
        <w:tab/>
      </w:r>
      <w:r>
        <w:rPr>
          <w:snapToGrid w:val="0"/>
        </w:rPr>
        <w:tab/>
        <w:t>This clause shall not apply to instruments of a type approved by the Chief Inspector for freight weighing only or for other specified trade or purpose;</w:t>
      </w:r>
    </w:p>
    <w:p>
      <w:pPr>
        <w:pStyle w:val="Indenta"/>
        <w:rPr>
          <w:snapToGrid w:val="0"/>
        </w:rPr>
      </w:pPr>
      <w:r>
        <w:rPr>
          <w:snapToGrid w:val="0"/>
        </w:rPr>
        <w:tab/>
        <w:t>(e)</w:t>
      </w:r>
      <w:r>
        <w:rPr>
          <w:snapToGrid w:val="0"/>
        </w:rPr>
        <w:tab/>
        <w:t>when of such construction that the accuracy is affected by slight variations in level, be provided with suitable levelling screws and a suitably affixed spirit level, and have the words “Instrument incorrect if not truly level” clearly and indelibly marked in proximity to such level, or in other position approved by the Chief Inspector.</w:t>
      </w:r>
    </w:p>
    <w:p>
      <w:pPr>
        <w:pStyle w:val="Footnotesection"/>
      </w:pPr>
      <w:r>
        <w:tab/>
        <w:t xml:space="preserve">[Regulation 73 amended in Gazette 23 May 1960 p. 1398; 9 Sep 1968 p. 2743; 31 Aug 1984 p. 2829.] </w:t>
      </w:r>
    </w:p>
    <w:p>
      <w:pPr>
        <w:pStyle w:val="Heading5"/>
        <w:rPr>
          <w:snapToGrid w:val="0"/>
        </w:rPr>
      </w:pPr>
      <w:bookmarkStart w:id="92" w:name="_Toc390077117"/>
      <w:r>
        <w:rPr>
          <w:rStyle w:val="CharSectno"/>
        </w:rPr>
        <w:t>74</w:t>
      </w:r>
      <w:r>
        <w:rPr>
          <w:snapToGrid w:val="0"/>
        </w:rPr>
        <w:t>.</w:t>
      </w:r>
      <w:r>
        <w:rPr>
          <w:snapToGrid w:val="0"/>
        </w:rPr>
        <w:tab/>
        <w:t>Restrictions on machines with sliding or tare weights</w:t>
      </w:r>
      <w:bookmarkEnd w:id="92"/>
    </w:p>
    <w:p>
      <w:pPr>
        <w:pStyle w:val="Subsection"/>
        <w:rPr>
          <w:snapToGrid w:val="0"/>
        </w:rPr>
      </w:pPr>
      <w:r>
        <w:rPr>
          <w:snapToGrid w:val="0"/>
        </w:rPr>
        <w:tab/>
      </w:r>
      <w:r>
        <w:rPr>
          <w:snapToGrid w:val="0"/>
        </w:rPr>
        <w:tab/>
        <w:t>A self</w:t>
      </w:r>
      <w:r>
        <w:rPr>
          <w:snapToGrid w:val="0"/>
        </w:rPr>
        <w:noBreakHyphen/>
        <w:t>indicating counter machine shall not have a sliding or tare weight unless the inscription “Not for counter retail use” is clearly, prominently, and indelibly marked thereon; or the instrument is of a type approved by the Chief Inspector.</w:t>
      </w:r>
    </w:p>
    <w:p>
      <w:pPr>
        <w:pStyle w:val="Footnotesection"/>
      </w:pPr>
      <w:r>
        <w:tab/>
        <w:t xml:space="preserve">[Regulation 74 amended in Gazette 9 Sep 1968 p. 2743; 31 Aug 1984 p. 2829.] </w:t>
      </w:r>
    </w:p>
    <w:p>
      <w:pPr>
        <w:pStyle w:val="Heading5"/>
        <w:rPr>
          <w:snapToGrid w:val="0"/>
        </w:rPr>
      </w:pPr>
      <w:bookmarkStart w:id="93" w:name="_Toc390077118"/>
      <w:r>
        <w:rPr>
          <w:rStyle w:val="CharSectno"/>
        </w:rPr>
        <w:t>75</w:t>
      </w:r>
      <w:r>
        <w:rPr>
          <w:snapToGrid w:val="0"/>
        </w:rPr>
        <w:t>.</w:t>
      </w:r>
      <w:r>
        <w:rPr>
          <w:snapToGrid w:val="0"/>
        </w:rPr>
        <w:tab/>
        <w:t>Value computing charts</w:t>
      </w:r>
      <w:bookmarkEnd w:id="93"/>
    </w:p>
    <w:p>
      <w:pPr>
        <w:pStyle w:val="Subsection"/>
        <w:rPr>
          <w:snapToGrid w:val="0"/>
        </w:rPr>
      </w:pPr>
      <w:r>
        <w:rPr>
          <w:snapToGrid w:val="0"/>
        </w:rPr>
        <w:tab/>
      </w:r>
      <w:r>
        <w:rPr>
          <w:snapToGrid w:val="0"/>
        </w:rPr>
        <w:tab/>
        <w:t>A self</w:t>
      </w:r>
      <w:r>
        <w:rPr>
          <w:snapToGrid w:val="0"/>
        </w:rPr>
        <w:noBreakHyphen/>
        <w:t>indicating counter machine equipped with a value computing chart shall comply with the following specifications — </w:t>
      </w:r>
    </w:p>
    <w:p>
      <w:pPr>
        <w:pStyle w:val="Indenta"/>
        <w:rPr>
          <w:snapToGrid w:val="0"/>
        </w:rPr>
      </w:pPr>
      <w:r>
        <w:rPr>
          <w:snapToGrid w:val="0"/>
        </w:rPr>
        <w:tab/>
        <w:t>(a)</w:t>
      </w:r>
      <w:r>
        <w:rPr>
          <w:snapToGrid w:val="0"/>
        </w:rPr>
        <w:tab/>
        <w:t>value computations shall be correct and the chart generally shall be clear and distinct;</w:t>
      </w:r>
    </w:p>
    <w:p>
      <w:pPr>
        <w:pStyle w:val="Indenta"/>
        <w:rPr>
          <w:snapToGrid w:val="0"/>
        </w:rPr>
      </w:pPr>
      <w:r>
        <w:rPr>
          <w:snapToGrid w:val="0"/>
        </w:rPr>
        <w:tab/>
        <w:t>(b)</w:t>
      </w:r>
      <w:r>
        <w:rPr>
          <w:snapToGrid w:val="0"/>
        </w:rPr>
        <w:tab/>
        <w:t>the same value shall not be repeated in any given column or row;</w:t>
      </w:r>
    </w:p>
    <w:p>
      <w:pPr>
        <w:pStyle w:val="Indenta"/>
        <w:tabs>
          <w:tab w:val="clear" w:pos="1616"/>
          <w:tab w:val="right" w:pos="2041"/>
          <w:tab w:val="left" w:pos="2325"/>
        </w:tabs>
        <w:ind w:left="2325" w:hanging="2325"/>
        <w:rPr>
          <w:snapToGrid w:val="0"/>
        </w:rPr>
      </w:pPr>
      <w:r>
        <w:rPr>
          <w:snapToGrid w:val="0"/>
        </w:rPr>
        <w:tab/>
        <w:t>(c)</w:t>
      </w:r>
      <w:r>
        <w:rPr>
          <w:snapToGrid w:val="0"/>
        </w:rPr>
        <w:tab/>
      </w:r>
      <w:r>
        <w:rPr>
          <w:i/>
          <w:snapToGrid w:val="0"/>
        </w:rPr>
        <w:t>[(i)</w:t>
      </w:r>
      <w:r>
        <w:rPr>
          <w:i/>
          <w:snapToGrid w:val="0"/>
        </w:rPr>
        <w:tab/>
        <w:t>omitted under the Reprints Act 1984 s. 7(4)(e).]</w:t>
      </w:r>
    </w:p>
    <w:p>
      <w:pPr>
        <w:pStyle w:val="Indenti"/>
        <w:rPr>
          <w:snapToGrid w:val="0"/>
        </w:rPr>
      </w:pPr>
      <w:r>
        <w:rPr>
          <w:snapToGrid w:val="0"/>
        </w:rPr>
        <w:tab/>
        <w:t>(ii)</w:t>
      </w:r>
      <w:r>
        <w:rPr>
          <w:snapToGrid w:val="0"/>
        </w:rPr>
        <w:tab/>
        <w:t>when the chart is expressed in decimal currency, value graduation shall not represent — </w:t>
      </w:r>
    </w:p>
    <w:p>
      <w:pPr>
        <w:pStyle w:val="IndentI0"/>
        <w:rPr>
          <w:snapToGrid w:val="0"/>
        </w:rPr>
      </w:pPr>
      <w:r>
        <w:rPr>
          <w:snapToGrid w:val="0"/>
        </w:rPr>
        <w:tab/>
        <w:t>(I)</w:t>
      </w:r>
      <w:r>
        <w:rPr>
          <w:snapToGrid w:val="0"/>
        </w:rPr>
        <w:tab/>
        <w:t>more than one cent in relation to price rates not exceeding 30 cents per lb.; and</w:t>
      </w:r>
    </w:p>
    <w:p>
      <w:pPr>
        <w:pStyle w:val="IndentI0"/>
        <w:rPr>
          <w:snapToGrid w:val="0"/>
        </w:rPr>
      </w:pPr>
      <w:r>
        <w:rPr>
          <w:snapToGrid w:val="0"/>
        </w:rPr>
        <w:tab/>
        <w:t>(II)</w:t>
      </w:r>
      <w:r>
        <w:rPr>
          <w:snapToGrid w:val="0"/>
        </w:rPr>
        <w:tab/>
        <w:t>more than 2 cents in relation to price rates exceeding 30 cents per lb.;</w:t>
      </w:r>
    </w:p>
    <w:p>
      <w:pPr>
        <w:pStyle w:val="Indenti"/>
        <w:rPr>
          <w:snapToGrid w:val="0"/>
        </w:rPr>
      </w:pPr>
      <w:r>
        <w:rPr>
          <w:snapToGrid w:val="0"/>
        </w:rPr>
        <w:tab/>
        <w:t>(iii)</w:t>
      </w:r>
      <w:r>
        <w:rPr>
          <w:snapToGrid w:val="0"/>
        </w:rPr>
        <w:tab/>
        <w:t>the graduation lines shall not be less than 1/1000 inch in width;</w:t>
      </w:r>
    </w:p>
    <w:p>
      <w:pPr>
        <w:pStyle w:val="Indenta"/>
        <w:rPr>
          <w:snapToGrid w:val="0"/>
        </w:rPr>
      </w:pPr>
      <w:r>
        <w:rPr>
          <w:snapToGrid w:val="0"/>
        </w:rPr>
        <w:tab/>
        <w:t>(d)</w:t>
      </w:r>
      <w:r>
        <w:rPr>
          <w:snapToGrid w:val="0"/>
        </w:rPr>
        <w:tab/>
        <w:t>there shall not be more than 24 value graduations per inch, provided that on cylindrical charts equipped with an approved magnifying glass 32 graduations per inch shall be permissible;</w:t>
      </w:r>
    </w:p>
    <w:p>
      <w:pPr>
        <w:pStyle w:val="Indenta"/>
        <w:rPr>
          <w:snapToGrid w:val="0"/>
        </w:rPr>
      </w:pPr>
      <w:r>
        <w:rPr>
          <w:snapToGrid w:val="0"/>
        </w:rPr>
        <w:tab/>
        <w:t>(e)</w:t>
      </w:r>
      <w:r>
        <w:rPr>
          <w:snapToGrid w:val="0"/>
        </w:rPr>
        <w:tab/>
        <w:t>the indicating line shall not be more than 1/64th inch in width and shall not be distant from the chart more than 1</w:t>
      </w:r>
      <w:r>
        <w:rPr>
          <w:snapToGrid w:val="0"/>
        </w:rPr>
        <w:softHyphen/>
        <w:t>/12th inch;</w:t>
      </w:r>
    </w:p>
    <w:p>
      <w:pPr>
        <w:pStyle w:val="Indenta"/>
        <w:rPr>
          <w:snapToGrid w:val="0"/>
        </w:rPr>
      </w:pPr>
      <w:r>
        <w:rPr>
          <w:snapToGrid w:val="0"/>
        </w:rPr>
        <w:tab/>
        <w:t>(f)</w:t>
      </w:r>
      <w:r>
        <w:rPr>
          <w:snapToGrid w:val="0"/>
        </w:rPr>
        <w:tab/>
        <w:t>when equipped with a cylindrical chart the scale shall be so constructed that the opening discloses at least 2 value graduations at the lowest price per pound:</w:t>
      </w:r>
    </w:p>
    <w:p>
      <w:pPr>
        <w:pStyle w:val="Subsection"/>
        <w:rPr>
          <w:snapToGrid w:val="0"/>
        </w:rPr>
      </w:pPr>
      <w:r>
        <w:rPr>
          <w:snapToGrid w:val="0"/>
        </w:rPr>
        <w:tab/>
      </w:r>
      <w:r>
        <w:rPr>
          <w:snapToGrid w:val="0"/>
        </w:rPr>
        <w:tab/>
        <w:t>Provided this regulation shall not apply until 1 January 1928 and shall not thereafter preclude the restamping of instruments stamped prior to such date.</w:t>
      </w:r>
    </w:p>
    <w:p>
      <w:pPr>
        <w:pStyle w:val="Footnotesection"/>
      </w:pPr>
      <w:r>
        <w:tab/>
        <w:t xml:space="preserve">[Regulation 75 amended in Gazette 23 May 1960 p. 1399; 6 Jan 1966 p. 21.] </w:t>
      </w:r>
    </w:p>
    <w:p>
      <w:pPr>
        <w:pStyle w:val="Heading5"/>
        <w:rPr>
          <w:snapToGrid w:val="0"/>
        </w:rPr>
      </w:pPr>
      <w:bookmarkStart w:id="94" w:name="_Toc390077119"/>
      <w:r>
        <w:rPr>
          <w:rStyle w:val="CharSectno"/>
        </w:rPr>
        <w:t>76</w:t>
      </w:r>
      <w:r>
        <w:rPr>
          <w:snapToGrid w:val="0"/>
        </w:rPr>
        <w:t>.</w:t>
      </w:r>
      <w:r>
        <w:rPr>
          <w:snapToGrid w:val="0"/>
        </w:rPr>
        <w:tab/>
        <w:t>Tolerance</w:t>
      </w:r>
      <w:bookmarkEnd w:id="94"/>
    </w:p>
    <w:p>
      <w:pPr>
        <w:pStyle w:val="Subsection"/>
        <w:rPr>
          <w:snapToGrid w:val="0"/>
        </w:rPr>
      </w:pPr>
      <w:r>
        <w:rPr>
          <w:snapToGrid w:val="0"/>
        </w:rPr>
        <w:tab/>
      </w:r>
      <w:r>
        <w:rPr>
          <w:snapToGrid w:val="0"/>
        </w:rPr>
        <w:tab/>
        <w:t>The errors permissible on verification of self</w:t>
      </w:r>
      <w:r>
        <w:rPr>
          <w:snapToGrid w:val="0"/>
        </w:rPr>
        <w:noBreakHyphen/>
        <w:t>indicating counter machines shall be as specified in Table VII.</w:t>
      </w:r>
    </w:p>
    <w:p>
      <w:pPr>
        <w:pStyle w:val="Subsection"/>
        <w:rPr>
          <w:snapToGrid w:val="0"/>
        </w:rPr>
      </w:pPr>
      <w:r>
        <w:rPr>
          <w:snapToGrid w:val="0"/>
        </w:rPr>
        <w:tab/>
      </w:r>
      <w:r>
        <w:rPr>
          <w:snapToGrid w:val="0"/>
        </w:rPr>
        <w:tab/>
        <w:t>Provided that on instruments for use at railway stations for determining freight only, or as traders’ scales used exclusively for freight purposes, and marked “For freight purposes only”, twice such errors shall be permissible.</w:t>
      </w:r>
    </w:p>
    <w:p>
      <w:pPr>
        <w:pStyle w:val="Footnotesection"/>
      </w:pPr>
      <w:r>
        <w:tab/>
        <w:t xml:space="preserve">[Regulation 76 amended in Gazette 23 May 1960 p. 1399.] </w:t>
      </w:r>
    </w:p>
    <w:p>
      <w:pPr>
        <w:pStyle w:val="MiscellaneousHeading"/>
        <w:outlineLvl w:val="0"/>
        <w:rPr>
          <w:b/>
          <w:snapToGrid w:val="0"/>
        </w:rPr>
      </w:pPr>
      <w:r>
        <w:rPr>
          <w:b/>
          <w:snapToGrid w:val="0"/>
        </w:rPr>
        <w:t>Steelyards</w:t>
      </w:r>
    </w:p>
    <w:p>
      <w:pPr>
        <w:pStyle w:val="Heading5"/>
        <w:rPr>
          <w:snapToGrid w:val="0"/>
        </w:rPr>
      </w:pPr>
      <w:bookmarkStart w:id="95" w:name="_Toc390077120"/>
      <w:r>
        <w:rPr>
          <w:rStyle w:val="CharSectno"/>
        </w:rPr>
        <w:t>77</w:t>
      </w:r>
      <w:r>
        <w:rPr>
          <w:snapToGrid w:val="0"/>
        </w:rPr>
        <w:t>.</w:t>
      </w:r>
      <w:r>
        <w:rPr>
          <w:snapToGrid w:val="0"/>
        </w:rPr>
        <w:tab/>
        <w:t>Steelyards</w:t>
      </w:r>
      <w:bookmarkEnd w:id="95"/>
    </w:p>
    <w:p>
      <w:pPr>
        <w:pStyle w:val="Subsection"/>
        <w:rPr>
          <w:snapToGrid w:val="0"/>
        </w:rPr>
      </w:pPr>
      <w:r>
        <w:rPr>
          <w:snapToGrid w:val="0"/>
        </w:rPr>
        <w:tab/>
      </w:r>
      <w:r>
        <w:rPr>
          <w:snapToGrid w:val="0"/>
        </w:rPr>
        <w:tab/>
        <w:t>Steelyards shall — </w:t>
      </w:r>
    </w:p>
    <w:p>
      <w:pPr>
        <w:pStyle w:val="Indenta"/>
        <w:rPr>
          <w:snapToGrid w:val="0"/>
        </w:rPr>
      </w:pPr>
      <w:r>
        <w:rPr>
          <w:snapToGrid w:val="0"/>
        </w:rPr>
        <w:tab/>
        <w:t>(a)</w:t>
      </w:r>
      <w:r>
        <w:rPr>
          <w:snapToGrid w:val="0"/>
        </w:rPr>
        <w:tab/>
        <w:t>be made of wrought iron, steel, or other material approved by the Chief Inspector;</w:t>
      </w:r>
    </w:p>
    <w:p>
      <w:pPr>
        <w:pStyle w:val="Indenta"/>
        <w:rPr>
          <w:snapToGrid w:val="0"/>
        </w:rPr>
      </w:pPr>
      <w:r>
        <w:rPr>
          <w:snapToGrid w:val="0"/>
        </w:rPr>
        <w:tab/>
        <w:t>(b)</w:t>
      </w:r>
      <w:r>
        <w:rPr>
          <w:snapToGrid w:val="0"/>
        </w:rPr>
        <w:tab/>
        <w:t>have a perfectly straight shank;</w:t>
      </w:r>
    </w:p>
    <w:p>
      <w:pPr>
        <w:pStyle w:val="Indenta"/>
        <w:rPr>
          <w:snapToGrid w:val="0"/>
        </w:rPr>
      </w:pPr>
      <w:r>
        <w:rPr>
          <w:snapToGrid w:val="0"/>
        </w:rPr>
        <w:tab/>
        <w:t>(c)</w:t>
      </w:r>
      <w:r>
        <w:rPr>
          <w:snapToGrid w:val="0"/>
        </w:rPr>
        <w:tab/>
        <w:t>have all sliding poises and suspending hooks securely attached;</w:t>
      </w:r>
    </w:p>
    <w:p>
      <w:pPr>
        <w:pStyle w:val="Indenta"/>
        <w:rPr>
          <w:snapToGrid w:val="0"/>
        </w:rPr>
      </w:pPr>
      <w:r>
        <w:rPr>
          <w:snapToGrid w:val="0"/>
        </w:rPr>
        <w:tab/>
        <w:t>(d)</w:t>
      </w:r>
      <w:r>
        <w:rPr>
          <w:snapToGrid w:val="0"/>
        </w:rPr>
        <w:tab/>
        <w:t>have end fittings, such as the nut, attached to prevent the poise carrier riding off the steelyard arm, securely affixed;</w:t>
      </w:r>
    </w:p>
    <w:p>
      <w:pPr>
        <w:pStyle w:val="Indenta"/>
        <w:rPr>
          <w:snapToGrid w:val="0"/>
        </w:rPr>
      </w:pPr>
      <w:r>
        <w:rPr>
          <w:snapToGrid w:val="0"/>
        </w:rPr>
        <w:tab/>
        <w:t>(e)</w:t>
      </w:r>
      <w:r>
        <w:rPr>
          <w:snapToGrid w:val="0"/>
        </w:rPr>
        <w:tab/>
        <w:t>have the stamping plug fixed in the front face of the shoulder of the steelyard.</w:t>
      </w:r>
    </w:p>
    <w:p>
      <w:pPr>
        <w:pStyle w:val="Footnotesection"/>
      </w:pPr>
      <w:r>
        <w:tab/>
        <w:t xml:space="preserve">[Regulation 77 amended in Gazette 9 Sep 1968 p. 2743; 31 Aug 1984 p. 2829.] </w:t>
      </w:r>
    </w:p>
    <w:p>
      <w:pPr>
        <w:pStyle w:val="Heading5"/>
        <w:rPr>
          <w:snapToGrid w:val="0"/>
        </w:rPr>
      </w:pPr>
      <w:bookmarkStart w:id="96" w:name="_Toc390077121"/>
      <w:r>
        <w:rPr>
          <w:rStyle w:val="CharSectno"/>
        </w:rPr>
        <w:t>78</w:t>
      </w:r>
      <w:r>
        <w:rPr>
          <w:snapToGrid w:val="0"/>
        </w:rPr>
        <w:t>.</w:t>
      </w:r>
      <w:r>
        <w:rPr>
          <w:snapToGrid w:val="0"/>
        </w:rPr>
        <w:tab/>
        <w:t>Graduation</w:t>
      </w:r>
      <w:bookmarkEnd w:id="96"/>
    </w:p>
    <w:p>
      <w:pPr>
        <w:pStyle w:val="Subsection"/>
        <w:rPr>
          <w:snapToGrid w:val="0"/>
        </w:rPr>
      </w:pPr>
      <w:r>
        <w:rPr>
          <w:snapToGrid w:val="0"/>
        </w:rPr>
        <w:tab/>
      </w:r>
      <w:r>
        <w:rPr>
          <w:snapToGrid w:val="0"/>
        </w:rPr>
        <w:tab/>
        <w:t>The least graduation on any steelyard shall not represent a weight greater than 1/200th part of the capacity of the instrument:</w:t>
      </w:r>
    </w:p>
    <w:p>
      <w:pPr>
        <w:pStyle w:val="Subsection"/>
        <w:rPr>
          <w:snapToGrid w:val="0"/>
        </w:rPr>
      </w:pPr>
      <w:r>
        <w:rPr>
          <w:snapToGrid w:val="0"/>
        </w:rPr>
        <w:tab/>
      </w:r>
      <w:r>
        <w:rPr>
          <w:snapToGrid w:val="0"/>
        </w:rPr>
        <w:tab/>
        <w:t>Provided this shall not apply to steelyards used in the sale of coal or firewood only which comply with the requirements of regulation 79, or to steelyards of a type approved by the Chief Inspector for a specific trade or purpose.</w:t>
      </w:r>
    </w:p>
    <w:p>
      <w:pPr>
        <w:pStyle w:val="Footnotesection"/>
      </w:pPr>
      <w:r>
        <w:tab/>
        <w:t xml:space="preserve">[Regulation 78 amended in Gazette 9 Sep 1968 p. 2743; 31 Aug 1984 p. 2829.] </w:t>
      </w:r>
    </w:p>
    <w:p>
      <w:pPr>
        <w:pStyle w:val="Heading5"/>
        <w:rPr>
          <w:snapToGrid w:val="0"/>
        </w:rPr>
      </w:pPr>
      <w:bookmarkStart w:id="97" w:name="_Toc390077122"/>
      <w:r>
        <w:rPr>
          <w:rStyle w:val="CharSectno"/>
        </w:rPr>
        <w:t>79</w:t>
      </w:r>
      <w:r>
        <w:rPr>
          <w:snapToGrid w:val="0"/>
        </w:rPr>
        <w:t>.</w:t>
      </w:r>
      <w:r>
        <w:rPr>
          <w:snapToGrid w:val="0"/>
        </w:rPr>
        <w:tab/>
        <w:t>Steelyards for use with coal and firewood</w:t>
      </w:r>
      <w:bookmarkEnd w:id="97"/>
    </w:p>
    <w:p>
      <w:pPr>
        <w:pStyle w:val="Subsection"/>
        <w:rPr>
          <w:snapToGrid w:val="0"/>
        </w:rPr>
      </w:pPr>
      <w:r>
        <w:rPr>
          <w:snapToGrid w:val="0"/>
        </w:rPr>
        <w:tab/>
      </w:r>
      <w:r>
        <w:rPr>
          <w:snapToGrid w:val="0"/>
        </w:rPr>
        <w:tab/>
        <w:t>Steelyards for use in the sale of coal and firewood only shall not be of less capacity than 120 lb.</w:t>
      </w:r>
    </w:p>
    <w:p>
      <w:pPr>
        <w:pStyle w:val="Subsection"/>
        <w:rPr>
          <w:snapToGrid w:val="0"/>
        </w:rPr>
      </w:pPr>
      <w:r>
        <w:rPr>
          <w:snapToGrid w:val="0"/>
        </w:rPr>
        <w:tab/>
      </w:r>
      <w:r>
        <w:rPr>
          <w:snapToGrid w:val="0"/>
        </w:rPr>
        <w:tab/>
        <w:t>The least graduation shall not represent an amount greater than 1 lb.</w:t>
      </w:r>
    </w:p>
    <w:p>
      <w:pPr>
        <w:pStyle w:val="Subsection"/>
        <w:rPr>
          <w:snapToGrid w:val="0"/>
        </w:rPr>
      </w:pPr>
      <w:r>
        <w:rPr>
          <w:snapToGrid w:val="0"/>
        </w:rPr>
        <w:tab/>
      </w:r>
      <w:r>
        <w:rPr>
          <w:snapToGrid w:val="0"/>
        </w:rPr>
        <w:tab/>
        <w:t xml:space="preserve">The word “coal” shall be legibly stamped or engraved on the front face of the shoulder of the steelyard. </w:t>
      </w:r>
    </w:p>
    <w:p>
      <w:pPr>
        <w:pStyle w:val="Heading5"/>
        <w:rPr>
          <w:snapToGrid w:val="0"/>
        </w:rPr>
      </w:pPr>
      <w:bookmarkStart w:id="98" w:name="_Toc390077123"/>
      <w:r>
        <w:rPr>
          <w:rStyle w:val="CharSectno"/>
        </w:rPr>
        <w:t>80</w:t>
      </w:r>
      <w:r>
        <w:rPr>
          <w:snapToGrid w:val="0"/>
        </w:rPr>
        <w:t>.</w:t>
      </w:r>
      <w:r>
        <w:rPr>
          <w:snapToGrid w:val="0"/>
        </w:rPr>
        <w:tab/>
        <w:t>Stamping of steelyards</w:t>
      </w:r>
      <w:bookmarkEnd w:id="98"/>
    </w:p>
    <w:p>
      <w:pPr>
        <w:pStyle w:val="Subsection"/>
        <w:keepNext/>
        <w:rPr>
          <w:snapToGrid w:val="0"/>
        </w:rPr>
      </w:pPr>
      <w:r>
        <w:rPr>
          <w:snapToGrid w:val="0"/>
        </w:rPr>
        <w:tab/>
      </w:r>
      <w:r>
        <w:rPr>
          <w:snapToGrid w:val="0"/>
        </w:rPr>
        <w:tab/>
        <w:t>An Inspector shall not stamp — </w:t>
      </w:r>
    </w:p>
    <w:p>
      <w:pPr>
        <w:pStyle w:val="Indenta"/>
        <w:rPr>
          <w:snapToGrid w:val="0"/>
        </w:rPr>
      </w:pPr>
      <w:r>
        <w:rPr>
          <w:snapToGrid w:val="0"/>
        </w:rPr>
        <w:tab/>
        <w:t>(a)</w:t>
      </w:r>
      <w:r>
        <w:rPr>
          <w:snapToGrid w:val="0"/>
        </w:rPr>
        <w:tab/>
        <w:t>any accelerating steelyard;</w:t>
      </w:r>
    </w:p>
    <w:p>
      <w:pPr>
        <w:pStyle w:val="Indenta"/>
        <w:rPr>
          <w:snapToGrid w:val="0"/>
        </w:rPr>
      </w:pPr>
      <w:r>
        <w:rPr>
          <w:snapToGrid w:val="0"/>
        </w:rPr>
        <w:tab/>
        <w:t>(b)</w:t>
      </w:r>
      <w:r>
        <w:rPr>
          <w:snapToGrid w:val="0"/>
        </w:rPr>
        <w:tab/>
        <w:t>any counter steelyard;</w:t>
      </w:r>
    </w:p>
    <w:p>
      <w:pPr>
        <w:pStyle w:val="Indenta"/>
        <w:rPr>
          <w:snapToGrid w:val="0"/>
        </w:rPr>
      </w:pPr>
      <w:r>
        <w:rPr>
          <w:snapToGrid w:val="0"/>
        </w:rPr>
        <w:tab/>
        <w:t>(c)</w:t>
      </w:r>
      <w:r>
        <w:rPr>
          <w:snapToGrid w:val="0"/>
        </w:rPr>
        <w:tab/>
        <w:t xml:space="preserve">any steelyard of a capacity less than </w:t>
      </w:r>
      <w:r>
        <w:t>56 lb</w:t>
      </w:r>
      <w:r>
        <w:rPr>
          <w:snapToGrid w:val="0"/>
        </w:rPr>
        <w:t>.;</w:t>
      </w:r>
    </w:p>
    <w:p>
      <w:pPr>
        <w:pStyle w:val="Indenta"/>
        <w:rPr>
          <w:snapToGrid w:val="0"/>
        </w:rPr>
      </w:pPr>
      <w:r>
        <w:rPr>
          <w:snapToGrid w:val="0"/>
        </w:rPr>
        <w:tab/>
        <w:t>(d)</w:t>
      </w:r>
      <w:r>
        <w:rPr>
          <w:snapToGrid w:val="0"/>
        </w:rPr>
        <w:tab/>
        <w:t>any steelyard which is reversible and has 3 hooks;</w:t>
      </w:r>
    </w:p>
    <w:p>
      <w:pPr>
        <w:pStyle w:val="Indenta"/>
        <w:rPr>
          <w:snapToGrid w:val="0"/>
        </w:rPr>
      </w:pPr>
      <w:r>
        <w:rPr>
          <w:snapToGrid w:val="0"/>
        </w:rPr>
        <w:tab/>
        <w:t>(e)</w:t>
      </w:r>
      <w:r>
        <w:rPr>
          <w:snapToGrid w:val="0"/>
        </w:rPr>
        <w:tab/>
        <w:t>any steelyard the sliding poise of which is not freely movable without risk of injury to the notches;</w:t>
      </w:r>
    </w:p>
    <w:p>
      <w:pPr>
        <w:pStyle w:val="Indenta"/>
        <w:rPr>
          <w:snapToGrid w:val="0"/>
        </w:rPr>
      </w:pPr>
      <w:r>
        <w:rPr>
          <w:snapToGrid w:val="0"/>
        </w:rPr>
        <w:tab/>
        <w:t>(f)</w:t>
      </w:r>
      <w:r>
        <w:rPr>
          <w:snapToGrid w:val="0"/>
        </w:rPr>
        <w:tab/>
        <w:t>any steelyard which is not provided with a stop or other suitable arrangement to prevent excessive oscillation of the shank:</w:t>
      </w:r>
    </w:p>
    <w:p>
      <w:pPr>
        <w:pStyle w:val="Subsection"/>
        <w:rPr>
          <w:snapToGrid w:val="0"/>
        </w:rPr>
      </w:pPr>
      <w:r>
        <w:rPr>
          <w:snapToGrid w:val="0"/>
        </w:rPr>
        <w:tab/>
      </w:r>
      <w:r>
        <w:rPr>
          <w:snapToGrid w:val="0"/>
        </w:rPr>
        <w:tab/>
        <w:t>Provided this regulation shall not apply to any steelyard of a type approved by the Chief Inspector.</w:t>
      </w:r>
    </w:p>
    <w:p>
      <w:pPr>
        <w:pStyle w:val="Footnotesection"/>
      </w:pPr>
      <w:r>
        <w:tab/>
        <w:t xml:space="preserve">[Regulation 80 amended in Gazette 9 Sep 1968 p. 2743; 31 Aug 1984 p. 2829.] </w:t>
      </w:r>
    </w:p>
    <w:p>
      <w:pPr>
        <w:pStyle w:val="Ednotesection"/>
      </w:pPr>
      <w:r>
        <w:t>[</w:t>
      </w:r>
      <w:r>
        <w:rPr>
          <w:b/>
        </w:rPr>
        <w:t>81.</w:t>
      </w:r>
      <w:r>
        <w:rPr>
          <w:b/>
        </w:rPr>
        <w:tab/>
      </w:r>
      <w:r>
        <w:t xml:space="preserve">Repealed in Gazette 23 May 1960 p. 1399.] </w:t>
      </w:r>
    </w:p>
    <w:p>
      <w:pPr>
        <w:pStyle w:val="Heading5"/>
        <w:rPr>
          <w:snapToGrid w:val="0"/>
        </w:rPr>
      </w:pPr>
      <w:bookmarkStart w:id="99" w:name="_Toc390077124"/>
      <w:r>
        <w:rPr>
          <w:rStyle w:val="CharSectno"/>
        </w:rPr>
        <w:t>82</w:t>
      </w:r>
      <w:r>
        <w:rPr>
          <w:snapToGrid w:val="0"/>
        </w:rPr>
        <w:t>.</w:t>
      </w:r>
      <w:r>
        <w:rPr>
          <w:snapToGrid w:val="0"/>
        </w:rPr>
        <w:tab/>
        <w:t>Steelyards to be reversible</w:t>
      </w:r>
      <w:bookmarkEnd w:id="99"/>
    </w:p>
    <w:p>
      <w:pPr>
        <w:pStyle w:val="Subsection"/>
        <w:rPr>
          <w:snapToGrid w:val="0"/>
        </w:rPr>
      </w:pPr>
      <w:r>
        <w:rPr>
          <w:snapToGrid w:val="0"/>
        </w:rPr>
        <w:tab/>
      </w:r>
      <w:r>
        <w:rPr>
          <w:snapToGrid w:val="0"/>
        </w:rPr>
        <w:tab/>
        <w:t>Steelyards shall be correct whether the test is backwards or forward.</w:t>
      </w:r>
    </w:p>
    <w:p>
      <w:pPr>
        <w:pStyle w:val="Heading5"/>
        <w:rPr>
          <w:snapToGrid w:val="0"/>
        </w:rPr>
      </w:pPr>
      <w:bookmarkStart w:id="100" w:name="_Toc390077125"/>
      <w:r>
        <w:rPr>
          <w:rStyle w:val="CharSectno"/>
        </w:rPr>
        <w:t>83</w:t>
      </w:r>
      <w:r>
        <w:rPr>
          <w:snapToGrid w:val="0"/>
        </w:rPr>
        <w:t>.</w:t>
      </w:r>
      <w:r>
        <w:rPr>
          <w:snapToGrid w:val="0"/>
        </w:rPr>
        <w:tab/>
        <w:t>Tolerance</w:t>
      </w:r>
      <w:bookmarkEnd w:id="100"/>
    </w:p>
    <w:p>
      <w:pPr>
        <w:pStyle w:val="Subsection"/>
        <w:rPr>
          <w:snapToGrid w:val="0"/>
        </w:rPr>
      </w:pPr>
      <w:r>
        <w:rPr>
          <w:snapToGrid w:val="0"/>
        </w:rPr>
        <w:tab/>
      </w:r>
      <w:r>
        <w:rPr>
          <w:snapToGrid w:val="0"/>
        </w:rPr>
        <w:tab/>
        <w:t>The errors permissible on verification of steelyards shall be double that specified in that part of Table VIII which applies to steelyard type platform weighing machines:</w:t>
      </w:r>
    </w:p>
    <w:p>
      <w:pPr>
        <w:pStyle w:val="Subsection"/>
        <w:rPr>
          <w:snapToGrid w:val="0"/>
        </w:rPr>
      </w:pPr>
      <w:r>
        <w:rPr>
          <w:snapToGrid w:val="0"/>
        </w:rPr>
        <w:tab/>
      </w:r>
      <w:r>
        <w:rPr>
          <w:snapToGrid w:val="0"/>
        </w:rPr>
        <w:tab/>
        <w:t>Provided — </w:t>
      </w:r>
    </w:p>
    <w:p>
      <w:pPr>
        <w:pStyle w:val="Subsection"/>
        <w:rPr>
          <w:snapToGrid w:val="0"/>
        </w:rPr>
      </w:pPr>
      <w:r>
        <w:rPr>
          <w:snapToGrid w:val="0"/>
        </w:rPr>
        <w:tab/>
      </w:r>
      <w:r>
        <w:rPr>
          <w:snapToGrid w:val="0"/>
        </w:rPr>
        <w:tab/>
        <w:t>the error permissible on a steelyard marked “coal” shall be 4 times that on a platform machine.</w:t>
      </w:r>
    </w:p>
    <w:p>
      <w:pPr>
        <w:pStyle w:val="Footnotesection"/>
      </w:pPr>
      <w:r>
        <w:tab/>
        <w:t xml:space="preserve">[Regulation 83 amended in Gazette 23 May 1960 p. 1399.] </w:t>
      </w:r>
    </w:p>
    <w:p>
      <w:pPr>
        <w:pStyle w:val="MiscellaneousHeading"/>
        <w:outlineLvl w:val="0"/>
        <w:rPr>
          <w:b/>
          <w:snapToGrid w:val="0"/>
        </w:rPr>
      </w:pPr>
      <w:r>
        <w:rPr>
          <w:b/>
          <w:snapToGrid w:val="0"/>
        </w:rPr>
        <w:t>Wall beams</w:t>
      </w:r>
    </w:p>
    <w:p>
      <w:pPr>
        <w:pStyle w:val="Heading5"/>
        <w:rPr>
          <w:snapToGrid w:val="0"/>
        </w:rPr>
      </w:pPr>
      <w:bookmarkStart w:id="101" w:name="_Toc390077126"/>
      <w:r>
        <w:rPr>
          <w:rStyle w:val="CharSectno"/>
        </w:rPr>
        <w:t>84</w:t>
      </w:r>
      <w:r>
        <w:rPr>
          <w:snapToGrid w:val="0"/>
        </w:rPr>
        <w:t>.</w:t>
      </w:r>
      <w:r>
        <w:rPr>
          <w:snapToGrid w:val="0"/>
        </w:rPr>
        <w:tab/>
        <w:t>Wall beams</w:t>
      </w:r>
      <w:bookmarkEnd w:id="101"/>
    </w:p>
    <w:p>
      <w:pPr>
        <w:pStyle w:val="Subsection"/>
        <w:rPr>
          <w:snapToGrid w:val="0"/>
        </w:rPr>
      </w:pPr>
      <w:r>
        <w:rPr>
          <w:snapToGrid w:val="0"/>
        </w:rPr>
        <w:tab/>
      </w:r>
      <w:r>
        <w:rPr>
          <w:snapToGrid w:val="0"/>
        </w:rPr>
        <w:tab/>
        <w:t>A wall beam shall — </w:t>
      </w:r>
    </w:p>
    <w:p>
      <w:pPr>
        <w:pStyle w:val="Indenta"/>
        <w:rPr>
          <w:snapToGrid w:val="0"/>
        </w:rPr>
      </w:pPr>
      <w:r>
        <w:rPr>
          <w:snapToGrid w:val="0"/>
        </w:rPr>
        <w:tab/>
        <w:t>(a)</w:t>
      </w:r>
      <w:r>
        <w:rPr>
          <w:snapToGrid w:val="0"/>
        </w:rPr>
        <w:tab/>
        <w:t>have the frame and brackets of sufficient strength to bear the full capacity of the instrument without appreciable deflection;</w:t>
      </w:r>
    </w:p>
    <w:p>
      <w:pPr>
        <w:pStyle w:val="Indenta"/>
        <w:rPr>
          <w:snapToGrid w:val="0"/>
        </w:rPr>
      </w:pPr>
      <w:r>
        <w:rPr>
          <w:snapToGrid w:val="0"/>
        </w:rPr>
        <w:tab/>
        <w:t>(b)</w:t>
      </w:r>
      <w:r>
        <w:rPr>
          <w:snapToGrid w:val="0"/>
        </w:rPr>
        <w:tab/>
        <w:t>if on a swivel bracket be so arranged that the level of the beam is correct in all positions;</w:t>
      </w:r>
    </w:p>
    <w:p>
      <w:pPr>
        <w:pStyle w:val="Indenta"/>
        <w:rPr>
          <w:snapToGrid w:val="0"/>
        </w:rPr>
      </w:pPr>
      <w:r>
        <w:rPr>
          <w:snapToGrid w:val="0"/>
        </w:rPr>
        <w:tab/>
        <w:t>(c)</w:t>
      </w:r>
      <w:r>
        <w:rPr>
          <w:snapToGrid w:val="0"/>
        </w:rPr>
        <w:tab/>
        <w:t>show no appreciable difference in balance if the knife edges and bearings are shifted within the limits of their movement;</w:t>
      </w:r>
    </w:p>
    <w:p>
      <w:pPr>
        <w:pStyle w:val="Indenta"/>
        <w:rPr>
          <w:snapToGrid w:val="0"/>
        </w:rPr>
      </w:pPr>
      <w:r>
        <w:rPr>
          <w:snapToGrid w:val="0"/>
        </w:rPr>
        <w:tab/>
        <w:t>(d)</w:t>
      </w:r>
      <w:r>
        <w:rPr>
          <w:snapToGrid w:val="0"/>
        </w:rPr>
        <w:tab/>
        <w:t>comply with regulations 91 and 92 where applicable to its type.</w:t>
      </w:r>
    </w:p>
    <w:p>
      <w:pPr>
        <w:pStyle w:val="Heading5"/>
        <w:rPr>
          <w:snapToGrid w:val="0"/>
        </w:rPr>
      </w:pPr>
      <w:bookmarkStart w:id="102" w:name="_Toc390077127"/>
      <w:r>
        <w:rPr>
          <w:rStyle w:val="CharSectno"/>
        </w:rPr>
        <w:t>85</w:t>
      </w:r>
      <w:r>
        <w:rPr>
          <w:snapToGrid w:val="0"/>
        </w:rPr>
        <w:t>.</w:t>
      </w:r>
      <w:r>
        <w:rPr>
          <w:snapToGrid w:val="0"/>
        </w:rPr>
        <w:tab/>
        <w:t>Tolerance</w:t>
      </w:r>
      <w:bookmarkEnd w:id="102"/>
    </w:p>
    <w:p>
      <w:pPr>
        <w:pStyle w:val="Subsection"/>
        <w:rPr>
          <w:snapToGrid w:val="0"/>
        </w:rPr>
      </w:pPr>
      <w:r>
        <w:rPr>
          <w:snapToGrid w:val="0"/>
        </w:rPr>
        <w:tab/>
      </w:r>
      <w:r>
        <w:rPr>
          <w:snapToGrid w:val="0"/>
        </w:rPr>
        <w:tab/>
        <w:t>The errors permissible on verification of a wall beam shall be as specified in Table VIII.</w:t>
      </w:r>
    </w:p>
    <w:p>
      <w:pPr>
        <w:pStyle w:val="Footnotesection"/>
      </w:pPr>
      <w:r>
        <w:tab/>
        <w:t xml:space="preserve">[Regulation 85 amended in Gazette 23 May 1960 p. 1399.] </w:t>
      </w:r>
    </w:p>
    <w:p>
      <w:pPr>
        <w:pStyle w:val="MiscellaneousHeading"/>
        <w:outlineLvl w:val="0"/>
        <w:rPr>
          <w:b/>
          <w:snapToGrid w:val="0"/>
        </w:rPr>
      </w:pPr>
      <w:r>
        <w:rPr>
          <w:b/>
          <w:snapToGrid w:val="0"/>
        </w:rPr>
        <w:t>Dead</w:t>
      </w:r>
      <w:r>
        <w:rPr>
          <w:b/>
          <w:snapToGrid w:val="0"/>
        </w:rPr>
        <w:noBreakHyphen/>
        <w:t>weight machines</w:t>
      </w:r>
    </w:p>
    <w:p>
      <w:pPr>
        <w:pStyle w:val="Heading5"/>
        <w:rPr>
          <w:snapToGrid w:val="0"/>
        </w:rPr>
      </w:pPr>
      <w:bookmarkStart w:id="103" w:name="_Toc390077128"/>
      <w:r>
        <w:rPr>
          <w:rStyle w:val="CharSectno"/>
        </w:rPr>
        <w:t>86</w:t>
      </w:r>
      <w:r>
        <w:rPr>
          <w:snapToGrid w:val="0"/>
        </w:rPr>
        <w:t>.</w:t>
      </w:r>
      <w:r>
        <w:rPr>
          <w:snapToGrid w:val="0"/>
        </w:rPr>
        <w:tab/>
        <w:t>Definition of “dead-weight machine”</w:t>
      </w:r>
      <w:bookmarkEnd w:id="103"/>
    </w:p>
    <w:p>
      <w:pPr>
        <w:pStyle w:val="Subsection"/>
        <w:rPr>
          <w:snapToGrid w:val="0"/>
        </w:rPr>
      </w:pPr>
      <w:r>
        <w:rPr>
          <w:snapToGrid w:val="0"/>
        </w:rPr>
        <w:tab/>
      </w:r>
      <w:r>
        <w:rPr>
          <w:snapToGrid w:val="0"/>
        </w:rPr>
        <w:tab/>
        <w:t xml:space="preserve">The term </w:t>
      </w:r>
      <w:r>
        <w:rPr>
          <w:b/>
          <w:snapToGrid w:val="0"/>
        </w:rPr>
        <w:t>“</w:t>
      </w:r>
      <w:r>
        <w:rPr>
          <w:rStyle w:val="CharDefText"/>
        </w:rPr>
        <w:t>dead</w:t>
      </w:r>
      <w:r>
        <w:rPr>
          <w:rStyle w:val="CharDefText"/>
        </w:rPr>
        <w:softHyphen/>
        <w:t>-weight machine</w:t>
      </w:r>
      <w:r>
        <w:rPr>
          <w:b/>
          <w:snapToGrid w:val="0"/>
        </w:rPr>
        <w:t>”</w:t>
      </w:r>
      <w:r>
        <w:rPr>
          <w:snapToGrid w:val="0"/>
        </w:rPr>
        <w:t xml:space="preserve"> means any weighing instrument similar in principle of construction to counter scale, but of a capacity of 1 cwt. or over, and includes — </w:t>
      </w:r>
    </w:p>
    <w:p>
      <w:pPr>
        <w:pStyle w:val="Indenta"/>
        <w:rPr>
          <w:snapToGrid w:val="0"/>
        </w:rPr>
      </w:pPr>
      <w:r>
        <w:rPr>
          <w:snapToGrid w:val="0"/>
        </w:rPr>
        <w:tab/>
        <w:t>(a)</w:t>
      </w:r>
      <w:r>
        <w:rPr>
          <w:snapToGrid w:val="0"/>
        </w:rPr>
        <w:tab/>
        <w:t>the low pattern or cotton machine with the weighing platform near the ground, and connecting stays or hooks above the beam;</w:t>
      </w:r>
    </w:p>
    <w:p>
      <w:pPr>
        <w:pStyle w:val="Indenta"/>
        <w:rPr>
          <w:snapToGrid w:val="0"/>
        </w:rPr>
      </w:pPr>
      <w:r>
        <w:rPr>
          <w:snapToGrid w:val="0"/>
        </w:rPr>
        <w:tab/>
        <w:t>(b)</w:t>
      </w:r>
      <w:r>
        <w:rPr>
          <w:snapToGrid w:val="0"/>
        </w:rPr>
        <w:tab/>
        <w:t>the high pattern or single machine with the weighing platform at a convenient height, and the connecting stays or hooks below the beam.</w:t>
      </w:r>
    </w:p>
    <w:p>
      <w:pPr>
        <w:pStyle w:val="Heading5"/>
        <w:rPr>
          <w:snapToGrid w:val="0"/>
        </w:rPr>
      </w:pPr>
      <w:bookmarkStart w:id="104" w:name="_Toc390077129"/>
      <w:r>
        <w:rPr>
          <w:rStyle w:val="CharSectno"/>
        </w:rPr>
        <w:t>87</w:t>
      </w:r>
      <w:r>
        <w:rPr>
          <w:snapToGrid w:val="0"/>
        </w:rPr>
        <w:t>.</w:t>
      </w:r>
      <w:r>
        <w:rPr>
          <w:snapToGrid w:val="0"/>
        </w:rPr>
        <w:tab/>
        <w:t>Dead-weight machines</w:t>
      </w:r>
      <w:bookmarkEnd w:id="104"/>
    </w:p>
    <w:p>
      <w:pPr>
        <w:pStyle w:val="Subsection"/>
        <w:rPr>
          <w:snapToGrid w:val="0"/>
        </w:rPr>
      </w:pPr>
      <w:r>
        <w:rPr>
          <w:snapToGrid w:val="0"/>
        </w:rPr>
        <w:tab/>
      </w:r>
      <w:r>
        <w:rPr>
          <w:snapToGrid w:val="0"/>
        </w:rPr>
        <w:tab/>
        <w:t>A dead</w:t>
      </w:r>
      <w:r>
        <w:rPr>
          <w:snapToGrid w:val="0"/>
        </w:rPr>
        <w:noBreakHyphen/>
        <w:t>weight machine shall — </w:t>
      </w:r>
    </w:p>
    <w:p>
      <w:pPr>
        <w:pStyle w:val="Indenta"/>
        <w:rPr>
          <w:snapToGrid w:val="0"/>
        </w:rPr>
      </w:pPr>
      <w:r>
        <w:rPr>
          <w:snapToGrid w:val="0"/>
        </w:rPr>
        <w:tab/>
        <w:t>(a)</w:t>
      </w:r>
      <w:r>
        <w:rPr>
          <w:snapToGrid w:val="0"/>
        </w:rPr>
        <w:tab/>
        <w:t>have centres with rectangular shoulders fitted into rectangular holes, and firmly secured;</w:t>
      </w:r>
    </w:p>
    <w:p>
      <w:pPr>
        <w:pStyle w:val="Indenta"/>
        <w:rPr>
          <w:snapToGrid w:val="0"/>
        </w:rPr>
      </w:pPr>
      <w:r>
        <w:rPr>
          <w:snapToGrid w:val="0"/>
        </w:rPr>
        <w:tab/>
        <w:t>(b)</w:t>
      </w:r>
      <w:r>
        <w:rPr>
          <w:snapToGrid w:val="0"/>
        </w:rPr>
        <w:tab/>
        <w:t>have the bearing surfaces and points of contact of all legs, stays, hooks, and loops of hard steel;</w:t>
      </w:r>
    </w:p>
    <w:p>
      <w:pPr>
        <w:pStyle w:val="Indenta"/>
        <w:rPr>
          <w:snapToGrid w:val="0"/>
        </w:rPr>
      </w:pPr>
      <w:r>
        <w:rPr>
          <w:snapToGrid w:val="0"/>
        </w:rPr>
        <w:tab/>
        <w:t>(c)</w:t>
      </w:r>
      <w:r>
        <w:rPr>
          <w:snapToGrid w:val="0"/>
        </w:rPr>
        <w:tab/>
        <w:t>have the bearing surfaces of the adjustable slides of hard steel, and the stems holding them in position secured by lock</w:t>
      </w:r>
      <w:r>
        <w:rPr>
          <w:snapToGrid w:val="0"/>
        </w:rPr>
        <w:noBreakHyphen/>
        <w:t>nuts or other suitable method;</w:t>
      </w:r>
    </w:p>
    <w:p>
      <w:pPr>
        <w:pStyle w:val="Indenta"/>
        <w:rPr>
          <w:snapToGrid w:val="0"/>
        </w:rPr>
      </w:pPr>
      <w:r>
        <w:rPr>
          <w:snapToGrid w:val="0"/>
        </w:rPr>
        <w:tab/>
        <w:t>(d)</w:t>
      </w:r>
      <w:r>
        <w:rPr>
          <w:snapToGrid w:val="0"/>
        </w:rPr>
        <w:tab/>
        <w:t>have metal or hardwood platforms;</w:t>
      </w:r>
    </w:p>
    <w:p>
      <w:pPr>
        <w:pStyle w:val="Indenta"/>
        <w:rPr>
          <w:snapToGrid w:val="0"/>
        </w:rPr>
      </w:pPr>
      <w:r>
        <w:rPr>
          <w:snapToGrid w:val="0"/>
        </w:rPr>
        <w:tab/>
        <w:t>(e)</w:t>
      </w:r>
      <w:r>
        <w:rPr>
          <w:snapToGrid w:val="0"/>
        </w:rPr>
        <w:tab/>
        <w:t>have the goods platform not longer or more than double the width of the beam:</w:t>
      </w:r>
    </w:p>
    <w:p>
      <w:pPr>
        <w:pStyle w:val="Indenta"/>
        <w:rPr>
          <w:snapToGrid w:val="0"/>
        </w:rPr>
      </w:pPr>
      <w:r>
        <w:rPr>
          <w:snapToGrid w:val="0"/>
        </w:rPr>
        <w:tab/>
      </w:r>
      <w:r>
        <w:rPr>
          <w:snapToGrid w:val="0"/>
        </w:rPr>
        <w:tab/>
        <w:t>(Folding wings shall not increase the length or width more than one</w:t>
      </w:r>
      <w:r>
        <w:rPr>
          <w:snapToGrid w:val="0"/>
        </w:rPr>
        <w:noBreakHyphen/>
        <w:t>third);</w:t>
      </w:r>
    </w:p>
    <w:p>
      <w:pPr>
        <w:pStyle w:val="Indenta"/>
        <w:rPr>
          <w:snapToGrid w:val="0"/>
        </w:rPr>
      </w:pPr>
      <w:r>
        <w:rPr>
          <w:snapToGrid w:val="0"/>
        </w:rPr>
        <w:tab/>
        <w:t>(f)</w:t>
      </w:r>
      <w:r>
        <w:rPr>
          <w:snapToGrid w:val="0"/>
        </w:rPr>
        <w:tab/>
        <w:t>when of the vibrating type have a minimum fall of 5/8 in. both ways, and when of the accelerating type 7/8 in. one way;</w:t>
      </w:r>
    </w:p>
    <w:p>
      <w:pPr>
        <w:pStyle w:val="Indenta"/>
        <w:rPr>
          <w:snapToGrid w:val="0"/>
        </w:rPr>
      </w:pPr>
      <w:r>
        <w:rPr>
          <w:snapToGrid w:val="0"/>
        </w:rPr>
        <w:tab/>
        <w:t>(g)</w:t>
      </w:r>
      <w:r>
        <w:rPr>
          <w:snapToGrid w:val="0"/>
        </w:rPr>
        <w:tab/>
        <w:t>have any loose adjustment enclosed in a balancing</w:t>
      </w:r>
      <w:r>
        <w:rPr>
          <w:snapToGrid w:val="0"/>
        </w:rPr>
        <w:noBreakHyphen/>
        <w:t>box permanently fixed beneath one platform;</w:t>
      </w:r>
    </w:p>
    <w:p>
      <w:pPr>
        <w:pStyle w:val="Indenta"/>
        <w:rPr>
          <w:snapToGrid w:val="0"/>
        </w:rPr>
      </w:pPr>
      <w:r>
        <w:rPr>
          <w:snapToGrid w:val="0"/>
        </w:rPr>
        <w:tab/>
        <w:t>(h)</w:t>
      </w:r>
      <w:r>
        <w:rPr>
          <w:snapToGrid w:val="0"/>
        </w:rPr>
        <w:tab/>
        <w:t>indicate the same weight within half the prescribed limits of error for a full load, if one</w:t>
      </w:r>
      <w:r>
        <w:rPr>
          <w:snapToGrid w:val="0"/>
        </w:rPr>
        <w:noBreakHyphen/>
        <w:t>quarter the full load is placed successively on the middle of the front and back of each platform and centrally over the knife edges on each side;</w:t>
      </w:r>
    </w:p>
    <w:p>
      <w:pPr>
        <w:pStyle w:val="Indenta"/>
        <w:rPr>
          <w:snapToGrid w:val="0"/>
        </w:rPr>
      </w:pPr>
      <w:r>
        <w:rPr>
          <w:snapToGrid w:val="0"/>
        </w:rPr>
        <w:tab/>
        <w:t>(i)</w:t>
      </w:r>
      <w:r>
        <w:rPr>
          <w:snapToGrid w:val="0"/>
        </w:rPr>
        <w:tab/>
        <w:t>have the stamping plug placed in a conspicuous part of the beam or body.</w:t>
      </w:r>
    </w:p>
    <w:p>
      <w:pPr>
        <w:pStyle w:val="Footnotesection"/>
      </w:pPr>
      <w:r>
        <w:tab/>
        <w:t xml:space="preserve">[Regulation 87 amended in Gazette 23 May 1960 p. 1399.] </w:t>
      </w:r>
    </w:p>
    <w:p>
      <w:pPr>
        <w:pStyle w:val="Heading5"/>
        <w:rPr>
          <w:snapToGrid w:val="0"/>
        </w:rPr>
      </w:pPr>
      <w:bookmarkStart w:id="105" w:name="_Toc390077130"/>
      <w:r>
        <w:rPr>
          <w:rStyle w:val="CharSectno"/>
        </w:rPr>
        <w:t>88</w:t>
      </w:r>
      <w:r>
        <w:rPr>
          <w:snapToGrid w:val="0"/>
        </w:rPr>
        <w:t>.</w:t>
      </w:r>
      <w:r>
        <w:rPr>
          <w:snapToGrid w:val="0"/>
        </w:rPr>
        <w:tab/>
        <w:t>Tolerance</w:t>
      </w:r>
      <w:bookmarkEnd w:id="105"/>
    </w:p>
    <w:p>
      <w:pPr>
        <w:pStyle w:val="Subsection"/>
        <w:rPr>
          <w:snapToGrid w:val="0"/>
        </w:rPr>
      </w:pPr>
      <w:r>
        <w:rPr>
          <w:snapToGrid w:val="0"/>
        </w:rPr>
        <w:tab/>
      </w:r>
      <w:r>
        <w:rPr>
          <w:snapToGrid w:val="0"/>
        </w:rPr>
        <w:tab/>
        <w:t>The errors permissible on verification of dead</w:t>
      </w:r>
      <w:r>
        <w:rPr>
          <w:snapToGrid w:val="0"/>
        </w:rPr>
        <w:noBreakHyphen/>
        <w:t>weight machines shall be as specified in Table VIII.</w:t>
      </w:r>
    </w:p>
    <w:p>
      <w:pPr>
        <w:pStyle w:val="Footnotesection"/>
      </w:pPr>
      <w:r>
        <w:tab/>
        <w:t xml:space="preserve">[Regulation 88 amended in Gazette 23 May 1960 p. 1399.] </w:t>
      </w:r>
    </w:p>
    <w:p>
      <w:pPr>
        <w:pStyle w:val="MiscellaneousHeading"/>
        <w:outlineLvl w:val="0"/>
        <w:rPr>
          <w:b/>
          <w:snapToGrid w:val="0"/>
        </w:rPr>
      </w:pPr>
      <w:r>
        <w:rPr>
          <w:b/>
          <w:snapToGrid w:val="0"/>
        </w:rPr>
        <w:t>Platform weighing machines and weighbridges</w:t>
      </w:r>
    </w:p>
    <w:p>
      <w:pPr>
        <w:pStyle w:val="Heading5"/>
        <w:rPr>
          <w:snapToGrid w:val="0"/>
        </w:rPr>
      </w:pPr>
      <w:bookmarkStart w:id="106" w:name="_Toc390077131"/>
      <w:r>
        <w:rPr>
          <w:rStyle w:val="CharSectno"/>
        </w:rPr>
        <w:t>89</w:t>
      </w:r>
      <w:r>
        <w:rPr>
          <w:snapToGrid w:val="0"/>
        </w:rPr>
        <w:t>.</w:t>
      </w:r>
      <w:r>
        <w:rPr>
          <w:snapToGrid w:val="0"/>
        </w:rPr>
        <w:tab/>
        <w:t>New “union” scales not to be stamped</w:t>
      </w:r>
      <w:bookmarkEnd w:id="106"/>
    </w:p>
    <w:p>
      <w:pPr>
        <w:pStyle w:val="Subsection"/>
        <w:rPr>
          <w:snapToGrid w:val="0"/>
        </w:rPr>
      </w:pPr>
      <w:r>
        <w:rPr>
          <w:snapToGrid w:val="0"/>
        </w:rPr>
        <w:tab/>
      </w:r>
      <w:r>
        <w:rPr>
          <w:snapToGrid w:val="0"/>
        </w:rPr>
        <w:tab/>
        <w:t>New platform weighing machines of the type known as the “Union” scale shall not be stamped.</w:t>
      </w:r>
    </w:p>
    <w:p>
      <w:pPr>
        <w:pStyle w:val="Footnotesection"/>
      </w:pPr>
      <w:r>
        <w:tab/>
        <w:t xml:space="preserve">[Regulation 89 amended in Gazette 23 May 1960 p. 1399.] </w:t>
      </w:r>
    </w:p>
    <w:p>
      <w:pPr>
        <w:pStyle w:val="Heading5"/>
        <w:rPr>
          <w:snapToGrid w:val="0"/>
        </w:rPr>
      </w:pPr>
      <w:bookmarkStart w:id="107" w:name="_Toc390077132"/>
      <w:r>
        <w:rPr>
          <w:rStyle w:val="CharSectno"/>
        </w:rPr>
        <w:t>90</w:t>
      </w:r>
      <w:r>
        <w:rPr>
          <w:snapToGrid w:val="0"/>
        </w:rPr>
        <w:t>.</w:t>
      </w:r>
      <w:r>
        <w:rPr>
          <w:snapToGrid w:val="0"/>
        </w:rPr>
        <w:tab/>
        <w:t>Placement of load on platform weighing machines</w:t>
      </w:r>
      <w:bookmarkEnd w:id="107"/>
    </w:p>
    <w:p>
      <w:pPr>
        <w:pStyle w:val="Subsection"/>
        <w:rPr>
          <w:snapToGrid w:val="0"/>
        </w:rPr>
      </w:pPr>
      <w:r>
        <w:rPr>
          <w:snapToGrid w:val="0"/>
        </w:rPr>
        <w:tab/>
      </w:r>
      <w:r>
        <w:rPr>
          <w:snapToGrid w:val="0"/>
        </w:rPr>
        <w:tab/>
        <w:t>A platform weighing machine shall indicate the same weight within half the prescribed limits of error for a full load if 25% of the full load or as near thereto as practicable is placed successively on the corners of the platform.</w:t>
      </w:r>
    </w:p>
    <w:p>
      <w:pPr>
        <w:pStyle w:val="Heading5"/>
        <w:rPr>
          <w:snapToGrid w:val="0"/>
        </w:rPr>
      </w:pPr>
      <w:bookmarkStart w:id="108" w:name="_Toc390077133"/>
      <w:r>
        <w:rPr>
          <w:rStyle w:val="CharSectno"/>
        </w:rPr>
        <w:t>91</w:t>
      </w:r>
      <w:r>
        <w:rPr>
          <w:snapToGrid w:val="0"/>
        </w:rPr>
        <w:t>.</w:t>
      </w:r>
      <w:r>
        <w:rPr>
          <w:snapToGrid w:val="0"/>
        </w:rPr>
        <w:tab/>
        <w:t>Platform weighing machines and weighbridges</w:t>
      </w:r>
      <w:bookmarkEnd w:id="108"/>
    </w:p>
    <w:p>
      <w:pPr>
        <w:pStyle w:val="Subsection"/>
        <w:rPr>
          <w:snapToGrid w:val="0"/>
        </w:rPr>
      </w:pPr>
      <w:r>
        <w:rPr>
          <w:snapToGrid w:val="0"/>
        </w:rPr>
        <w:tab/>
      </w:r>
      <w:r>
        <w:rPr>
          <w:snapToGrid w:val="0"/>
        </w:rPr>
        <w:tab/>
        <w:t>A platform weighing machine or weighbridge shall — </w:t>
      </w:r>
    </w:p>
    <w:p>
      <w:pPr>
        <w:pStyle w:val="Indenta"/>
        <w:rPr>
          <w:snapToGrid w:val="0"/>
        </w:rPr>
      </w:pPr>
      <w:r>
        <w:rPr>
          <w:snapToGrid w:val="0"/>
        </w:rPr>
        <w:tab/>
        <w:t>(a)</w:t>
      </w:r>
      <w:r>
        <w:rPr>
          <w:snapToGrid w:val="0"/>
        </w:rPr>
        <w:tab/>
        <w:t>have its various parts of sufficient strength and rigidity to carry the full load without undue deflection;</w:t>
      </w:r>
    </w:p>
    <w:p>
      <w:pPr>
        <w:pStyle w:val="Indenta"/>
        <w:rPr>
          <w:snapToGrid w:val="0"/>
        </w:rPr>
      </w:pPr>
      <w:r>
        <w:rPr>
          <w:snapToGrid w:val="0"/>
        </w:rPr>
        <w:tab/>
        <w:t>(b)</w:t>
      </w:r>
      <w:r>
        <w:rPr>
          <w:snapToGrid w:val="0"/>
        </w:rPr>
        <w:tab/>
        <w:t>have sufficient clearance between the platform and frame to allow for expansion due to weather effects;</w:t>
      </w:r>
    </w:p>
    <w:p>
      <w:pPr>
        <w:pStyle w:val="Indenta"/>
        <w:rPr>
          <w:snapToGrid w:val="0"/>
        </w:rPr>
      </w:pPr>
      <w:r>
        <w:rPr>
          <w:snapToGrid w:val="0"/>
        </w:rPr>
        <w:tab/>
        <w:t>(c)</w:t>
      </w:r>
      <w:r>
        <w:rPr>
          <w:snapToGrid w:val="0"/>
        </w:rPr>
        <w:tab/>
        <w:t>be provided with a suitable steelyard guide or carrier to indicate the position of equilibrium;</w:t>
      </w:r>
    </w:p>
    <w:p>
      <w:pPr>
        <w:pStyle w:val="Indenta"/>
        <w:rPr>
          <w:snapToGrid w:val="0"/>
        </w:rPr>
      </w:pPr>
      <w:r>
        <w:rPr>
          <w:snapToGrid w:val="0"/>
        </w:rPr>
        <w:tab/>
        <w:t>(d)</w:t>
      </w:r>
      <w:r>
        <w:rPr>
          <w:snapToGrid w:val="0"/>
        </w:rPr>
        <w:tab/>
        <w:t>have a zero adjustment for daily wear and tear the range of which shall not exceed 1% of the capacity of the instrument or be less than 1/8% each way;</w:t>
      </w:r>
    </w:p>
    <w:p>
      <w:pPr>
        <w:pStyle w:val="Indenta"/>
        <w:rPr>
          <w:snapToGrid w:val="0"/>
        </w:rPr>
      </w:pPr>
      <w:r>
        <w:rPr>
          <w:snapToGrid w:val="0"/>
        </w:rPr>
        <w:tab/>
        <w:t>(e)</w:t>
      </w:r>
      <w:r>
        <w:rPr>
          <w:snapToGrid w:val="0"/>
        </w:rPr>
        <w:tab/>
        <w:t>have any pendulous lever, suspension rod, water box, or dash pot suitable closed;</w:t>
      </w:r>
    </w:p>
    <w:p>
      <w:pPr>
        <w:pStyle w:val="Indenta"/>
        <w:rPr>
          <w:snapToGrid w:val="0"/>
        </w:rPr>
      </w:pPr>
      <w:r>
        <w:rPr>
          <w:snapToGrid w:val="0"/>
        </w:rPr>
        <w:tab/>
        <w:t>(f)</w:t>
      </w:r>
      <w:r>
        <w:rPr>
          <w:snapToGrid w:val="0"/>
        </w:rPr>
        <w:tab/>
        <w:t>if provided with relieving gear — </w:t>
      </w:r>
    </w:p>
    <w:p>
      <w:pPr>
        <w:pStyle w:val="Indenti"/>
        <w:rPr>
          <w:snapToGrid w:val="0"/>
        </w:rPr>
      </w:pPr>
      <w:r>
        <w:rPr>
          <w:snapToGrid w:val="0"/>
        </w:rPr>
        <w:tab/>
        <w:t>(1)</w:t>
      </w:r>
      <w:r>
        <w:rPr>
          <w:snapToGrid w:val="0"/>
        </w:rPr>
        <w:tab/>
        <w:t>not exceed the prescribed limits of error in excess or deficiency when loaded and put steadily out of and into gear: nor shall the variation arising from such manipulation exceed an amount equivalent to the permissible tolerance in error;</w:t>
      </w:r>
    </w:p>
    <w:p>
      <w:pPr>
        <w:pStyle w:val="Indenti"/>
        <w:rPr>
          <w:snapToGrid w:val="0"/>
        </w:rPr>
      </w:pPr>
      <w:r>
        <w:rPr>
          <w:snapToGrid w:val="0"/>
        </w:rPr>
        <w:tab/>
        <w:t>(2)</w:t>
      </w:r>
      <w:r>
        <w:rPr>
          <w:snapToGrid w:val="0"/>
        </w:rPr>
        <w:tab/>
        <w:t>have the platform entirely disengaged from its bearings when in relief;</w:t>
      </w:r>
    </w:p>
    <w:p>
      <w:pPr>
        <w:pStyle w:val="Indenta"/>
        <w:rPr>
          <w:snapToGrid w:val="0"/>
        </w:rPr>
      </w:pPr>
      <w:r>
        <w:rPr>
          <w:snapToGrid w:val="0"/>
        </w:rPr>
        <w:tab/>
        <w:t>(g)</w:t>
      </w:r>
      <w:r>
        <w:rPr>
          <w:snapToGrid w:val="0"/>
        </w:rPr>
        <w:tab/>
        <w:t>have the stamping plug fixed in the steelyard or dial, or other position approved by the Chief Inspector.</w:t>
      </w:r>
    </w:p>
    <w:p>
      <w:pPr>
        <w:pStyle w:val="Footnotesection"/>
      </w:pPr>
      <w:r>
        <w:tab/>
        <w:t xml:space="preserve">[Regulation 91 amended in Gazette 23 May 1960 p. 1399; 9 Sep 1968 p. 2743; 31 Aug 1984 p. 2829.] </w:t>
      </w:r>
    </w:p>
    <w:p>
      <w:pPr>
        <w:pStyle w:val="Heading5"/>
        <w:rPr>
          <w:snapToGrid w:val="0"/>
        </w:rPr>
      </w:pPr>
      <w:bookmarkStart w:id="109" w:name="_Toc390077134"/>
      <w:r>
        <w:rPr>
          <w:rStyle w:val="CharSectno"/>
        </w:rPr>
        <w:t>92</w:t>
      </w:r>
      <w:r>
        <w:rPr>
          <w:snapToGrid w:val="0"/>
        </w:rPr>
        <w:t>.</w:t>
      </w:r>
      <w:r>
        <w:rPr>
          <w:snapToGrid w:val="0"/>
        </w:rPr>
        <w:tab/>
        <w:t>Steelyards of platform weighing machines or weighbridges</w:t>
      </w:r>
      <w:bookmarkEnd w:id="109"/>
    </w:p>
    <w:p>
      <w:pPr>
        <w:pStyle w:val="Subsection"/>
        <w:rPr>
          <w:snapToGrid w:val="0"/>
        </w:rPr>
      </w:pPr>
      <w:r>
        <w:rPr>
          <w:snapToGrid w:val="0"/>
        </w:rPr>
        <w:tab/>
      </w:r>
      <w:r>
        <w:rPr>
          <w:snapToGrid w:val="0"/>
        </w:rPr>
        <w:tab/>
        <w:t>The steelyard of a platform weighing machine or weighbridge shall — </w:t>
      </w:r>
    </w:p>
    <w:p>
      <w:pPr>
        <w:pStyle w:val="Indenta"/>
        <w:rPr>
          <w:snapToGrid w:val="0"/>
        </w:rPr>
      </w:pPr>
      <w:r>
        <w:rPr>
          <w:snapToGrid w:val="0"/>
        </w:rPr>
        <w:tab/>
        <w:t>(a)</w:t>
      </w:r>
      <w:r>
        <w:rPr>
          <w:snapToGrid w:val="0"/>
        </w:rPr>
        <w:tab/>
        <w:t>not have any readily removable parts except the support for the counterpoises;</w:t>
      </w:r>
    </w:p>
    <w:p>
      <w:pPr>
        <w:pStyle w:val="Indenta"/>
        <w:rPr>
          <w:snapToGrid w:val="0"/>
        </w:rPr>
      </w:pPr>
      <w:r>
        <w:rPr>
          <w:snapToGrid w:val="0"/>
        </w:rPr>
        <w:tab/>
        <w:t>(b)</w:t>
      </w:r>
      <w:r>
        <w:rPr>
          <w:snapToGrid w:val="0"/>
        </w:rPr>
        <w:tab/>
        <w:t>have a minimum travel within its guide in conformity with the following table — </w:t>
      </w:r>
    </w:p>
    <w:p>
      <w:pPr>
        <w:pStyle w:val="MiscellaneousHeading"/>
        <w:spacing w:after="80"/>
        <w:ind w:left="1701"/>
        <w:outlineLvl w:val="0"/>
        <w:rPr>
          <w:b/>
          <w:snapToGrid w:val="0"/>
        </w:rPr>
      </w:pPr>
      <w:r>
        <w:rPr>
          <w:b/>
          <w:snapToGrid w:val="0"/>
        </w:rPr>
        <w:t>Table</w:t>
      </w:r>
    </w:p>
    <w:tbl>
      <w:tblPr>
        <w:tblW w:w="0" w:type="auto"/>
        <w:tblInd w:w="1757" w:type="dxa"/>
        <w:tblLayout w:type="fixed"/>
        <w:tblCellMar>
          <w:left w:w="56" w:type="dxa"/>
          <w:right w:w="56" w:type="dxa"/>
        </w:tblCellMar>
        <w:tblLook w:val="0000" w:firstRow="0" w:lastRow="0" w:firstColumn="0" w:lastColumn="0" w:noHBand="0" w:noVBand="0"/>
      </w:tblPr>
      <w:tblGrid>
        <w:gridCol w:w="1843"/>
        <w:gridCol w:w="1985"/>
        <w:gridCol w:w="1559"/>
      </w:tblGrid>
      <w:tr>
        <w:tc>
          <w:tcPr>
            <w:tcW w:w="1843" w:type="dxa"/>
            <w:tcBorders>
              <w:top w:val="single" w:sz="8" w:space="0" w:color="auto"/>
              <w:bottom w:val="single" w:sz="8" w:space="0" w:color="auto"/>
            </w:tcBorders>
          </w:tcPr>
          <w:p>
            <w:pPr>
              <w:pStyle w:val="Table"/>
              <w:spacing w:line="220" w:lineRule="atLeast"/>
              <w:jc w:val="center"/>
              <w:rPr>
                <w:b/>
                <w:sz w:val="18"/>
              </w:rPr>
            </w:pPr>
            <w:r>
              <w:rPr>
                <w:b/>
                <w:sz w:val="18"/>
              </w:rPr>
              <w:t>Length of Steelyard</w:t>
            </w:r>
          </w:p>
        </w:tc>
        <w:tc>
          <w:tcPr>
            <w:tcW w:w="1985" w:type="dxa"/>
            <w:tcBorders>
              <w:top w:val="single" w:sz="8" w:space="0" w:color="auto"/>
              <w:bottom w:val="single" w:sz="8" w:space="0" w:color="auto"/>
            </w:tcBorders>
          </w:tcPr>
          <w:p>
            <w:pPr>
              <w:pStyle w:val="Table"/>
              <w:spacing w:line="220" w:lineRule="atLeast"/>
              <w:jc w:val="center"/>
              <w:rPr>
                <w:b/>
                <w:sz w:val="18"/>
              </w:rPr>
            </w:pPr>
            <w:r>
              <w:rPr>
                <w:b/>
                <w:sz w:val="18"/>
              </w:rPr>
              <w:t>Vibrating Machines, travel each way</w:t>
            </w:r>
          </w:p>
        </w:tc>
        <w:tc>
          <w:tcPr>
            <w:tcW w:w="1559" w:type="dxa"/>
            <w:tcBorders>
              <w:top w:val="single" w:sz="8" w:space="0" w:color="auto"/>
              <w:bottom w:val="single" w:sz="8" w:space="0" w:color="auto"/>
            </w:tcBorders>
          </w:tcPr>
          <w:p>
            <w:pPr>
              <w:pStyle w:val="Table"/>
              <w:spacing w:line="220" w:lineRule="atLeast"/>
              <w:jc w:val="center"/>
              <w:rPr>
                <w:b/>
                <w:sz w:val="18"/>
              </w:rPr>
            </w:pPr>
            <w:r>
              <w:rPr>
                <w:b/>
                <w:sz w:val="18"/>
              </w:rPr>
              <w:t>Accelerating Machines travel one way</w:t>
            </w:r>
          </w:p>
        </w:tc>
      </w:tr>
      <w:tr>
        <w:tc>
          <w:tcPr>
            <w:tcW w:w="1843" w:type="dxa"/>
          </w:tcPr>
          <w:p>
            <w:pPr>
              <w:pStyle w:val="Table"/>
              <w:spacing w:line="220" w:lineRule="atLeast"/>
              <w:rPr>
                <w:b/>
                <w:sz w:val="18"/>
              </w:rPr>
            </w:pPr>
          </w:p>
        </w:tc>
        <w:tc>
          <w:tcPr>
            <w:tcW w:w="1985" w:type="dxa"/>
          </w:tcPr>
          <w:p>
            <w:pPr>
              <w:pStyle w:val="Table"/>
              <w:spacing w:line="220" w:lineRule="atLeast"/>
              <w:jc w:val="center"/>
              <w:rPr>
                <w:b/>
                <w:sz w:val="18"/>
              </w:rPr>
            </w:pPr>
            <w:r>
              <w:rPr>
                <w:b/>
                <w:sz w:val="18"/>
              </w:rPr>
              <w:t>Inch.</w:t>
            </w:r>
          </w:p>
        </w:tc>
        <w:tc>
          <w:tcPr>
            <w:tcW w:w="1559" w:type="dxa"/>
          </w:tcPr>
          <w:p>
            <w:pPr>
              <w:pStyle w:val="Table"/>
              <w:spacing w:line="220" w:lineRule="atLeast"/>
              <w:jc w:val="center"/>
              <w:rPr>
                <w:b/>
                <w:sz w:val="18"/>
              </w:rPr>
            </w:pPr>
            <w:r>
              <w:rPr>
                <w:b/>
                <w:sz w:val="18"/>
              </w:rPr>
              <w:t>Inch.</w:t>
            </w:r>
          </w:p>
        </w:tc>
      </w:tr>
      <w:tr>
        <w:tc>
          <w:tcPr>
            <w:tcW w:w="1843" w:type="dxa"/>
          </w:tcPr>
          <w:p>
            <w:pPr>
              <w:pStyle w:val="Table"/>
              <w:spacing w:line="220" w:lineRule="atLeast"/>
              <w:rPr>
                <w:sz w:val="18"/>
              </w:rPr>
            </w:pPr>
            <w:r>
              <w:rPr>
                <w:sz w:val="18"/>
              </w:rPr>
              <w:t xml:space="preserve">Under 12 inches ........... </w:t>
            </w:r>
          </w:p>
        </w:tc>
        <w:tc>
          <w:tcPr>
            <w:tcW w:w="1985" w:type="dxa"/>
          </w:tcPr>
          <w:p>
            <w:pPr>
              <w:pStyle w:val="Table"/>
              <w:spacing w:line="220" w:lineRule="atLeast"/>
              <w:jc w:val="center"/>
              <w:rPr>
                <w:sz w:val="18"/>
              </w:rPr>
            </w:pPr>
            <w:r>
              <w:rPr>
                <w:sz w:val="18"/>
              </w:rPr>
              <w:t>.25</w:t>
            </w:r>
          </w:p>
        </w:tc>
        <w:tc>
          <w:tcPr>
            <w:tcW w:w="1559" w:type="dxa"/>
          </w:tcPr>
          <w:p>
            <w:pPr>
              <w:pStyle w:val="Table"/>
              <w:spacing w:line="220" w:lineRule="atLeast"/>
              <w:jc w:val="center"/>
              <w:rPr>
                <w:sz w:val="18"/>
              </w:rPr>
            </w:pPr>
            <w:r>
              <w:rPr>
                <w:sz w:val="18"/>
              </w:rPr>
              <w:t>.5</w:t>
            </w:r>
          </w:p>
        </w:tc>
      </w:tr>
      <w:tr>
        <w:tc>
          <w:tcPr>
            <w:tcW w:w="1843" w:type="dxa"/>
          </w:tcPr>
          <w:p>
            <w:pPr>
              <w:pStyle w:val="Table"/>
              <w:spacing w:line="220" w:lineRule="atLeast"/>
              <w:ind w:left="228" w:hanging="228"/>
              <w:rPr>
                <w:sz w:val="18"/>
              </w:rPr>
            </w:pPr>
            <w:r>
              <w:rPr>
                <w:sz w:val="18"/>
              </w:rPr>
              <w:t xml:space="preserve">Over 12 inches to 24 inches ................. </w:t>
            </w:r>
          </w:p>
        </w:tc>
        <w:tc>
          <w:tcPr>
            <w:tcW w:w="1985" w:type="dxa"/>
          </w:tcPr>
          <w:p>
            <w:pPr>
              <w:pStyle w:val="Table"/>
              <w:spacing w:line="220" w:lineRule="atLeast"/>
              <w:jc w:val="center"/>
              <w:rPr>
                <w:sz w:val="18"/>
              </w:rPr>
            </w:pPr>
            <w:r>
              <w:rPr>
                <w:sz w:val="18"/>
              </w:rPr>
              <w:br/>
              <w:t>.4</w:t>
            </w:r>
          </w:p>
        </w:tc>
        <w:tc>
          <w:tcPr>
            <w:tcW w:w="1559" w:type="dxa"/>
          </w:tcPr>
          <w:p>
            <w:pPr>
              <w:pStyle w:val="Table"/>
              <w:spacing w:line="220" w:lineRule="atLeast"/>
              <w:jc w:val="center"/>
              <w:rPr>
                <w:sz w:val="18"/>
              </w:rPr>
            </w:pPr>
            <w:r>
              <w:rPr>
                <w:sz w:val="18"/>
              </w:rPr>
              <w:br/>
              <w:t>.7</w:t>
            </w:r>
          </w:p>
        </w:tc>
      </w:tr>
      <w:tr>
        <w:tc>
          <w:tcPr>
            <w:tcW w:w="1843" w:type="dxa"/>
            <w:tcBorders>
              <w:bottom w:val="single" w:sz="8" w:space="0" w:color="auto"/>
            </w:tcBorders>
          </w:tcPr>
          <w:p>
            <w:pPr>
              <w:pStyle w:val="Table"/>
              <w:spacing w:line="220" w:lineRule="atLeast"/>
              <w:rPr>
                <w:sz w:val="18"/>
              </w:rPr>
            </w:pPr>
            <w:r>
              <w:rPr>
                <w:sz w:val="18"/>
              </w:rPr>
              <w:t xml:space="preserve">Over 24 inches ............. </w:t>
            </w:r>
          </w:p>
        </w:tc>
        <w:tc>
          <w:tcPr>
            <w:tcW w:w="1985" w:type="dxa"/>
            <w:tcBorders>
              <w:bottom w:val="single" w:sz="8" w:space="0" w:color="auto"/>
            </w:tcBorders>
          </w:tcPr>
          <w:p>
            <w:pPr>
              <w:pStyle w:val="Table"/>
              <w:spacing w:line="220" w:lineRule="atLeast"/>
              <w:jc w:val="center"/>
              <w:rPr>
                <w:sz w:val="18"/>
              </w:rPr>
            </w:pPr>
            <w:r>
              <w:rPr>
                <w:sz w:val="18"/>
              </w:rPr>
              <w:t>.6</w:t>
            </w:r>
          </w:p>
        </w:tc>
        <w:tc>
          <w:tcPr>
            <w:tcW w:w="1559" w:type="dxa"/>
            <w:tcBorders>
              <w:bottom w:val="single" w:sz="8" w:space="0" w:color="auto"/>
            </w:tcBorders>
          </w:tcPr>
          <w:p>
            <w:pPr>
              <w:pStyle w:val="Table"/>
              <w:spacing w:line="220" w:lineRule="atLeast"/>
              <w:jc w:val="center"/>
              <w:rPr>
                <w:sz w:val="18"/>
              </w:rPr>
            </w:pPr>
            <w:r>
              <w:rPr>
                <w:sz w:val="18"/>
              </w:rPr>
              <w:t>.8</w:t>
            </w:r>
          </w:p>
        </w:tc>
      </w:tr>
    </w:tbl>
    <w:p>
      <w:pPr>
        <w:pStyle w:val="Subsection"/>
        <w:tabs>
          <w:tab w:val="clear" w:pos="879"/>
        </w:tabs>
        <w:spacing w:before="0"/>
        <w:ind w:left="1701" w:firstLine="0"/>
        <w:rPr>
          <w:snapToGrid w:val="0"/>
          <w:sz w:val="18"/>
        </w:rPr>
      </w:pPr>
      <w:r>
        <w:rPr>
          <w:snapToGrid w:val="0"/>
          <w:sz w:val="18"/>
        </w:rPr>
        <w:t>Length of steelyard means distance from fulcrum to guide.</w:t>
      </w:r>
    </w:p>
    <w:p>
      <w:pPr>
        <w:pStyle w:val="Indenta"/>
        <w:rPr>
          <w:snapToGrid w:val="0"/>
        </w:rPr>
      </w:pPr>
      <w:r>
        <w:rPr>
          <w:snapToGrid w:val="0"/>
        </w:rPr>
        <w:tab/>
        <w:t>(c)</w:t>
      </w:r>
      <w:r>
        <w:rPr>
          <w:snapToGrid w:val="0"/>
        </w:rPr>
        <w:tab/>
        <w:t>when notched be of suitably hard metal or have a band of such metal inlaid sufficient to bear the notches;</w:t>
      </w:r>
    </w:p>
    <w:p>
      <w:pPr>
        <w:pStyle w:val="Indenta"/>
        <w:rPr>
          <w:snapToGrid w:val="0"/>
        </w:rPr>
      </w:pPr>
      <w:r>
        <w:rPr>
          <w:snapToGrid w:val="0"/>
        </w:rPr>
        <w:tab/>
        <w:t>(d)</w:t>
      </w:r>
      <w:r>
        <w:rPr>
          <w:snapToGrid w:val="0"/>
        </w:rPr>
        <w:tab/>
        <w:t>be graduated on both sides except in the case of a fixed instrument in which one side only is visible;</w:t>
      </w:r>
    </w:p>
    <w:p>
      <w:pPr>
        <w:pStyle w:val="Indenta"/>
        <w:rPr>
          <w:snapToGrid w:val="0"/>
        </w:rPr>
      </w:pPr>
      <w:r>
        <w:rPr>
          <w:snapToGrid w:val="0"/>
        </w:rPr>
        <w:tab/>
        <w:t>(e)</w:t>
      </w:r>
      <w:r>
        <w:rPr>
          <w:snapToGrid w:val="0"/>
        </w:rPr>
        <w:tab/>
        <w:t>have not more than 8 graduations per inch when the weight represented by such graduations exceeds 1 lb.</w:t>
      </w:r>
    </w:p>
    <w:p>
      <w:pPr>
        <w:pStyle w:val="Footnotesection"/>
      </w:pPr>
      <w:r>
        <w:tab/>
        <w:t xml:space="preserve">[Regulation 92 amended in Gazette 23 May 1960 p. 1399.] </w:t>
      </w:r>
    </w:p>
    <w:p>
      <w:pPr>
        <w:pStyle w:val="Heading5"/>
        <w:rPr>
          <w:snapToGrid w:val="0"/>
        </w:rPr>
      </w:pPr>
      <w:bookmarkStart w:id="110" w:name="_Toc390077135"/>
      <w:r>
        <w:rPr>
          <w:rStyle w:val="CharSectno"/>
        </w:rPr>
        <w:t>93</w:t>
      </w:r>
      <w:r>
        <w:rPr>
          <w:snapToGrid w:val="0"/>
        </w:rPr>
        <w:t>.</w:t>
      </w:r>
      <w:r>
        <w:rPr>
          <w:snapToGrid w:val="0"/>
        </w:rPr>
        <w:tab/>
        <w:t>Self</w:t>
      </w:r>
      <w:r>
        <w:rPr>
          <w:snapToGrid w:val="0"/>
        </w:rPr>
        <w:noBreakHyphen/>
        <w:t>indicating platform weighing machines or weighbridges</w:t>
      </w:r>
      <w:bookmarkEnd w:id="110"/>
    </w:p>
    <w:p>
      <w:pPr>
        <w:pStyle w:val="Subsection"/>
        <w:rPr>
          <w:snapToGrid w:val="0"/>
        </w:rPr>
      </w:pPr>
      <w:r>
        <w:rPr>
          <w:snapToGrid w:val="0"/>
        </w:rPr>
        <w:tab/>
      </w:r>
      <w:r>
        <w:rPr>
          <w:snapToGrid w:val="0"/>
        </w:rPr>
        <w:tab/>
        <w:t>A self</w:t>
      </w:r>
      <w:r>
        <w:rPr>
          <w:snapToGrid w:val="0"/>
        </w:rPr>
        <w:noBreakHyphen/>
        <w:t>indicating platform weighing machine or weighbridge shall — </w:t>
      </w:r>
    </w:p>
    <w:p>
      <w:pPr>
        <w:pStyle w:val="Indenta"/>
        <w:spacing w:before="60"/>
        <w:rPr>
          <w:snapToGrid w:val="0"/>
        </w:rPr>
      </w:pPr>
      <w:r>
        <w:rPr>
          <w:snapToGrid w:val="0"/>
        </w:rPr>
        <w:tab/>
        <w:t>(a)</w:t>
      </w:r>
      <w:r>
        <w:rPr>
          <w:snapToGrid w:val="0"/>
        </w:rPr>
        <w:tab/>
        <w:t>have any racks and pinions of suitably hard metal;</w:t>
      </w:r>
    </w:p>
    <w:p>
      <w:pPr>
        <w:pStyle w:val="Indenta"/>
        <w:spacing w:before="60"/>
        <w:rPr>
          <w:snapToGrid w:val="0"/>
        </w:rPr>
      </w:pPr>
      <w:r>
        <w:rPr>
          <w:snapToGrid w:val="0"/>
        </w:rPr>
        <w:tab/>
        <w:t>(b)</w:t>
      </w:r>
      <w:r>
        <w:rPr>
          <w:snapToGrid w:val="0"/>
        </w:rPr>
        <w:tab/>
        <w:t>have the extremity of any index finger not more than 3/16th inch from the graduated surface of the dial or quadrant;</w:t>
      </w:r>
    </w:p>
    <w:p>
      <w:pPr>
        <w:pStyle w:val="Indenta"/>
        <w:spacing w:before="60"/>
        <w:rPr>
          <w:snapToGrid w:val="0"/>
        </w:rPr>
      </w:pPr>
      <w:r>
        <w:rPr>
          <w:snapToGrid w:val="0"/>
        </w:rPr>
        <w:tab/>
      </w:r>
      <w:r>
        <w:rPr>
          <w:snapToGrid w:val="0"/>
        </w:rPr>
        <w:tab/>
        <w:t>(</w:t>
      </w:r>
      <w:r>
        <w:rPr>
          <w:b/>
          <w:snapToGrid w:val="0"/>
        </w:rPr>
        <w:t>“</w:t>
      </w:r>
      <w:r>
        <w:rPr>
          <w:rStyle w:val="CharDefText"/>
        </w:rPr>
        <w:t>Extremity</w:t>
      </w:r>
      <w:r>
        <w:rPr>
          <w:b/>
          <w:snapToGrid w:val="0"/>
        </w:rPr>
        <w:t xml:space="preserve">” </w:t>
      </w:r>
      <w:r>
        <w:rPr>
          <w:snapToGrid w:val="0"/>
        </w:rPr>
        <w:t>means the portion of the finger encroaching on any graduation line.)</w:t>
      </w:r>
    </w:p>
    <w:p>
      <w:pPr>
        <w:pStyle w:val="Indenta"/>
        <w:spacing w:before="60"/>
        <w:rPr>
          <w:snapToGrid w:val="0"/>
        </w:rPr>
      </w:pPr>
      <w:r>
        <w:rPr>
          <w:snapToGrid w:val="0"/>
        </w:rPr>
        <w:tab/>
        <w:t>(c)</w:t>
      </w:r>
      <w:r>
        <w:rPr>
          <w:snapToGrid w:val="0"/>
        </w:rPr>
        <w:tab/>
        <w:t>on any dial or quadrant have not more than 8 graduations per inch when the weight represented by such graduations exceeds 1 lb.;</w:t>
      </w:r>
    </w:p>
    <w:p>
      <w:pPr>
        <w:pStyle w:val="Indenta"/>
        <w:spacing w:before="60"/>
        <w:rPr>
          <w:snapToGrid w:val="0"/>
        </w:rPr>
      </w:pPr>
      <w:r>
        <w:rPr>
          <w:snapToGrid w:val="0"/>
        </w:rPr>
        <w:tab/>
        <w:t>(d)</w:t>
      </w:r>
      <w:r>
        <w:rPr>
          <w:snapToGrid w:val="0"/>
        </w:rPr>
        <w:tab/>
        <w:t>have the registering mechanism and any cylinders or tanks containing liquid suitably protected from dust or other disturbing cause.</w:t>
      </w:r>
    </w:p>
    <w:p>
      <w:pPr>
        <w:pStyle w:val="Footnotesection"/>
      </w:pPr>
      <w:r>
        <w:tab/>
        <w:t xml:space="preserve">[Regulation 93 amended in Gazette 23 May 1960 p. 1399.] </w:t>
      </w:r>
    </w:p>
    <w:p>
      <w:pPr>
        <w:pStyle w:val="Heading5"/>
        <w:rPr>
          <w:snapToGrid w:val="0"/>
        </w:rPr>
      </w:pPr>
      <w:bookmarkStart w:id="111" w:name="_Toc390077136"/>
      <w:r>
        <w:rPr>
          <w:rStyle w:val="CharSectno"/>
        </w:rPr>
        <w:t>93A</w:t>
      </w:r>
      <w:r>
        <w:rPr>
          <w:snapToGrid w:val="0"/>
        </w:rPr>
        <w:t>.</w:t>
      </w:r>
      <w:r>
        <w:rPr>
          <w:snapToGrid w:val="0"/>
        </w:rPr>
        <w:tab/>
        <w:t>New self</w:t>
      </w:r>
      <w:r>
        <w:rPr>
          <w:snapToGrid w:val="0"/>
        </w:rPr>
        <w:noBreakHyphen/>
        <w:t>indicating weighing instruments</w:t>
      </w:r>
      <w:bookmarkEnd w:id="111"/>
    </w:p>
    <w:p>
      <w:pPr>
        <w:pStyle w:val="Subsection"/>
        <w:rPr>
          <w:snapToGrid w:val="0"/>
        </w:rPr>
      </w:pPr>
      <w:r>
        <w:rPr>
          <w:snapToGrid w:val="0"/>
        </w:rPr>
        <w:tab/>
        <w:t>(1)</w:t>
      </w:r>
      <w:r>
        <w:rPr>
          <w:snapToGrid w:val="0"/>
        </w:rPr>
        <w:tab/>
        <w:t>Any self</w:t>
      </w:r>
      <w:r>
        <w:rPr>
          <w:snapToGrid w:val="0"/>
        </w:rPr>
        <w:noBreakHyphen/>
        <w:t>indicating weighing instrument, excluding spring balances, brought into use after the date of these regulations shall, where applicable, in so far as the value of the minimum graduation is concerned, comply with the following table — </w:t>
      </w:r>
    </w:p>
    <w:tbl>
      <w:tblPr>
        <w:tblW w:w="0" w:type="auto"/>
        <w:tblInd w:w="1049" w:type="dxa"/>
        <w:tblLayout w:type="fixed"/>
        <w:tblCellMar>
          <w:left w:w="56" w:type="dxa"/>
          <w:right w:w="56" w:type="dxa"/>
        </w:tblCellMar>
        <w:tblLook w:val="0000" w:firstRow="0" w:lastRow="0" w:firstColumn="0" w:lastColumn="0" w:noHBand="0" w:noVBand="0"/>
      </w:tblPr>
      <w:tblGrid>
        <w:gridCol w:w="4252"/>
        <w:gridCol w:w="1843"/>
      </w:tblGrid>
      <w:tr>
        <w:trPr>
          <w:tblHeader/>
        </w:trPr>
        <w:tc>
          <w:tcPr>
            <w:tcW w:w="4252" w:type="dxa"/>
          </w:tcPr>
          <w:p>
            <w:pPr>
              <w:pStyle w:val="Table"/>
              <w:spacing w:line="220" w:lineRule="atLeast"/>
              <w:jc w:val="center"/>
              <w:rPr>
                <w:b/>
                <w:sz w:val="18"/>
              </w:rPr>
            </w:pPr>
            <w:r>
              <w:rPr>
                <w:b/>
                <w:sz w:val="18"/>
              </w:rPr>
              <w:t>Capacity</w:t>
            </w:r>
          </w:p>
        </w:tc>
        <w:tc>
          <w:tcPr>
            <w:tcW w:w="1843" w:type="dxa"/>
          </w:tcPr>
          <w:p>
            <w:pPr>
              <w:pStyle w:val="Table"/>
              <w:spacing w:line="220" w:lineRule="atLeast"/>
              <w:jc w:val="center"/>
              <w:rPr>
                <w:b/>
                <w:sz w:val="18"/>
              </w:rPr>
            </w:pPr>
            <w:r>
              <w:rPr>
                <w:b/>
                <w:sz w:val="18"/>
              </w:rPr>
              <w:t>Weight corresponding to interval between consecutive graduation marks, shall not exceed —</w:t>
            </w:r>
          </w:p>
        </w:tc>
      </w:tr>
      <w:tr>
        <w:tc>
          <w:tcPr>
            <w:tcW w:w="4252" w:type="dxa"/>
          </w:tcPr>
          <w:p>
            <w:pPr>
              <w:pStyle w:val="Table"/>
              <w:spacing w:line="220" w:lineRule="atLeast"/>
              <w:rPr>
                <w:sz w:val="18"/>
              </w:rPr>
            </w:pPr>
            <w:r>
              <w:rPr>
                <w:sz w:val="18"/>
              </w:rPr>
              <w:t xml:space="preserve">Exceeding 1 cwt. but not exceeding 2 cwt. ....................... </w:t>
            </w:r>
          </w:p>
        </w:tc>
        <w:tc>
          <w:tcPr>
            <w:tcW w:w="1843" w:type="dxa"/>
          </w:tcPr>
          <w:p>
            <w:pPr>
              <w:pStyle w:val="Table"/>
              <w:spacing w:line="220" w:lineRule="atLeast"/>
              <w:jc w:val="center"/>
              <w:rPr>
                <w:sz w:val="18"/>
              </w:rPr>
            </w:pPr>
            <w:r>
              <w:rPr>
                <w:sz w:val="18"/>
              </w:rPr>
              <w:t>4 oz.</w:t>
            </w:r>
          </w:p>
        </w:tc>
      </w:tr>
      <w:tr>
        <w:tc>
          <w:tcPr>
            <w:tcW w:w="4252" w:type="dxa"/>
          </w:tcPr>
          <w:p>
            <w:pPr>
              <w:pStyle w:val="Table"/>
              <w:spacing w:before="0" w:line="220" w:lineRule="atLeast"/>
              <w:rPr>
                <w:sz w:val="18"/>
              </w:rPr>
            </w:pPr>
            <w:r>
              <w:rPr>
                <w:sz w:val="18"/>
              </w:rPr>
              <w:t xml:space="preserve">Exceeding 2 cwt. but not exceeding 5 cwt. ....................... </w:t>
            </w:r>
          </w:p>
        </w:tc>
        <w:tc>
          <w:tcPr>
            <w:tcW w:w="1843" w:type="dxa"/>
          </w:tcPr>
          <w:p>
            <w:pPr>
              <w:pStyle w:val="Table"/>
              <w:spacing w:before="0" w:line="220" w:lineRule="atLeast"/>
              <w:jc w:val="center"/>
              <w:rPr>
                <w:sz w:val="18"/>
              </w:rPr>
            </w:pPr>
            <w:r>
              <w:rPr>
                <w:sz w:val="18"/>
              </w:rPr>
              <w:t>8 oz.</w:t>
            </w:r>
          </w:p>
        </w:tc>
      </w:tr>
      <w:tr>
        <w:tc>
          <w:tcPr>
            <w:tcW w:w="4252" w:type="dxa"/>
          </w:tcPr>
          <w:p>
            <w:pPr>
              <w:pStyle w:val="Table"/>
              <w:spacing w:before="0" w:line="220" w:lineRule="atLeast"/>
              <w:rPr>
                <w:sz w:val="18"/>
              </w:rPr>
            </w:pPr>
            <w:r>
              <w:rPr>
                <w:sz w:val="18"/>
              </w:rPr>
              <w:t xml:space="preserve">Exceeding 5 cwt. but not exceeding 15 cwt. ..................... </w:t>
            </w:r>
          </w:p>
        </w:tc>
        <w:tc>
          <w:tcPr>
            <w:tcW w:w="1843" w:type="dxa"/>
          </w:tcPr>
          <w:p>
            <w:pPr>
              <w:pStyle w:val="Table"/>
              <w:spacing w:before="0" w:line="220" w:lineRule="atLeast"/>
              <w:jc w:val="center"/>
              <w:rPr>
                <w:sz w:val="18"/>
              </w:rPr>
            </w:pPr>
            <w:r>
              <w:rPr>
                <w:sz w:val="18"/>
              </w:rPr>
              <w:t>1 lb.</w:t>
            </w:r>
          </w:p>
        </w:tc>
      </w:tr>
      <w:tr>
        <w:tc>
          <w:tcPr>
            <w:tcW w:w="4252" w:type="dxa"/>
          </w:tcPr>
          <w:p>
            <w:pPr>
              <w:pStyle w:val="Table"/>
              <w:spacing w:before="0" w:line="220" w:lineRule="atLeast"/>
              <w:rPr>
                <w:sz w:val="18"/>
              </w:rPr>
            </w:pPr>
            <w:r>
              <w:rPr>
                <w:sz w:val="18"/>
              </w:rPr>
              <w:t xml:space="preserve">Exceeding 15 cwt. but not exceeding 30 cwt. ................... </w:t>
            </w:r>
          </w:p>
        </w:tc>
        <w:tc>
          <w:tcPr>
            <w:tcW w:w="1843" w:type="dxa"/>
          </w:tcPr>
          <w:p>
            <w:pPr>
              <w:pStyle w:val="Table"/>
              <w:spacing w:before="0" w:line="220" w:lineRule="atLeast"/>
              <w:jc w:val="center"/>
              <w:rPr>
                <w:sz w:val="18"/>
              </w:rPr>
            </w:pPr>
            <w:r>
              <w:rPr>
                <w:sz w:val="18"/>
              </w:rPr>
              <w:t>2 lb.</w:t>
            </w:r>
          </w:p>
        </w:tc>
      </w:tr>
      <w:tr>
        <w:tc>
          <w:tcPr>
            <w:tcW w:w="4252" w:type="dxa"/>
          </w:tcPr>
          <w:p>
            <w:pPr>
              <w:pStyle w:val="Table"/>
              <w:spacing w:before="0" w:line="220" w:lineRule="atLeast"/>
              <w:rPr>
                <w:sz w:val="18"/>
              </w:rPr>
            </w:pPr>
            <w:r>
              <w:rPr>
                <w:sz w:val="18"/>
              </w:rPr>
              <w:t xml:space="preserve">Exceeding 30 cwt. but not exceeding 50 cwt. ................... </w:t>
            </w:r>
          </w:p>
        </w:tc>
        <w:tc>
          <w:tcPr>
            <w:tcW w:w="1843" w:type="dxa"/>
          </w:tcPr>
          <w:p>
            <w:pPr>
              <w:pStyle w:val="Table"/>
              <w:spacing w:before="0" w:line="220" w:lineRule="atLeast"/>
              <w:jc w:val="center"/>
              <w:rPr>
                <w:sz w:val="18"/>
              </w:rPr>
            </w:pPr>
            <w:r>
              <w:rPr>
                <w:sz w:val="18"/>
              </w:rPr>
              <w:t>4 lb.</w:t>
            </w:r>
          </w:p>
        </w:tc>
      </w:tr>
      <w:tr>
        <w:tc>
          <w:tcPr>
            <w:tcW w:w="4252" w:type="dxa"/>
          </w:tcPr>
          <w:p>
            <w:pPr>
              <w:pStyle w:val="Table"/>
              <w:spacing w:before="0" w:line="220" w:lineRule="atLeast"/>
              <w:rPr>
                <w:sz w:val="18"/>
              </w:rPr>
            </w:pPr>
            <w:r>
              <w:rPr>
                <w:sz w:val="18"/>
              </w:rPr>
              <w:t xml:space="preserve">Exceeding 50 cwt. but not exceeding 5 tons ..................... </w:t>
            </w:r>
          </w:p>
        </w:tc>
        <w:tc>
          <w:tcPr>
            <w:tcW w:w="1843" w:type="dxa"/>
          </w:tcPr>
          <w:p>
            <w:pPr>
              <w:pStyle w:val="Table"/>
              <w:spacing w:before="0" w:line="220" w:lineRule="atLeast"/>
              <w:jc w:val="center"/>
              <w:rPr>
                <w:sz w:val="18"/>
              </w:rPr>
            </w:pPr>
            <w:r>
              <w:rPr>
                <w:sz w:val="18"/>
              </w:rPr>
              <w:t>7 lb.</w:t>
            </w:r>
          </w:p>
        </w:tc>
      </w:tr>
      <w:tr>
        <w:tc>
          <w:tcPr>
            <w:tcW w:w="4252" w:type="dxa"/>
          </w:tcPr>
          <w:p>
            <w:pPr>
              <w:pStyle w:val="Table"/>
              <w:spacing w:before="0" w:line="220" w:lineRule="atLeast"/>
              <w:rPr>
                <w:sz w:val="18"/>
              </w:rPr>
            </w:pPr>
            <w:r>
              <w:rPr>
                <w:sz w:val="18"/>
              </w:rPr>
              <w:t xml:space="preserve">Exceeding 5 tons but not exceeding 20 tons ..................... </w:t>
            </w:r>
          </w:p>
        </w:tc>
        <w:tc>
          <w:tcPr>
            <w:tcW w:w="1843" w:type="dxa"/>
          </w:tcPr>
          <w:p>
            <w:pPr>
              <w:pStyle w:val="Table"/>
              <w:spacing w:before="0" w:line="220" w:lineRule="atLeast"/>
              <w:jc w:val="center"/>
              <w:rPr>
                <w:sz w:val="18"/>
              </w:rPr>
            </w:pPr>
            <w:r>
              <w:rPr>
                <w:sz w:val="18"/>
              </w:rPr>
              <w:t>14 lb.</w:t>
            </w:r>
          </w:p>
        </w:tc>
      </w:tr>
      <w:tr>
        <w:tc>
          <w:tcPr>
            <w:tcW w:w="4252" w:type="dxa"/>
          </w:tcPr>
          <w:p>
            <w:pPr>
              <w:pStyle w:val="Table"/>
              <w:spacing w:before="0" w:line="220" w:lineRule="atLeast"/>
              <w:rPr>
                <w:sz w:val="18"/>
              </w:rPr>
            </w:pPr>
            <w:r>
              <w:rPr>
                <w:sz w:val="18"/>
              </w:rPr>
              <w:t xml:space="preserve">Exceeding 20 tons but not exceeding 40 tons ................... </w:t>
            </w:r>
          </w:p>
        </w:tc>
        <w:tc>
          <w:tcPr>
            <w:tcW w:w="1843" w:type="dxa"/>
          </w:tcPr>
          <w:p>
            <w:pPr>
              <w:pStyle w:val="Table"/>
              <w:spacing w:before="0" w:line="220" w:lineRule="atLeast"/>
              <w:jc w:val="center"/>
              <w:rPr>
                <w:sz w:val="18"/>
              </w:rPr>
            </w:pPr>
            <w:r>
              <w:rPr>
                <w:sz w:val="18"/>
              </w:rPr>
              <w:t>28 lb.</w:t>
            </w:r>
          </w:p>
        </w:tc>
      </w:tr>
      <w:tr>
        <w:tc>
          <w:tcPr>
            <w:tcW w:w="4252" w:type="dxa"/>
          </w:tcPr>
          <w:p>
            <w:pPr>
              <w:pStyle w:val="Table"/>
              <w:spacing w:before="0" w:line="220" w:lineRule="atLeast"/>
              <w:rPr>
                <w:sz w:val="18"/>
              </w:rPr>
            </w:pPr>
            <w:r>
              <w:rPr>
                <w:sz w:val="18"/>
              </w:rPr>
              <w:t xml:space="preserve">Exceeding 40 tons but not exceeding 75 tons ................... </w:t>
            </w:r>
          </w:p>
        </w:tc>
        <w:tc>
          <w:tcPr>
            <w:tcW w:w="1843" w:type="dxa"/>
          </w:tcPr>
          <w:p>
            <w:pPr>
              <w:pStyle w:val="Table"/>
              <w:spacing w:before="0" w:line="220" w:lineRule="atLeast"/>
              <w:jc w:val="center"/>
              <w:rPr>
                <w:sz w:val="18"/>
              </w:rPr>
            </w:pPr>
            <w:r>
              <w:rPr>
                <w:sz w:val="18"/>
              </w:rPr>
              <w:t>56 lb.</w:t>
            </w:r>
          </w:p>
        </w:tc>
      </w:tr>
      <w:tr>
        <w:tc>
          <w:tcPr>
            <w:tcW w:w="4252" w:type="dxa"/>
          </w:tcPr>
          <w:p>
            <w:pPr>
              <w:pStyle w:val="Table"/>
              <w:spacing w:before="0" w:line="220" w:lineRule="atLeast"/>
              <w:rPr>
                <w:sz w:val="18"/>
              </w:rPr>
            </w:pPr>
            <w:r>
              <w:rPr>
                <w:sz w:val="18"/>
              </w:rPr>
              <w:t xml:space="preserve">Exceeding 75 tons but not exceeding 200 tons ................. </w:t>
            </w:r>
          </w:p>
        </w:tc>
        <w:tc>
          <w:tcPr>
            <w:tcW w:w="1843" w:type="dxa"/>
          </w:tcPr>
          <w:p>
            <w:pPr>
              <w:pStyle w:val="Table"/>
              <w:spacing w:before="0" w:line="220" w:lineRule="atLeast"/>
              <w:jc w:val="center"/>
              <w:rPr>
                <w:sz w:val="18"/>
              </w:rPr>
            </w:pPr>
            <w:r>
              <w:rPr>
                <w:sz w:val="18"/>
              </w:rPr>
              <w:t>112 lb.</w:t>
            </w:r>
          </w:p>
        </w:tc>
      </w:tr>
    </w:tbl>
    <w:p>
      <w:pPr>
        <w:pStyle w:val="Subsection"/>
        <w:rPr>
          <w:snapToGrid w:val="0"/>
        </w:rPr>
      </w:pPr>
      <w:r>
        <w:rPr>
          <w:snapToGrid w:val="0"/>
        </w:rPr>
        <w:tab/>
        <w:t>(2)</w:t>
      </w:r>
      <w:r>
        <w:rPr>
          <w:snapToGrid w:val="0"/>
        </w:rPr>
        <w:tab/>
        <w:t>Self</w:t>
      </w:r>
      <w:r>
        <w:rPr>
          <w:snapToGrid w:val="0"/>
        </w:rPr>
        <w:noBreakHyphen/>
        <w:t>indicating instruments used only for freight and postal purposes may be permitted twice the value of the interval between graduations, if those machines are clearly and indelible marked “for freight and postal purposes only”.</w:t>
      </w:r>
    </w:p>
    <w:p>
      <w:pPr>
        <w:pStyle w:val="Subsection"/>
        <w:rPr>
          <w:snapToGrid w:val="0"/>
        </w:rPr>
      </w:pPr>
      <w:r>
        <w:rPr>
          <w:snapToGrid w:val="0"/>
        </w:rPr>
        <w:tab/>
        <w:t>(3)</w:t>
      </w:r>
      <w:r>
        <w:rPr>
          <w:snapToGrid w:val="0"/>
        </w:rPr>
        <w:tab/>
        <w:t>Self</w:t>
      </w:r>
      <w:r>
        <w:rPr>
          <w:snapToGrid w:val="0"/>
        </w:rPr>
        <w:noBreakHyphen/>
        <w:t>indicating instruments of a capacity exceeding 40 lb. used solely for the purpose of weighing person are permitted 4 times the value of the interval between graduations.</w:t>
      </w:r>
    </w:p>
    <w:p>
      <w:pPr>
        <w:pStyle w:val="Footnotesection"/>
      </w:pPr>
      <w:r>
        <w:tab/>
        <w:t xml:space="preserve">[Regulation 93A inserted in Gazette 23 May 1960 p. 1400.] </w:t>
      </w:r>
    </w:p>
    <w:p>
      <w:pPr>
        <w:pStyle w:val="Heading5"/>
        <w:rPr>
          <w:snapToGrid w:val="0"/>
        </w:rPr>
      </w:pPr>
      <w:bookmarkStart w:id="112" w:name="_Toc390077137"/>
      <w:r>
        <w:rPr>
          <w:rStyle w:val="CharSectno"/>
        </w:rPr>
        <w:t>94</w:t>
      </w:r>
      <w:r>
        <w:rPr>
          <w:snapToGrid w:val="0"/>
        </w:rPr>
        <w:t>.</w:t>
      </w:r>
      <w:r>
        <w:rPr>
          <w:snapToGrid w:val="0"/>
        </w:rPr>
        <w:tab/>
        <w:t>Self</w:t>
      </w:r>
      <w:r>
        <w:rPr>
          <w:snapToGrid w:val="0"/>
        </w:rPr>
        <w:noBreakHyphen/>
        <w:t>indicating pit bank weighing machines</w:t>
      </w:r>
      <w:bookmarkEnd w:id="112"/>
    </w:p>
    <w:p>
      <w:pPr>
        <w:pStyle w:val="Subsection"/>
        <w:rPr>
          <w:snapToGrid w:val="0"/>
        </w:rPr>
      </w:pPr>
      <w:r>
        <w:rPr>
          <w:snapToGrid w:val="0"/>
        </w:rPr>
        <w:tab/>
      </w:r>
      <w:r>
        <w:rPr>
          <w:snapToGrid w:val="0"/>
        </w:rPr>
        <w:tab/>
        <w:t>A self</w:t>
      </w:r>
      <w:r>
        <w:rPr>
          <w:snapToGrid w:val="0"/>
        </w:rPr>
        <w:softHyphen/>
        <w:t>-indicating pit bank weighing machine brought into use after the date of the regulations shall have minimum graduations not exceeding 14 lb.</w:t>
      </w:r>
    </w:p>
    <w:p>
      <w:pPr>
        <w:pStyle w:val="Footnotesection"/>
      </w:pPr>
      <w:r>
        <w:tab/>
        <w:t xml:space="preserve">[Regulation 94 amended in Gazette 23 May 1960 p. 1400.] </w:t>
      </w:r>
    </w:p>
    <w:p>
      <w:pPr>
        <w:pStyle w:val="Heading5"/>
        <w:rPr>
          <w:snapToGrid w:val="0"/>
        </w:rPr>
      </w:pPr>
      <w:bookmarkStart w:id="113" w:name="_Toc390077138"/>
      <w:r>
        <w:rPr>
          <w:rStyle w:val="CharSectno"/>
        </w:rPr>
        <w:t>95</w:t>
      </w:r>
      <w:r>
        <w:rPr>
          <w:snapToGrid w:val="0"/>
        </w:rPr>
        <w:t>.</w:t>
      </w:r>
      <w:r>
        <w:rPr>
          <w:snapToGrid w:val="0"/>
        </w:rPr>
        <w:tab/>
        <w:t>Weighbridges</w:t>
      </w:r>
      <w:bookmarkEnd w:id="113"/>
    </w:p>
    <w:p>
      <w:pPr>
        <w:pStyle w:val="Subsection"/>
        <w:rPr>
          <w:snapToGrid w:val="0"/>
        </w:rPr>
      </w:pPr>
      <w:r>
        <w:rPr>
          <w:snapToGrid w:val="0"/>
        </w:rPr>
        <w:tab/>
      </w:r>
      <w:r>
        <w:rPr>
          <w:snapToGrid w:val="0"/>
        </w:rPr>
        <w:tab/>
        <w:t>A weighbridge shall — </w:t>
      </w:r>
    </w:p>
    <w:p>
      <w:pPr>
        <w:pStyle w:val="Indenta"/>
        <w:rPr>
          <w:snapToGrid w:val="0"/>
        </w:rPr>
      </w:pPr>
      <w:r>
        <w:rPr>
          <w:snapToGrid w:val="0"/>
        </w:rPr>
        <w:tab/>
        <w:t>(a)</w:t>
      </w:r>
      <w:r>
        <w:rPr>
          <w:snapToGrid w:val="0"/>
        </w:rPr>
        <w:tab/>
        <w:t>have foundations of sufficient strength and so constructed as to be capable of standing the wear and tear of ordinary use up to the full capacity of the instrument;</w:t>
      </w:r>
    </w:p>
    <w:p>
      <w:pPr>
        <w:pStyle w:val="Indenta"/>
        <w:rPr>
          <w:snapToGrid w:val="0"/>
        </w:rPr>
      </w:pPr>
      <w:r>
        <w:rPr>
          <w:snapToGrid w:val="0"/>
        </w:rPr>
        <w:tab/>
      </w:r>
      <w:r>
        <w:rPr>
          <w:snapToGrid w:val="0"/>
        </w:rPr>
        <w:tab/>
        <w:t>(In the instruments brought into use after the date of the regulations if the foundation walls are of brick, cement mortar, in which the proportion of cement to sand is not less than one to 3 shall be used.</w:t>
      </w:r>
    </w:p>
    <w:p>
      <w:pPr>
        <w:pStyle w:val="Indenta"/>
        <w:rPr>
          <w:snapToGrid w:val="0"/>
        </w:rPr>
      </w:pPr>
      <w:r>
        <w:rPr>
          <w:snapToGrid w:val="0"/>
        </w:rPr>
        <w:tab/>
      </w:r>
      <w:r>
        <w:rPr>
          <w:snapToGrid w:val="0"/>
        </w:rPr>
        <w:tab/>
        <w:t>When such instruments are of a capacity not exceeding 10 tons such walls shall not be less than 9 in. work on a 14 in. base, and when exceeding 10 tons not less than 14 in. work:</w:t>
      </w:r>
    </w:p>
    <w:p>
      <w:pPr>
        <w:pStyle w:val="Indenta"/>
        <w:rPr>
          <w:snapToGrid w:val="0"/>
        </w:rPr>
      </w:pPr>
      <w:r>
        <w:rPr>
          <w:snapToGrid w:val="0"/>
        </w:rPr>
        <w:tab/>
      </w:r>
      <w:r>
        <w:rPr>
          <w:snapToGrid w:val="0"/>
        </w:rPr>
        <w:tab/>
        <w:t>Provided that the walls of the neck of the pit shall not be required to be more than 9 in. work in any case.)</w:t>
      </w:r>
    </w:p>
    <w:p>
      <w:pPr>
        <w:pStyle w:val="Indenta"/>
        <w:rPr>
          <w:snapToGrid w:val="0"/>
        </w:rPr>
      </w:pPr>
      <w:r>
        <w:rPr>
          <w:snapToGrid w:val="0"/>
        </w:rPr>
        <w:tab/>
        <w:t>(b)</w:t>
      </w:r>
      <w:r>
        <w:rPr>
          <w:snapToGrid w:val="0"/>
        </w:rPr>
        <w:tab/>
        <w:t>be so constructed that there shall be free access to every portion of the under work;</w:t>
      </w:r>
    </w:p>
    <w:p>
      <w:pPr>
        <w:pStyle w:val="Indenta"/>
        <w:rPr>
          <w:snapToGrid w:val="0"/>
        </w:rPr>
      </w:pPr>
      <w:r>
        <w:rPr>
          <w:snapToGrid w:val="0"/>
        </w:rPr>
        <w:tab/>
      </w:r>
      <w:r>
        <w:rPr>
          <w:snapToGrid w:val="0"/>
        </w:rPr>
        <w:tab/>
        <w:t>(When the platform is not readily removable there shall be at least 15 inches clearance below the lowest lever point, but where access to every portion of the pit may be readily obtained from above a clearance of 6 inches shall be sufficient.</w:t>
      </w:r>
    </w:p>
    <w:p>
      <w:pPr>
        <w:pStyle w:val="Indenta"/>
        <w:rPr>
          <w:snapToGrid w:val="0"/>
        </w:rPr>
      </w:pPr>
      <w:r>
        <w:rPr>
          <w:snapToGrid w:val="0"/>
        </w:rPr>
        <w:tab/>
      </w:r>
      <w:r>
        <w:rPr>
          <w:snapToGrid w:val="0"/>
        </w:rPr>
        <w:tab/>
        <w:t>Provision for drainage satisfactory to the Inspector shall be made and the pit kept free from accumulation of water, mud, or other debris.</w:t>
      </w:r>
    </w:p>
    <w:p>
      <w:pPr>
        <w:pStyle w:val="Indenta"/>
        <w:rPr>
          <w:snapToGrid w:val="0"/>
        </w:rPr>
      </w:pPr>
      <w:r>
        <w:rPr>
          <w:snapToGrid w:val="0"/>
        </w:rPr>
        <w:tab/>
      </w:r>
      <w:r>
        <w:rPr>
          <w:snapToGrid w:val="0"/>
        </w:rPr>
        <w:tab/>
        <w:t>An Inspector may refuse to verify a weighbridge the pit of which is in a wet or foul condition.)</w:t>
      </w:r>
    </w:p>
    <w:p>
      <w:pPr>
        <w:pStyle w:val="Indenta"/>
        <w:rPr>
          <w:snapToGrid w:val="0"/>
        </w:rPr>
      </w:pPr>
      <w:r>
        <w:rPr>
          <w:snapToGrid w:val="0"/>
        </w:rPr>
        <w:tab/>
        <w:t>(c)</w:t>
      </w:r>
      <w:r>
        <w:rPr>
          <w:snapToGrid w:val="0"/>
        </w:rPr>
        <w:tab/>
        <w:t>have machined levelling lugs approximately 11 inches apart provided on the levers:</w:t>
      </w:r>
    </w:p>
    <w:p>
      <w:pPr>
        <w:pStyle w:val="Indenta"/>
        <w:rPr>
          <w:snapToGrid w:val="0"/>
        </w:rPr>
      </w:pPr>
      <w:r>
        <w:rPr>
          <w:snapToGrid w:val="0"/>
        </w:rPr>
        <w:tab/>
      </w:r>
      <w:r>
        <w:rPr>
          <w:snapToGrid w:val="0"/>
        </w:rPr>
        <w:tab/>
        <w:t>Provided this shall not apply until 1 January 1928 and shall not thereafter preclude the restamping of instruments stamped prior to such date.</w:t>
      </w:r>
    </w:p>
    <w:p>
      <w:pPr>
        <w:pStyle w:val="Heading5"/>
        <w:rPr>
          <w:snapToGrid w:val="0"/>
        </w:rPr>
      </w:pPr>
      <w:bookmarkStart w:id="114" w:name="_Toc390077139"/>
      <w:r>
        <w:rPr>
          <w:rStyle w:val="CharSectno"/>
        </w:rPr>
        <w:t>96</w:t>
      </w:r>
      <w:r>
        <w:rPr>
          <w:snapToGrid w:val="0"/>
        </w:rPr>
        <w:t>.</w:t>
      </w:r>
      <w:r>
        <w:rPr>
          <w:snapToGrid w:val="0"/>
        </w:rPr>
        <w:tab/>
        <w:t>Road weighbridges</w:t>
      </w:r>
      <w:bookmarkEnd w:id="114"/>
    </w:p>
    <w:p>
      <w:pPr>
        <w:pStyle w:val="Subsection"/>
        <w:rPr>
          <w:snapToGrid w:val="0"/>
        </w:rPr>
      </w:pPr>
      <w:r>
        <w:rPr>
          <w:snapToGrid w:val="0"/>
        </w:rPr>
        <w:tab/>
      </w:r>
      <w:r>
        <w:rPr>
          <w:snapToGrid w:val="0"/>
        </w:rPr>
        <w:tab/>
        <w:t>A road weighbridge shall — </w:t>
      </w:r>
    </w:p>
    <w:p>
      <w:pPr>
        <w:pStyle w:val="Indenta"/>
        <w:rPr>
          <w:snapToGrid w:val="0"/>
        </w:rPr>
      </w:pPr>
      <w:r>
        <w:rPr>
          <w:snapToGrid w:val="0"/>
        </w:rPr>
        <w:tab/>
        <w:t>(a)</w:t>
      </w:r>
      <w:r>
        <w:rPr>
          <w:snapToGrid w:val="0"/>
        </w:rPr>
        <w:tab/>
        <w:t>be suitably situated and have sufficient space for vehicles of the type usually weighed on such weighbridges to be drawn on and off without turning on the platform;</w:t>
      </w:r>
    </w:p>
    <w:p>
      <w:pPr>
        <w:pStyle w:val="Indenta"/>
        <w:rPr>
          <w:snapToGrid w:val="0"/>
        </w:rPr>
      </w:pPr>
      <w:r>
        <w:rPr>
          <w:snapToGrid w:val="0"/>
        </w:rPr>
        <w:tab/>
        <w:t>(b)</w:t>
      </w:r>
      <w:r>
        <w:rPr>
          <w:snapToGrid w:val="0"/>
        </w:rPr>
        <w:tab/>
        <w:t>at the discretion of the Chief Inspector be provided with guard rails or other suitable means to prevent vehicles passing on and off the platform other than from end to end;</w:t>
      </w:r>
    </w:p>
    <w:p>
      <w:pPr>
        <w:pStyle w:val="Indenta"/>
        <w:rPr>
          <w:snapToGrid w:val="0"/>
        </w:rPr>
      </w:pPr>
      <w:r>
        <w:rPr>
          <w:snapToGrid w:val="0"/>
        </w:rPr>
        <w:tab/>
        <w:t>(c)</w:t>
      </w:r>
      <w:r>
        <w:rPr>
          <w:snapToGrid w:val="0"/>
        </w:rPr>
        <w:tab/>
        <w:t>comply with requirements similar to those set out in regulation 90, and shall indicate the same weight within the prescribed limits of error for a full load if a load representing 50% of the capacity is placed successively on the ends and middle of the platform.</w:t>
      </w:r>
    </w:p>
    <w:p>
      <w:pPr>
        <w:pStyle w:val="Indenta"/>
        <w:rPr>
          <w:snapToGrid w:val="0"/>
        </w:rPr>
      </w:pPr>
      <w:r>
        <w:rPr>
          <w:snapToGrid w:val="0"/>
        </w:rPr>
        <w:tab/>
      </w:r>
      <w:r>
        <w:rPr>
          <w:snapToGrid w:val="0"/>
        </w:rPr>
        <w:tab/>
        <w:t>(</w:t>
      </w:r>
      <w:r>
        <w:rPr>
          <w:b/>
          <w:snapToGrid w:val="0"/>
        </w:rPr>
        <w:t>“</w:t>
      </w:r>
      <w:r>
        <w:rPr>
          <w:rStyle w:val="CharDefText"/>
        </w:rPr>
        <w:t>End of platform</w:t>
      </w:r>
      <w:r>
        <w:rPr>
          <w:b/>
          <w:snapToGrid w:val="0"/>
        </w:rPr>
        <w:t>”</w:t>
      </w:r>
      <w:r>
        <w:rPr>
          <w:snapToGrid w:val="0"/>
        </w:rPr>
        <w:t xml:space="preserve"> shall mean a parallelogram bounded by the end line of the platform and a line across the platform distant from the end by one</w:t>
      </w:r>
      <w:r>
        <w:rPr>
          <w:snapToGrid w:val="0"/>
        </w:rPr>
        <w:noBreakHyphen/>
        <w:t>quarter the length of the platform.)</w:t>
      </w:r>
    </w:p>
    <w:p>
      <w:pPr>
        <w:pStyle w:val="Footnotesection"/>
      </w:pPr>
      <w:r>
        <w:tab/>
        <w:t xml:space="preserve">[Regulation 96 amended in Gazette 9 Sep 1968 p. 2743; 31 Aug 1984 p. 2829.] </w:t>
      </w:r>
    </w:p>
    <w:p>
      <w:pPr>
        <w:pStyle w:val="Heading5"/>
        <w:rPr>
          <w:snapToGrid w:val="0"/>
        </w:rPr>
      </w:pPr>
      <w:bookmarkStart w:id="115" w:name="_Toc390077140"/>
      <w:r>
        <w:rPr>
          <w:rStyle w:val="CharSectno"/>
        </w:rPr>
        <w:t>97</w:t>
      </w:r>
      <w:r>
        <w:rPr>
          <w:snapToGrid w:val="0"/>
        </w:rPr>
        <w:t>.</w:t>
      </w:r>
      <w:r>
        <w:rPr>
          <w:snapToGrid w:val="0"/>
        </w:rPr>
        <w:tab/>
        <w:t>Truck weighbridges</w:t>
      </w:r>
      <w:bookmarkEnd w:id="115"/>
    </w:p>
    <w:p>
      <w:pPr>
        <w:pStyle w:val="Subsection"/>
        <w:rPr>
          <w:snapToGrid w:val="0"/>
        </w:rPr>
      </w:pPr>
      <w:r>
        <w:rPr>
          <w:snapToGrid w:val="0"/>
        </w:rPr>
        <w:tab/>
      </w:r>
      <w:r>
        <w:rPr>
          <w:snapToGrid w:val="0"/>
        </w:rPr>
        <w:tab/>
        <w:t>A truck weighbridge shall indicate the same weight within the prescribed limits of error applicable to the test load used when a truck is moved thereon from end to end.</w:t>
      </w:r>
    </w:p>
    <w:p>
      <w:pPr>
        <w:pStyle w:val="Heading5"/>
        <w:rPr>
          <w:snapToGrid w:val="0"/>
        </w:rPr>
      </w:pPr>
      <w:bookmarkStart w:id="116" w:name="_Toc390077141"/>
      <w:r>
        <w:rPr>
          <w:rStyle w:val="CharSectno"/>
        </w:rPr>
        <w:t>98</w:t>
      </w:r>
      <w:r>
        <w:rPr>
          <w:snapToGrid w:val="0"/>
        </w:rPr>
        <w:t>.</w:t>
      </w:r>
      <w:r>
        <w:rPr>
          <w:snapToGrid w:val="0"/>
        </w:rPr>
        <w:tab/>
        <w:t>Tolerance</w:t>
      </w:r>
      <w:bookmarkEnd w:id="116"/>
    </w:p>
    <w:p>
      <w:pPr>
        <w:pStyle w:val="Subsection"/>
        <w:rPr>
          <w:snapToGrid w:val="0"/>
        </w:rPr>
      </w:pPr>
      <w:r>
        <w:rPr>
          <w:snapToGrid w:val="0"/>
        </w:rPr>
        <w:tab/>
      </w:r>
      <w:r>
        <w:rPr>
          <w:snapToGrid w:val="0"/>
        </w:rPr>
        <w:tab/>
        <w:t>The errors permissible on verification of platform weighing machines and weighbridges are those specified in Table VIII and Table IX respectively.</w:t>
      </w:r>
    </w:p>
    <w:p>
      <w:pPr>
        <w:pStyle w:val="Footnotesection"/>
      </w:pPr>
      <w:r>
        <w:tab/>
        <w:t xml:space="preserve">[Regulation 98 amended in Gazette 23 May 1960 p. 1400.] </w:t>
      </w:r>
    </w:p>
    <w:p>
      <w:pPr>
        <w:pStyle w:val="MiscellaneousHeading"/>
        <w:outlineLvl w:val="0"/>
        <w:rPr>
          <w:b/>
          <w:snapToGrid w:val="0"/>
        </w:rPr>
      </w:pPr>
      <w:r>
        <w:rPr>
          <w:b/>
          <w:snapToGrid w:val="0"/>
        </w:rPr>
        <w:t>Overhead weighing machines</w:t>
      </w:r>
    </w:p>
    <w:p>
      <w:pPr>
        <w:pStyle w:val="Heading5"/>
        <w:rPr>
          <w:snapToGrid w:val="0"/>
        </w:rPr>
      </w:pPr>
      <w:bookmarkStart w:id="117" w:name="_Toc390077142"/>
      <w:r>
        <w:rPr>
          <w:rStyle w:val="CharSectno"/>
        </w:rPr>
        <w:t>99</w:t>
      </w:r>
      <w:r>
        <w:rPr>
          <w:snapToGrid w:val="0"/>
        </w:rPr>
        <w:t>.</w:t>
      </w:r>
      <w:r>
        <w:rPr>
          <w:snapToGrid w:val="0"/>
        </w:rPr>
        <w:tab/>
        <w:t>Overhead weighing machines</w:t>
      </w:r>
      <w:bookmarkEnd w:id="117"/>
    </w:p>
    <w:p>
      <w:pPr>
        <w:pStyle w:val="Subsection"/>
        <w:rPr>
          <w:snapToGrid w:val="0"/>
        </w:rPr>
      </w:pPr>
      <w:r>
        <w:rPr>
          <w:snapToGrid w:val="0"/>
        </w:rPr>
        <w:tab/>
      </w:r>
      <w:r>
        <w:rPr>
          <w:snapToGrid w:val="0"/>
        </w:rPr>
        <w:tab/>
        <w:t>A suspended weighing instrument of the type known as an “overhead weighing machine” shall comply with the requirements of the regulations for a platform weighing machine where such are applicable to its type, and be subject to the same allowances for sensitiveness and error.</w:t>
      </w:r>
    </w:p>
    <w:p>
      <w:pPr>
        <w:pStyle w:val="MiscellaneousHeading"/>
        <w:outlineLvl w:val="0"/>
        <w:rPr>
          <w:b/>
          <w:snapToGrid w:val="0"/>
        </w:rPr>
      </w:pPr>
      <w:r>
        <w:rPr>
          <w:b/>
          <w:snapToGrid w:val="0"/>
        </w:rPr>
        <w:t xml:space="preserve">Crane weighing machines </w:t>
      </w:r>
    </w:p>
    <w:p>
      <w:pPr>
        <w:pStyle w:val="Heading5"/>
        <w:rPr>
          <w:snapToGrid w:val="0"/>
        </w:rPr>
      </w:pPr>
      <w:bookmarkStart w:id="118" w:name="_Toc390077143"/>
      <w:r>
        <w:rPr>
          <w:rStyle w:val="CharSectno"/>
        </w:rPr>
        <w:t>100</w:t>
      </w:r>
      <w:r>
        <w:rPr>
          <w:snapToGrid w:val="0"/>
        </w:rPr>
        <w:t>.</w:t>
      </w:r>
      <w:r>
        <w:rPr>
          <w:snapToGrid w:val="0"/>
        </w:rPr>
        <w:tab/>
        <w:t>Crane weighing machines</w:t>
      </w:r>
      <w:bookmarkEnd w:id="118"/>
    </w:p>
    <w:p>
      <w:pPr>
        <w:pStyle w:val="Subsection"/>
        <w:rPr>
          <w:snapToGrid w:val="0"/>
        </w:rPr>
      </w:pPr>
      <w:r>
        <w:rPr>
          <w:snapToGrid w:val="0"/>
        </w:rPr>
        <w:tab/>
      </w:r>
      <w:r>
        <w:rPr>
          <w:snapToGrid w:val="0"/>
        </w:rPr>
        <w:tab/>
        <w:t>A crane weighing machine may be constructed on either the lever, spring, or hydraulic principle, and shall — </w:t>
      </w:r>
    </w:p>
    <w:p>
      <w:pPr>
        <w:pStyle w:val="Indenta"/>
        <w:rPr>
          <w:snapToGrid w:val="0"/>
        </w:rPr>
      </w:pPr>
      <w:r>
        <w:rPr>
          <w:snapToGrid w:val="0"/>
        </w:rPr>
        <w:tab/>
        <w:t>(a)</w:t>
      </w:r>
      <w:r>
        <w:rPr>
          <w:snapToGrid w:val="0"/>
        </w:rPr>
        <w:tab/>
        <w:t>have all working parts suitable protected from damp or dust;</w:t>
      </w:r>
    </w:p>
    <w:p>
      <w:pPr>
        <w:pStyle w:val="Indenta"/>
        <w:rPr>
          <w:snapToGrid w:val="0"/>
        </w:rPr>
      </w:pPr>
      <w:r>
        <w:rPr>
          <w:snapToGrid w:val="0"/>
        </w:rPr>
        <w:tab/>
        <w:t>(b)</w:t>
      </w:r>
      <w:r>
        <w:rPr>
          <w:snapToGrid w:val="0"/>
        </w:rPr>
        <w:tab/>
        <w:t>in a dial machine have the rack and pinion of suitably hard metal;</w:t>
      </w:r>
    </w:p>
    <w:p>
      <w:pPr>
        <w:pStyle w:val="Indenta"/>
        <w:rPr>
          <w:snapToGrid w:val="0"/>
        </w:rPr>
      </w:pPr>
      <w:r>
        <w:rPr>
          <w:snapToGrid w:val="0"/>
        </w:rPr>
        <w:tab/>
        <w:t>(c)</w:t>
      </w:r>
      <w:r>
        <w:rPr>
          <w:snapToGrid w:val="0"/>
        </w:rPr>
        <w:tab/>
        <w:t>have a stamping plug fixed in a conspicuous part of the steelyard or dial;</w:t>
      </w:r>
    </w:p>
    <w:p>
      <w:pPr>
        <w:pStyle w:val="Indenta"/>
        <w:rPr>
          <w:snapToGrid w:val="0"/>
        </w:rPr>
      </w:pPr>
      <w:r>
        <w:rPr>
          <w:snapToGrid w:val="0"/>
        </w:rPr>
        <w:tab/>
        <w:t>(d)</w:t>
      </w:r>
      <w:r>
        <w:rPr>
          <w:snapToGrid w:val="0"/>
        </w:rPr>
        <w:tab/>
        <w:t>not have a balancing or adjusting arrangement exceeding 2% of the capacity of the machine;</w:t>
      </w:r>
    </w:p>
    <w:p>
      <w:pPr>
        <w:pStyle w:val="Indenta"/>
        <w:rPr>
          <w:snapToGrid w:val="0"/>
        </w:rPr>
      </w:pPr>
      <w:r>
        <w:rPr>
          <w:snapToGrid w:val="0"/>
        </w:rPr>
        <w:tab/>
        <w:t>(e)</w:t>
      </w:r>
      <w:r>
        <w:rPr>
          <w:snapToGrid w:val="0"/>
        </w:rPr>
        <w:tab/>
        <w:t>comply with the regulations governing platform weighing machines where applicable.</w:t>
      </w:r>
    </w:p>
    <w:p>
      <w:pPr>
        <w:pStyle w:val="Heading5"/>
        <w:rPr>
          <w:snapToGrid w:val="0"/>
        </w:rPr>
      </w:pPr>
      <w:bookmarkStart w:id="119" w:name="_Toc390077144"/>
      <w:r>
        <w:rPr>
          <w:rStyle w:val="CharSectno"/>
        </w:rPr>
        <w:t>101</w:t>
      </w:r>
      <w:r>
        <w:rPr>
          <w:snapToGrid w:val="0"/>
        </w:rPr>
        <w:t>.</w:t>
      </w:r>
      <w:r>
        <w:rPr>
          <w:snapToGrid w:val="0"/>
        </w:rPr>
        <w:tab/>
        <w:t>Notice required on certain hydraulic machines</w:t>
      </w:r>
      <w:bookmarkEnd w:id="119"/>
    </w:p>
    <w:p>
      <w:pPr>
        <w:pStyle w:val="Subsection"/>
        <w:rPr>
          <w:snapToGrid w:val="0"/>
        </w:rPr>
      </w:pPr>
      <w:r>
        <w:rPr>
          <w:snapToGrid w:val="0"/>
        </w:rPr>
        <w:tab/>
      </w:r>
      <w:r>
        <w:rPr>
          <w:snapToGrid w:val="0"/>
        </w:rPr>
        <w:tab/>
        <w:t>A hydraulic machine, in which to get a correct weight indication it is necessary to twist the load hook, shall not be stamped unless a prominent notice to this effect is permanently affixed to the machine.</w:t>
      </w:r>
    </w:p>
    <w:p>
      <w:pPr>
        <w:pStyle w:val="Heading5"/>
        <w:rPr>
          <w:snapToGrid w:val="0"/>
        </w:rPr>
      </w:pPr>
      <w:bookmarkStart w:id="120" w:name="_Toc390077145"/>
      <w:r>
        <w:rPr>
          <w:rStyle w:val="CharSectno"/>
        </w:rPr>
        <w:t>102</w:t>
      </w:r>
      <w:r>
        <w:rPr>
          <w:snapToGrid w:val="0"/>
        </w:rPr>
        <w:t>.</w:t>
      </w:r>
      <w:r>
        <w:rPr>
          <w:snapToGrid w:val="0"/>
        </w:rPr>
        <w:tab/>
        <w:t>Hydraulic machines not to be tested for sensitiveness</w:t>
      </w:r>
      <w:bookmarkEnd w:id="120"/>
    </w:p>
    <w:p>
      <w:pPr>
        <w:pStyle w:val="Subsection"/>
        <w:rPr>
          <w:snapToGrid w:val="0"/>
        </w:rPr>
      </w:pPr>
      <w:r>
        <w:rPr>
          <w:snapToGrid w:val="0"/>
        </w:rPr>
        <w:tab/>
      </w:r>
      <w:r>
        <w:rPr>
          <w:snapToGrid w:val="0"/>
        </w:rPr>
        <w:tab/>
        <w:t>A hydraulic machine shall not be tested for sensitiveness.</w:t>
      </w:r>
    </w:p>
    <w:p>
      <w:pPr>
        <w:pStyle w:val="Heading5"/>
        <w:rPr>
          <w:snapToGrid w:val="0"/>
        </w:rPr>
      </w:pPr>
      <w:bookmarkStart w:id="121" w:name="_Toc390077146"/>
      <w:r>
        <w:rPr>
          <w:rStyle w:val="CharSectno"/>
        </w:rPr>
        <w:t>103</w:t>
      </w:r>
      <w:r>
        <w:rPr>
          <w:snapToGrid w:val="0"/>
        </w:rPr>
        <w:t>.</w:t>
      </w:r>
      <w:r>
        <w:rPr>
          <w:snapToGrid w:val="0"/>
        </w:rPr>
        <w:tab/>
        <w:t>Tolerance</w:t>
      </w:r>
      <w:bookmarkEnd w:id="121"/>
    </w:p>
    <w:p>
      <w:pPr>
        <w:pStyle w:val="Subsection"/>
        <w:rPr>
          <w:snapToGrid w:val="0"/>
        </w:rPr>
      </w:pPr>
      <w:r>
        <w:rPr>
          <w:snapToGrid w:val="0"/>
        </w:rPr>
        <w:tab/>
      </w:r>
      <w:r>
        <w:rPr>
          <w:snapToGrid w:val="0"/>
        </w:rPr>
        <w:tab/>
        <w:t>The errors permissible on verification of a crane weighing machine shall be — </w:t>
      </w:r>
    </w:p>
    <w:p>
      <w:pPr>
        <w:pStyle w:val="Indenta"/>
        <w:rPr>
          <w:snapToGrid w:val="0"/>
        </w:rPr>
      </w:pPr>
      <w:r>
        <w:rPr>
          <w:snapToGrid w:val="0"/>
        </w:rPr>
        <w:tab/>
        <w:t>(a)</w:t>
      </w:r>
      <w:r>
        <w:rPr>
          <w:snapToGrid w:val="0"/>
        </w:rPr>
        <w:tab/>
        <w:t>for a lever machine below one ton, as specified in Table VIII for a vibrating platform machine;</w:t>
      </w:r>
    </w:p>
    <w:p>
      <w:pPr>
        <w:pStyle w:val="Indenta"/>
        <w:rPr>
          <w:snapToGrid w:val="0"/>
        </w:rPr>
      </w:pPr>
      <w:r>
        <w:rPr>
          <w:snapToGrid w:val="0"/>
        </w:rPr>
        <w:tab/>
        <w:t>(b)</w:t>
      </w:r>
      <w:r>
        <w:rPr>
          <w:snapToGrid w:val="0"/>
        </w:rPr>
        <w:tab/>
        <w:t>for a lever machine of one ton, and upwards, as specified in Table IX for a vibrating weighbridge;</w:t>
      </w:r>
    </w:p>
    <w:p>
      <w:pPr>
        <w:pStyle w:val="Indenta"/>
        <w:rPr>
          <w:snapToGrid w:val="0"/>
        </w:rPr>
      </w:pPr>
      <w:r>
        <w:rPr>
          <w:snapToGrid w:val="0"/>
        </w:rPr>
        <w:tab/>
        <w:t>(c)</w:t>
      </w:r>
      <w:r>
        <w:rPr>
          <w:snapToGrid w:val="0"/>
        </w:rPr>
        <w:tab/>
        <w:t>for a spring machine the errors specified in the appropriate part of Table IX;</w:t>
      </w:r>
    </w:p>
    <w:p>
      <w:pPr>
        <w:pStyle w:val="Indenta"/>
        <w:rPr>
          <w:snapToGrid w:val="0"/>
        </w:rPr>
      </w:pPr>
      <w:r>
        <w:rPr>
          <w:snapToGrid w:val="0"/>
        </w:rPr>
        <w:tab/>
        <w:t>(d)</w:t>
      </w:r>
      <w:r>
        <w:rPr>
          <w:snapToGrid w:val="0"/>
        </w:rPr>
        <w:tab/>
        <w:t>for a hydraulic machine used as an approximate weigher for ascertaining freight or for checking purposes, one</w:t>
      </w:r>
      <w:r>
        <w:rPr>
          <w:snapToGrid w:val="0"/>
        </w:rPr>
        <w:noBreakHyphen/>
        <w:t>half the weight represented by the interval between consecutive graduation marks.</w:t>
      </w:r>
    </w:p>
    <w:p>
      <w:pPr>
        <w:pStyle w:val="Footnotesection"/>
      </w:pPr>
      <w:r>
        <w:tab/>
        <w:t xml:space="preserve">[Regulation 103 amended in Gazette 23 May 1960 p. 1400.] </w:t>
      </w:r>
    </w:p>
    <w:p>
      <w:pPr>
        <w:pStyle w:val="MiscellaneousHeading"/>
        <w:outlineLvl w:val="0"/>
        <w:rPr>
          <w:b/>
          <w:snapToGrid w:val="0"/>
        </w:rPr>
      </w:pPr>
      <w:r>
        <w:rPr>
          <w:b/>
          <w:snapToGrid w:val="0"/>
        </w:rPr>
        <w:t>Automatic weighing machines</w:t>
      </w:r>
    </w:p>
    <w:p>
      <w:pPr>
        <w:pStyle w:val="Heading5"/>
        <w:rPr>
          <w:snapToGrid w:val="0"/>
        </w:rPr>
      </w:pPr>
      <w:bookmarkStart w:id="122" w:name="_Toc390077147"/>
      <w:r>
        <w:rPr>
          <w:rStyle w:val="CharSectno"/>
        </w:rPr>
        <w:t>104</w:t>
      </w:r>
      <w:r>
        <w:rPr>
          <w:snapToGrid w:val="0"/>
        </w:rPr>
        <w:t>.</w:t>
      </w:r>
      <w:r>
        <w:rPr>
          <w:snapToGrid w:val="0"/>
        </w:rPr>
        <w:tab/>
        <w:t>Definition of “automatic weighing machines”</w:t>
      </w:r>
      <w:bookmarkEnd w:id="122"/>
    </w:p>
    <w:p>
      <w:pPr>
        <w:pStyle w:val="Subsection"/>
        <w:rPr>
          <w:snapToGrid w:val="0"/>
        </w:rPr>
      </w:pPr>
      <w:r>
        <w:rPr>
          <w:snapToGrid w:val="0"/>
        </w:rPr>
        <w:tab/>
      </w:r>
      <w:r>
        <w:rPr>
          <w:snapToGrid w:val="0"/>
        </w:rPr>
        <w:tab/>
        <w:t xml:space="preserve">The term </w:t>
      </w:r>
      <w:r>
        <w:rPr>
          <w:b/>
          <w:snapToGrid w:val="0"/>
        </w:rPr>
        <w:t>“</w:t>
      </w:r>
      <w:r>
        <w:rPr>
          <w:rStyle w:val="CharDefText"/>
        </w:rPr>
        <w:t>automatic weighing machine</w:t>
      </w:r>
      <w:r>
        <w:rPr>
          <w:b/>
          <w:snapToGrid w:val="0"/>
        </w:rPr>
        <w:t>”</w:t>
      </w:r>
      <w:r>
        <w:rPr>
          <w:snapToGrid w:val="0"/>
        </w:rPr>
        <w:t xml:space="preserve"> means a machine in which special self</w:t>
      </w:r>
      <w:r>
        <w:rPr>
          <w:snapToGrid w:val="0"/>
        </w:rPr>
        <w:noBreakHyphen/>
        <w:t>acting machinery is introduced to effect an automatic feed, the rapid weighing of given loads, the registration and summation of loads, and other similar purposes, or some of them.</w:t>
      </w:r>
    </w:p>
    <w:p>
      <w:pPr>
        <w:pStyle w:val="Heading5"/>
        <w:rPr>
          <w:snapToGrid w:val="0"/>
        </w:rPr>
      </w:pPr>
      <w:bookmarkStart w:id="123" w:name="_Toc390077148"/>
      <w:r>
        <w:rPr>
          <w:rStyle w:val="CharSectno"/>
        </w:rPr>
        <w:t>105</w:t>
      </w:r>
      <w:r>
        <w:rPr>
          <w:snapToGrid w:val="0"/>
        </w:rPr>
        <w:t>.</w:t>
      </w:r>
      <w:r>
        <w:rPr>
          <w:snapToGrid w:val="0"/>
        </w:rPr>
        <w:tab/>
        <w:t>Automatic weighing machines</w:t>
      </w:r>
      <w:bookmarkEnd w:id="123"/>
    </w:p>
    <w:p>
      <w:pPr>
        <w:pStyle w:val="Subsection"/>
        <w:rPr>
          <w:snapToGrid w:val="0"/>
        </w:rPr>
      </w:pPr>
      <w:r>
        <w:rPr>
          <w:snapToGrid w:val="0"/>
        </w:rPr>
        <w:tab/>
      </w:r>
      <w:r>
        <w:rPr>
          <w:snapToGrid w:val="0"/>
        </w:rPr>
        <w:tab/>
        <w:t>An automatic weighing machine shall — </w:t>
      </w:r>
    </w:p>
    <w:p>
      <w:pPr>
        <w:pStyle w:val="Indenta"/>
        <w:rPr>
          <w:snapToGrid w:val="0"/>
        </w:rPr>
      </w:pPr>
      <w:r>
        <w:rPr>
          <w:snapToGrid w:val="0"/>
        </w:rPr>
        <w:tab/>
        <w:t>(a)</w:t>
      </w:r>
      <w:r>
        <w:rPr>
          <w:snapToGrid w:val="0"/>
        </w:rPr>
        <w:tab/>
        <w:t>have its integral parts, such as special beams, etc., to satisfy, as far as practicable, the requirements of the regulations where such are applicable as regards principle, detail, and material;</w:t>
      </w:r>
    </w:p>
    <w:p>
      <w:pPr>
        <w:pStyle w:val="Indenta"/>
        <w:rPr>
          <w:snapToGrid w:val="0"/>
        </w:rPr>
      </w:pPr>
      <w:r>
        <w:rPr>
          <w:snapToGrid w:val="0"/>
        </w:rPr>
        <w:tab/>
        <w:t>(b)</w:t>
      </w:r>
      <w:r>
        <w:rPr>
          <w:snapToGrid w:val="0"/>
        </w:rPr>
        <w:tab/>
        <w:t>have the beam identified with such machine by a number or other sufficient indelible mark;</w:t>
      </w:r>
    </w:p>
    <w:p>
      <w:pPr>
        <w:pStyle w:val="Indenta"/>
        <w:rPr>
          <w:snapToGrid w:val="0"/>
        </w:rPr>
      </w:pPr>
      <w:r>
        <w:rPr>
          <w:snapToGrid w:val="0"/>
        </w:rPr>
        <w:tab/>
        <w:t>(c)</w:t>
      </w:r>
      <w:r>
        <w:rPr>
          <w:snapToGrid w:val="0"/>
        </w:rPr>
        <w:tab/>
        <w:t>have any adjusting mechanism suitably secured and protected that it cannot be readily tampered with;</w:t>
      </w:r>
    </w:p>
    <w:p>
      <w:pPr>
        <w:pStyle w:val="Indenta"/>
        <w:rPr>
          <w:snapToGrid w:val="0"/>
        </w:rPr>
      </w:pPr>
      <w:r>
        <w:rPr>
          <w:snapToGrid w:val="0"/>
        </w:rPr>
        <w:tab/>
        <w:t>(d)</w:t>
      </w:r>
      <w:r>
        <w:rPr>
          <w:snapToGrid w:val="0"/>
        </w:rPr>
        <w:tab/>
        <w:t>be verified by re</w:t>
      </w:r>
      <w:r>
        <w:rPr>
          <w:snapToGrid w:val="0"/>
        </w:rPr>
        <w:noBreakHyphen/>
        <w:t>weighing not less than 10 consecutive loads over another correct weighing instrument to be provided (if required by the Inspector) by the person applying for the verification, and also when practicable by direct application of standard weights.</w:t>
      </w:r>
    </w:p>
    <w:p>
      <w:pPr>
        <w:pStyle w:val="Subsection"/>
        <w:rPr>
          <w:snapToGrid w:val="0"/>
        </w:rPr>
      </w:pPr>
      <w:r>
        <w:rPr>
          <w:snapToGrid w:val="0"/>
        </w:rPr>
        <w:tab/>
      </w:r>
      <w:r>
        <w:rPr>
          <w:snapToGrid w:val="0"/>
        </w:rPr>
        <w:tab/>
        <w:t xml:space="preserve">(In the case of “totalising” machines, not less than 20 loads shall be passed over the machine, </w:t>
      </w:r>
      <w:r>
        <w:rPr>
          <w:i/>
          <w:snapToGrid w:val="0"/>
        </w:rPr>
        <w:t>viz</w:t>
      </w:r>
      <w:r>
        <w:rPr>
          <w:snapToGrid w:val="0"/>
        </w:rPr>
        <w:t>., 5 minimum, 5 maximum, and 10 mean loads.)</w:t>
      </w:r>
    </w:p>
    <w:p>
      <w:pPr>
        <w:pStyle w:val="Ednotesection"/>
      </w:pPr>
      <w:r>
        <w:t>[</w:t>
      </w:r>
      <w:r>
        <w:rPr>
          <w:b/>
        </w:rPr>
        <w:t>106.</w:t>
      </w:r>
      <w:r>
        <w:rPr>
          <w:b/>
        </w:rPr>
        <w:tab/>
      </w:r>
      <w:r>
        <w:t xml:space="preserve">Repealed in Gazette 23 May 1960 p. 1400.] </w:t>
      </w:r>
    </w:p>
    <w:p>
      <w:pPr>
        <w:pStyle w:val="Heading5"/>
        <w:rPr>
          <w:snapToGrid w:val="0"/>
        </w:rPr>
      </w:pPr>
      <w:bookmarkStart w:id="124" w:name="_Toc390077149"/>
      <w:r>
        <w:rPr>
          <w:rStyle w:val="CharSectno"/>
        </w:rPr>
        <w:t>107</w:t>
      </w:r>
      <w:r>
        <w:rPr>
          <w:snapToGrid w:val="0"/>
        </w:rPr>
        <w:t>.</w:t>
      </w:r>
      <w:r>
        <w:rPr>
          <w:snapToGrid w:val="0"/>
        </w:rPr>
        <w:tab/>
        <w:t>Tolerance</w:t>
      </w:r>
      <w:bookmarkEnd w:id="124"/>
    </w:p>
    <w:p>
      <w:pPr>
        <w:pStyle w:val="Subsection"/>
        <w:rPr>
          <w:snapToGrid w:val="0"/>
        </w:rPr>
      </w:pPr>
      <w:r>
        <w:rPr>
          <w:snapToGrid w:val="0"/>
        </w:rPr>
        <w:tab/>
      </w:r>
      <w:r>
        <w:rPr>
          <w:snapToGrid w:val="0"/>
        </w:rPr>
        <w:tab/>
        <w:t>The errors permissible on verification or inspection of automatic weighing machines shall be as specified in Table X.</w:t>
      </w:r>
    </w:p>
    <w:p>
      <w:pPr>
        <w:pStyle w:val="MiscellaneousHeading"/>
        <w:outlineLvl w:val="0"/>
        <w:rPr>
          <w:b/>
          <w:snapToGrid w:val="0"/>
        </w:rPr>
      </w:pPr>
      <w:r>
        <w:rPr>
          <w:b/>
          <w:snapToGrid w:val="0"/>
        </w:rPr>
        <w:t>Hopper grain scales</w:t>
      </w:r>
    </w:p>
    <w:p>
      <w:pPr>
        <w:pStyle w:val="Heading5"/>
        <w:rPr>
          <w:snapToGrid w:val="0"/>
        </w:rPr>
      </w:pPr>
      <w:bookmarkStart w:id="125" w:name="_Toc390077150"/>
      <w:r>
        <w:rPr>
          <w:rStyle w:val="CharSectno"/>
        </w:rPr>
        <w:t>108</w:t>
      </w:r>
      <w:r>
        <w:rPr>
          <w:snapToGrid w:val="0"/>
        </w:rPr>
        <w:t>.</w:t>
      </w:r>
      <w:r>
        <w:rPr>
          <w:snapToGrid w:val="0"/>
        </w:rPr>
        <w:tab/>
        <w:t>Hopper grain scales</w:t>
      </w:r>
      <w:bookmarkEnd w:id="125"/>
    </w:p>
    <w:p>
      <w:pPr>
        <w:pStyle w:val="Subsection"/>
        <w:rPr>
          <w:snapToGrid w:val="0"/>
        </w:rPr>
      </w:pPr>
      <w:r>
        <w:rPr>
          <w:snapToGrid w:val="0"/>
        </w:rPr>
        <w:tab/>
      </w:r>
      <w:r>
        <w:rPr>
          <w:snapToGrid w:val="0"/>
        </w:rPr>
        <w:tab/>
        <w:t>Hopper grain scales shall comply with the regulations governing platform weighing machines where applicable, and with the following specifications: — </w:t>
      </w:r>
    </w:p>
    <w:p>
      <w:pPr>
        <w:pStyle w:val="Indenta"/>
        <w:rPr>
          <w:snapToGrid w:val="0"/>
        </w:rPr>
      </w:pPr>
      <w:r>
        <w:rPr>
          <w:snapToGrid w:val="0"/>
        </w:rPr>
        <w:tab/>
        <w:t>(a)</w:t>
      </w:r>
      <w:r>
        <w:rPr>
          <w:snapToGrid w:val="0"/>
        </w:rPr>
        <w:tab/>
        <w:t>the maximum value of the minimum graduations on the steelyard shall be — </w:t>
      </w:r>
    </w:p>
    <w:tbl>
      <w:tblPr>
        <w:tblW w:w="0" w:type="auto"/>
        <w:tblInd w:w="1844" w:type="dxa"/>
        <w:tblLayout w:type="fixed"/>
        <w:tblCellMar>
          <w:left w:w="85" w:type="dxa"/>
          <w:right w:w="85" w:type="dxa"/>
        </w:tblCellMar>
        <w:tblLook w:val="0000" w:firstRow="0" w:lastRow="0" w:firstColumn="0" w:lastColumn="0" w:noHBand="0" w:noVBand="0"/>
      </w:tblPr>
      <w:tblGrid>
        <w:gridCol w:w="4478"/>
        <w:gridCol w:w="851"/>
      </w:tblGrid>
      <w:tr>
        <w:tc>
          <w:tcPr>
            <w:tcW w:w="4478" w:type="dxa"/>
          </w:tcPr>
          <w:p>
            <w:pPr>
              <w:pStyle w:val="Table"/>
              <w:tabs>
                <w:tab w:val="left" w:pos="566"/>
              </w:tabs>
              <w:rPr>
                <w:sz w:val="24"/>
              </w:rPr>
            </w:pPr>
            <w:r>
              <w:rPr>
                <w:sz w:val="24"/>
              </w:rPr>
              <w:t>(1)</w:t>
            </w:r>
            <w:r>
              <w:rPr>
                <w:sz w:val="24"/>
              </w:rPr>
              <w:tab/>
              <w:t xml:space="preserve">for scales of 12,000 lb. and under ....... </w:t>
            </w:r>
          </w:p>
        </w:tc>
        <w:tc>
          <w:tcPr>
            <w:tcW w:w="851" w:type="dxa"/>
          </w:tcPr>
          <w:p>
            <w:pPr>
              <w:pStyle w:val="Table"/>
              <w:jc w:val="right"/>
              <w:rPr>
                <w:sz w:val="24"/>
              </w:rPr>
            </w:pPr>
            <w:r>
              <w:rPr>
                <w:sz w:val="24"/>
              </w:rPr>
              <w:t>1 lb.</w:t>
            </w:r>
          </w:p>
        </w:tc>
      </w:tr>
      <w:tr>
        <w:tc>
          <w:tcPr>
            <w:tcW w:w="4478" w:type="dxa"/>
          </w:tcPr>
          <w:p>
            <w:pPr>
              <w:pStyle w:val="Table"/>
              <w:tabs>
                <w:tab w:val="left" w:pos="566"/>
              </w:tabs>
              <w:rPr>
                <w:sz w:val="24"/>
              </w:rPr>
            </w:pPr>
            <w:r>
              <w:rPr>
                <w:sz w:val="24"/>
              </w:rPr>
              <w:t>(2)</w:t>
            </w:r>
            <w:r>
              <w:rPr>
                <w:sz w:val="24"/>
              </w:rPr>
              <w:tab/>
              <w:t xml:space="preserve">over 12,000 lb. to 60,000 lb. ............... </w:t>
            </w:r>
          </w:p>
        </w:tc>
        <w:tc>
          <w:tcPr>
            <w:tcW w:w="851" w:type="dxa"/>
          </w:tcPr>
          <w:p>
            <w:pPr>
              <w:pStyle w:val="Table"/>
              <w:jc w:val="right"/>
              <w:rPr>
                <w:sz w:val="24"/>
              </w:rPr>
            </w:pPr>
            <w:r>
              <w:rPr>
                <w:sz w:val="24"/>
              </w:rPr>
              <w:t>5 lb.</w:t>
            </w:r>
          </w:p>
        </w:tc>
      </w:tr>
      <w:tr>
        <w:tc>
          <w:tcPr>
            <w:tcW w:w="4478" w:type="dxa"/>
          </w:tcPr>
          <w:p>
            <w:pPr>
              <w:pStyle w:val="Table"/>
              <w:tabs>
                <w:tab w:val="left" w:pos="566"/>
              </w:tabs>
              <w:rPr>
                <w:sz w:val="24"/>
              </w:rPr>
            </w:pPr>
            <w:r>
              <w:rPr>
                <w:sz w:val="24"/>
              </w:rPr>
              <w:t>(3)</w:t>
            </w:r>
            <w:r>
              <w:rPr>
                <w:sz w:val="24"/>
              </w:rPr>
              <w:tab/>
              <w:t xml:space="preserve">over 60,000 lb. ..................................... </w:t>
            </w:r>
          </w:p>
        </w:tc>
        <w:tc>
          <w:tcPr>
            <w:tcW w:w="851" w:type="dxa"/>
          </w:tcPr>
          <w:p>
            <w:pPr>
              <w:pStyle w:val="Table"/>
              <w:jc w:val="right"/>
              <w:rPr>
                <w:sz w:val="24"/>
              </w:rPr>
            </w:pPr>
            <w:r>
              <w:rPr>
                <w:sz w:val="24"/>
              </w:rPr>
              <w:t>10 lb.</w:t>
            </w:r>
          </w:p>
        </w:tc>
      </w:tr>
    </w:tbl>
    <w:p>
      <w:pPr>
        <w:pStyle w:val="Indenta"/>
        <w:rPr>
          <w:snapToGrid w:val="0"/>
        </w:rPr>
      </w:pPr>
      <w:r>
        <w:rPr>
          <w:snapToGrid w:val="0"/>
        </w:rPr>
        <w:tab/>
        <w:t>(b)</w:t>
      </w:r>
      <w:r>
        <w:rPr>
          <w:snapToGrid w:val="0"/>
        </w:rPr>
        <w:tab/>
        <w:t xml:space="preserve">the tolerance for error on verification shall be ½ lb. per 1,000 lb. for the first 10,000 lb., ¼ lb. per 1,000 for the next 10,000 lb., and </w:t>
      </w:r>
      <w:r>
        <w:rPr>
          <w:snapToGrid w:val="0"/>
          <w:vertAlign w:val="superscript"/>
        </w:rPr>
        <w:t>1</w:t>
      </w:r>
      <w:r>
        <w:rPr>
          <w:snapToGrid w:val="0"/>
        </w:rPr>
        <w:t>/</w:t>
      </w:r>
      <w:r>
        <w:rPr>
          <w:snapToGrid w:val="0"/>
          <w:vertAlign w:val="subscript"/>
        </w:rPr>
        <w:t>8</w:t>
      </w:r>
      <w:r>
        <w:rPr>
          <w:snapToGrid w:val="0"/>
        </w:rPr>
        <w:t xml:space="preserve"> lb. per 1,000 lb. thereafter;</w:t>
      </w:r>
    </w:p>
    <w:p>
      <w:pPr>
        <w:pStyle w:val="Indenta"/>
        <w:rPr>
          <w:snapToGrid w:val="0"/>
        </w:rPr>
      </w:pPr>
      <w:r>
        <w:rPr>
          <w:snapToGrid w:val="0"/>
        </w:rPr>
        <w:tab/>
        <w:t>(c)</w:t>
      </w:r>
      <w:r>
        <w:rPr>
          <w:snapToGrid w:val="0"/>
        </w:rPr>
        <w:tab/>
        <w:t>the tolerance for sensitiveness on verification shall be ½ lb. per 1,000 lb. for the first 2,000 lb., and thereafter one</w:t>
      </w:r>
      <w:r>
        <w:rPr>
          <w:snapToGrid w:val="0"/>
        </w:rPr>
        <w:noBreakHyphen/>
        <w:t>half the permissible tolerance in error;</w:t>
      </w:r>
    </w:p>
    <w:p>
      <w:pPr>
        <w:pStyle w:val="Indenta"/>
        <w:rPr>
          <w:snapToGrid w:val="0"/>
        </w:rPr>
      </w:pPr>
      <w:r>
        <w:rPr>
          <w:snapToGrid w:val="0"/>
        </w:rPr>
        <w:tab/>
        <w:t>(d)</w:t>
      </w:r>
      <w:r>
        <w:rPr>
          <w:snapToGrid w:val="0"/>
        </w:rPr>
        <w:tab/>
        <w:t>suitable means for vertical adjustment shall be provided to ensure the proper alignment of the lever system;</w:t>
      </w:r>
    </w:p>
    <w:p>
      <w:pPr>
        <w:pStyle w:val="Indenta"/>
        <w:rPr>
          <w:snapToGrid w:val="0"/>
        </w:rPr>
      </w:pPr>
      <w:r>
        <w:rPr>
          <w:snapToGrid w:val="0"/>
        </w:rPr>
        <w:tab/>
        <w:t>(e)</w:t>
      </w:r>
      <w:r>
        <w:rPr>
          <w:snapToGrid w:val="0"/>
        </w:rPr>
        <w:tab/>
        <w:t>check rods both longitudinal and transverse shall be provided;</w:t>
      </w:r>
    </w:p>
    <w:p>
      <w:pPr>
        <w:pStyle w:val="Indenta"/>
        <w:rPr>
          <w:snapToGrid w:val="0"/>
        </w:rPr>
      </w:pPr>
      <w:r>
        <w:rPr>
          <w:snapToGrid w:val="0"/>
        </w:rPr>
        <w:tab/>
        <w:t>(f)</w:t>
      </w:r>
      <w:r>
        <w:rPr>
          <w:snapToGrid w:val="0"/>
        </w:rPr>
        <w:tab/>
        <w:t>for multiplication at the counterpoise knife edge shall be 1,000 or 1,120, and the proportional weights shall be marked with the amount they represent, and also their actual weight;</w:t>
      </w:r>
    </w:p>
    <w:p>
      <w:pPr>
        <w:pStyle w:val="Indenta"/>
        <w:rPr>
          <w:snapToGrid w:val="0"/>
        </w:rPr>
      </w:pPr>
      <w:r>
        <w:rPr>
          <w:snapToGrid w:val="0"/>
        </w:rPr>
        <w:tab/>
        <w:t>(g)</w:t>
      </w:r>
      <w:r>
        <w:rPr>
          <w:snapToGrid w:val="0"/>
        </w:rPr>
        <w:tab/>
        <w:t>the steelyard shall have a vibrating action, and shall have equal travel in the guide above and below the horizontal position;</w:t>
      </w:r>
    </w:p>
    <w:p>
      <w:pPr>
        <w:pStyle w:val="Indenta"/>
        <w:rPr>
          <w:snapToGrid w:val="0"/>
        </w:rPr>
      </w:pPr>
      <w:r>
        <w:rPr>
          <w:snapToGrid w:val="0"/>
        </w:rPr>
        <w:tab/>
        <w:t>(h)</w:t>
      </w:r>
      <w:r>
        <w:rPr>
          <w:snapToGrid w:val="0"/>
        </w:rPr>
        <w:tab/>
        <w:t>the hopper shall be so designed and constructed as to prevent distortion under load, and shall be supported directly over the scale bearings;</w:t>
      </w:r>
    </w:p>
    <w:p>
      <w:pPr>
        <w:pStyle w:val="Indenta"/>
        <w:rPr>
          <w:snapToGrid w:val="0"/>
        </w:rPr>
      </w:pPr>
      <w:r>
        <w:rPr>
          <w:snapToGrid w:val="0"/>
        </w:rPr>
        <w:tab/>
        <w:t>(i)</w:t>
      </w:r>
      <w:r>
        <w:rPr>
          <w:snapToGrid w:val="0"/>
        </w:rPr>
        <w:tab/>
        <w:t>provision shall be made for the application to each frame corner of test weights representing at least 1/20th part of the capacity of the scale.</w:t>
      </w:r>
    </w:p>
    <w:p>
      <w:pPr>
        <w:pStyle w:val="Indenta"/>
        <w:rPr>
          <w:snapToGrid w:val="0"/>
        </w:rPr>
      </w:pPr>
      <w:r>
        <w:rPr>
          <w:snapToGrid w:val="0"/>
        </w:rPr>
        <w:tab/>
      </w:r>
      <w:r>
        <w:rPr>
          <w:snapToGrid w:val="0"/>
        </w:rPr>
        <w:tab/>
        <w:t>In scales having sufficient clearance below the lever system such provision shall be in the form of suspended trays. In scales so constructed that suspended trays are not practicable other suitable provision such as corner brackets shall be made. In all cases there shall be sufficient provision to enable application of test weights equal to the weight value of the largest proportional weight.</w:t>
      </w:r>
    </w:p>
    <w:p>
      <w:pPr>
        <w:pStyle w:val="MiscellaneousHeading"/>
        <w:outlineLvl w:val="0"/>
        <w:rPr>
          <w:b/>
          <w:snapToGrid w:val="0"/>
        </w:rPr>
      </w:pPr>
      <w:r>
        <w:rPr>
          <w:b/>
          <w:snapToGrid w:val="0"/>
        </w:rPr>
        <w:t>Miscellaneous weighing instruments</w:t>
      </w:r>
    </w:p>
    <w:p>
      <w:pPr>
        <w:pStyle w:val="Heading5"/>
        <w:rPr>
          <w:snapToGrid w:val="0"/>
        </w:rPr>
      </w:pPr>
      <w:bookmarkStart w:id="126" w:name="_Toc390077151"/>
      <w:r>
        <w:rPr>
          <w:rStyle w:val="CharSectno"/>
        </w:rPr>
        <w:t>109</w:t>
      </w:r>
      <w:r>
        <w:rPr>
          <w:snapToGrid w:val="0"/>
        </w:rPr>
        <w:t>.</w:t>
      </w:r>
      <w:r>
        <w:rPr>
          <w:snapToGrid w:val="0"/>
        </w:rPr>
        <w:tab/>
        <w:t>Other types of weighing machines</w:t>
      </w:r>
      <w:bookmarkEnd w:id="126"/>
    </w:p>
    <w:p>
      <w:pPr>
        <w:pStyle w:val="Subsection"/>
        <w:rPr>
          <w:snapToGrid w:val="0"/>
        </w:rPr>
      </w:pPr>
      <w:r>
        <w:rPr>
          <w:snapToGrid w:val="0"/>
        </w:rPr>
        <w:tab/>
      </w:r>
      <w:r>
        <w:rPr>
          <w:snapToGrid w:val="0"/>
        </w:rPr>
        <w:tab/>
        <w:t>A weighing instrument of any type not definitely particularised in the regulations shall comply with the regulations relating to the type to which it most closely approximates, having regard to its construction and the purposes for which it is commonly used.</w:t>
      </w:r>
    </w:p>
    <w:p>
      <w:pPr>
        <w:pStyle w:val="MiscellaneousHeading"/>
        <w:outlineLvl w:val="0"/>
        <w:rPr>
          <w:b/>
          <w:snapToGrid w:val="0"/>
        </w:rPr>
      </w:pPr>
      <w:r>
        <w:rPr>
          <w:b/>
          <w:snapToGrid w:val="0"/>
        </w:rPr>
        <w:t>Measuring instruments — general</w:t>
      </w:r>
    </w:p>
    <w:p>
      <w:pPr>
        <w:pStyle w:val="Footnoteheading"/>
        <w:rPr>
          <w:snapToGrid w:val="0"/>
        </w:rPr>
      </w:pPr>
      <w:r>
        <w:rPr>
          <w:snapToGrid w:val="0"/>
        </w:rPr>
        <w:t>[Heading inserted in Gazette 23 May 1960 p. 1400</w:t>
      </w:r>
      <w:r>
        <w:rPr>
          <w:snapToGrid w:val="0"/>
        </w:rPr>
        <w:noBreakHyphen/>
        <w:t xml:space="preserve">1.] </w:t>
      </w:r>
    </w:p>
    <w:p>
      <w:pPr>
        <w:pStyle w:val="Heading5"/>
        <w:rPr>
          <w:snapToGrid w:val="0"/>
        </w:rPr>
      </w:pPr>
      <w:bookmarkStart w:id="127" w:name="_Toc390077152"/>
      <w:r>
        <w:rPr>
          <w:rStyle w:val="CharSectno"/>
        </w:rPr>
        <w:t>110</w:t>
      </w:r>
      <w:r>
        <w:rPr>
          <w:snapToGrid w:val="0"/>
        </w:rPr>
        <w:t>.</w:t>
      </w:r>
      <w:r>
        <w:rPr>
          <w:snapToGrid w:val="0"/>
        </w:rPr>
        <w:tab/>
        <w:t>Measuring instruments generally</w:t>
      </w:r>
      <w:bookmarkEnd w:id="127"/>
    </w:p>
    <w:p>
      <w:pPr>
        <w:pStyle w:val="Subsection"/>
        <w:rPr>
          <w:snapToGrid w:val="0"/>
        </w:rPr>
      </w:pPr>
      <w:r>
        <w:rPr>
          <w:snapToGrid w:val="0"/>
        </w:rPr>
        <w:tab/>
        <w:t>(1)</w:t>
      </w:r>
      <w:r>
        <w:rPr>
          <w:snapToGrid w:val="0"/>
        </w:rPr>
        <w:tab/>
        <w:t>A measuring instrument — </w:t>
      </w:r>
    </w:p>
    <w:p>
      <w:pPr>
        <w:pStyle w:val="Indenta"/>
        <w:rPr>
          <w:snapToGrid w:val="0"/>
        </w:rPr>
      </w:pPr>
      <w:r>
        <w:rPr>
          <w:snapToGrid w:val="0"/>
        </w:rPr>
        <w:tab/>
        <w:t>(a)</w:t>
      </w:r>
      <w:r>
        <w:rPr>
          <w:snapToGrid w:val="0"/>
        </w:rPr>
        <w:tab/>
        <w:t>shall have its capacity, and capacity maximum and minimum rates of flow, and maximum operating pressure per square inch or other similar terms, as the case may require, plainly and legibly cast, stamped, or engraved on some prominent and essential part of the measuring instrument in the following form, for example —</w:t>
      </w:r>
    </w:p>
    <w:p>
      <w:pPr>
        <w:pStyle w:val="MiscellaneousBody"/>
        <w:spacing w:before="80"/>
        <w:ind w:left="1650"/>
        <w:rPr>
          <w:snapToGrid w:val="0"/>
        </w:rPr>
      </w:pPr>
      <w:r>
        <w:rPr>
          <w:snapToGrid w:val="0"/>
        </w:rPr>
        <w:t>“Capacity ............................... gallons,” or</w:t>
      </w:r>
    </w:p>
    <w:p>
      <w:pPr>
        <w:pStyle w:val="MiscellaneousBody"/>
        <w:spacing w:before="80"/>
        <w:ind w:left="2127" w:hanging="477"/>
        <w:rPr>
          <w:snapToGrid w:val="0"/>
        </w:rPr>
      </w:pPr>
      <w:r>
        <w:rPr>
          <w:snapToGrid w:val="0"/>
        </w:rPr>
        <w:t xml:space="preserve">“Capacity ............................... gallons, </w:t>
      </w:r>
      <w:r>
        <w:rPr>
          <w:snapToGrid w:val="0"/>
        </w:rPr>
        <w:br/>
        <w:t>maximum rate of flow ............................. g.p.m., maximum pressure ............................. lb. per square inch”;</w:t>
      </w:r>
    </w:p>
    <w:p>
      <w:pPr>
        <w:pStyle w:val="Indenta"/>
        <w:rPr>
          <w:snapToGrid w:val="0"/>
        </w:rPr>
      </w:pPr>
      <w:r>
        <w:rPr>
          <w:snapToGrid w:val="0"/>
        </w:rPr>
        <w:tab/>
        <w:t>(b)</w:t>
      </w:r>
      <w:r>
        <w:rPr>
          <w:snapToGrid w:val="0"/>
        </w:rPr>
        <w:tab/>
        <w:t>shall have the maker’s name plainly and legibly cast, stamped, or engraved, or otherwise marked thereon in a manner approved by the Chief Inspector, but where all essential parts of the instrument are enclosed in a casing or other enclosing device the pattern and consecutive number shall be marked on the outside of the casing, or other enclosing device, in a suitable position, in addition to such marking on an essential part thereof;</w:t>
      </w:r>
    </w:p>
    <w:p>
      <w:pPr>
        <w:pStyle w:val="Indenta"/>
        <w:rPr>
          <w:snapToGrid w:val="0"/>
        </w:rPr>
      </w:pPr>
      <w:r>
        <w:rPr>
          <w:snapToGrid w:val="0"/>
        </w:rPr>
        <w:tab/>
        <w:t>(c)</w:t>
      </w:r>
      <w:r>
        <w:rPr>
          <w:snapToGrid w:val="0"/>
        </w:rPr>
        <w:tab/>
        <w:t>shall have the maker’s consecutive and pattern number legibly cast, stamped, or engraved on a prominent and essential part;</w:t>
      </w:r>
    </w:p>
    <w:p>
      <w:pPr>
        <w:pStyle w:val="Indenta"/>
        <w:rPr>
          <w:snapToGrid w:val="0"/>
        </w:rPr>
      </w:pPr>
      <w:r>
        <w:rPr>
          <w:snapToGrid w:val="0"/>
        </w:rPr>
        <w:tab/>
        <w:t>(d)</w:t>
      </w:r>
      <w:r>
        <w:rPr>
          <w:snapToGrid w:val="0"/>
        </w:rPr>
        <w:tab/>
        <w:t>may have the stamping or engraving required by subregulations (a), (b) or (c) stamped or engraved as the case may be on a metal plate suitably secured by driven screws of hard steel to the measuring instrument;</w:t>
      </w:r>
    </w:p>
    <w:p>
      <w:pPr>
        <w:pStyle w:val="Indenta"/>
        <w:rPr>
          <w:snapToGrid w:val="0"/>
        </w:rPr>
      </w:pPr>
      <w:r>
        <w:rPr>
          <w:snapToGrid w:val="0"/>
        </w:rPr>
        <w:tab/>
        <w:t>(e)</w:t>
      </w:r>
      <w:r>
        <w:rPr>
          <w:snapToGrid w:val="0"/>
        </w:rPr>
        <w:tab/>
        <w:t>shall have a stamping plug of soft lead which — </w:t>
      </w:r>
    </w:p>
    <w:p>
      <w:pPr>
        <w:pStyle w:val="Indenti"/>
        <w:rPr>
          <w:snapToGrid w:val="0"/>
        </w:rPr>
      </w:pPr>
      <w:r>
        <w:rPr>
          <w:snapToGrid w:val="0"/>
        </w:rPr>
        <w:tab/>
        <w:t>(i)</w:t>
      </w:r>
      <w:r>
        <w:rPr>
          <w:snapToGrid w:val="0"/>
        </w:rPr>
        <w:tab/>
        <w:t xml:space="preserve">shall be not less than </w:t>
      </w:r>
      <w:r>
        <w:rPr>
          <w:sz w:val="18"/>
          <w:vertAlign w:val="superscript"/>
        </w:rPr>
        <w:t>5</w:t>
      </w:r>
      <w:r>
        <w:rPr>
          <w:sz w:val="18"/>
        </w:rPr>
        <w:t>/</w:t>
      </w:r>
      <w:r>
        <w:rPr>
          <w:sz w:val="18"/>
          <w:vertAlign w:val="subscript"/>
        </w:rPr>
        <w:t>8 </w:t>
      </w:r>
      <w:r>
        <w:rPr>
          <w:snapToGrid w:val="0"/>
        </w:rPr>
        <w:t>in. in diameter;</w:t>
      </w:r>
    </w:p>
    <w:p>
      <w:pPr>
        <w:pStyle w:val="Indenti"/>
        <w:rPr>
          <w:snapToGrid w:val="0"/>
        </w:rPr>
      </w:pPr>
      <w:r>
        <w:rPr>
          <w:snapToGrid w:val="0"/>
        </w:rPr>
        <w:tab/>
        <w:t>(ii)</w:t>
      </w:r>
      <w:r>
        <w:rPr>
          <w:snapToGrid w:val="0"/>
        </w:rPr>
        <w:tab/>
        <w:t>shall be securely and firmly set down in an undercut hole below the surface of such hole; and</w:t>
      </w:r>
    </w:p>
    <w:p>
      <w:pPr>
        <w:pStyle w:val="Indenti"/>
        <w:rPr>
          <w:snapToGrid w:val="0"/>
        </w:rPr>
      </w:pPr>
      <w:r>
        <w:rPr>
          <w:snapToGrid w:val="0"/>
        </w:rPr>
        <w:tab/>
        <w:t>(iii)</w:t>
      </w:r>
      <w:r>
        <w:rPr>
          <w:snapToGrid w:val="0"/>
        </w:rPr>
        <w:tab/>
        <w:t>shall have a clean and even surface;</w:t>
      </w:r>
    </w:p>
    <w:p>
      <w:pPr>
        <w:pStyle w:val="Indenta"/>
        <w:rPr>
          <w:snapToGrid w:val="0"/>
        </w:rPr>
      </w:pPr>
      <w:r>
        <w:rPr>
          <w:snapToGrid w:val="0"/>
        </w:rPr>
        <w:tab/>
        <w:t>(f)</w:t>
      </w:r>
      <w:r>
        <w:rPr>
          <w:snapToGrid w:val="0"/>
        </w:rPr>
        <w:tab/>
        <w:t>shall have any indicating finger finely pointed;</w:t>
      </w:r>
    </w:p>
    <w:p>
      <w:pPr>
        <w:pStyle w:val="Indenta"/>
        <w:rPr>
          <w:snapToGrid w:val="0"/>
        </w:rPr>
      </w:pPr>
      <w:r>
        <w:rPr>
          <w:snapToGrid w:val="0"/>
        </w:rPr>
        <w:tab/>
        <w:t>(g)</w:t>
      </w:r>
      <w:r>
        <w:rPr>
          <w:snapToGrid w:val="0"/>
        </w:rPr>
        <w:tab/>
        <w:t>shall be correct within the tolerance for error which applies to that instrument and the following conditions as to testing the instrument apply — </w:t>
      </w:r>
    </w:p>
    <w:p>
      <w:pPr>
        <w:pStyle w:val="Indenti"/>
        <w:rPr>
          <w:snapToGrid w:val="0"/>
        </w:rPr>
      </w:pPr>
      <w:r>
        <w:rPr>
          <w:snapToGrid w:val="0"/>
        </w:rPr>
        <w:tab/>
        <w:t>(i)</w:t>
      </w:r>
      <w:r>
        <w:rPr>
          <w:snapToGrid w:val="0"/>
        </w:rPr>
        <w:tab/>
        <w:t xml:space="preserve">fixed instruments shall be tested </w:t>
      </w:r>
      <w:r>
        <w:rPr>
          <w:i/>
          <w:snapToGrid w:val="0"/>
        </w:rPr>
        <w:t>in situ</w:t>
      </w:r>
      <w:r>
        <w:rPr>
          <w:snapToGrid w:val="0"/>
        </w:rPr>
        <w:t>;</w:t>
      </w:r>
    </w:p>
    <w:p>
      <w:pPr>
        <w:pStyle w:val="Indenti"/>
        <w:rPr>
          <w:snapToGrid w:val="0"/>
        </w:rPr>
      </w:pPr>
      <w:r>
        <w:rPr>
          <w:snapToGrid w:val="0"/>
        </w:rPr>
        <w:tab/>
        <w:t>(ii)</w:t>
      </w:r>
      <w:r>
        <w:rPr>
          <w:snapToGrid w:val="0"/>
        </w:rPr>
        <w:tab/>
        <w:t>movable instruments provided with a base shall be tested on a level plane, or as near as practicable thereto, and such instruments shall be so constructed as to stand evenly on a level surface; and</w:t>
      </w:r>
    </w:p>
    <w:p>
      <w:pPr>
        <w:pStyle w:val="Indenti"/>
        <w:rPr>
          <w:snapToGrid w:val="0"/>
        </w:rPr>
      </w:pPr>
      <w:r>
        <w:rPr>
          <w:snapToGrid w:val="0"/>
        </w:rPr>
        <w:tab/>
        <w:t>(iii)</w:t>
      </w:r>
      <w:r>
        <w:rPr>
          <w:snapToGrid w:val="0"/>
        </w:rPr>
        <w:tab/>
        <w:t>on instruments tested at less than full capacity, the permissible error shall be as specified for a similar instrument of the capacity at which the test is made;</w:t>
      </w:r>
    </w:p>
    <w:p>
      <w:pPr>
        <w:pStyle w:val="Indenta"/>
        <w:rPr>
          <w:snapToGrid w:val="0"/>
        </w:rPr>
      </w:pPr>
      <w:r>
        <w:rPr>
          <w:snapToGrid w:val="0"/>
        </w:rPr>
        <w:tab/>
        <w:t>(h)</w:t>
      </w:r>
      <w:r>
        <w:rPr>
          <w:snapToGrid w:val="0"/>
        </w:rPr>
        <w:tab/>
        <w:t>shall have suitable means provided for securely sealing any adjusting device; and</w:t>
      </w:r>
    </w:p>
    <w:p>
      <w:pPr>
        <w:pStyle w:val="Indenta"/>
        <w:rPr>
          <w:snapToGrid w:val="0"/>
        </w:rPr>
      </w:pPr>
      <w:r>
        <w:rPr>
          <w:snapToGrid w:val="0"/>
        </w:rPr>
        <w:tab/>
        <w:t>(i)</w:t>
      </w:r>
      <w:r>
        <w:rPr>
          <w:snapToGrid w:val="0"/>
        </w:rPr>
        <w:tab/>
        <w:t>shall have any stamp, mark, or seal mark so positioned that it may readily be inspected, without the necessity of removing any casing or other enclosing device.</w:t>
      </w:r>
    </w:p>
    <w:p>
      <w:pPr>
        <w:pStyle w:val="Subsection"/>
        <w:rPr>
          <w:snapToGrid w:val="0"/>
        </w:rPr>
      </w:pPr>
      <w:r>
        <w:rPr>
          <w:snapToGrid w:val="0"/>
        </w:rPr>
        <w:tab/>
        <w:t>(2)</w:t>
      </w:r>
      <w:r>
        <w:rPr>
          <w:snapToGrid w:val="0"/>
        </w:rPr>
        <w:tab/>
        <w:t>The provisions of subregulation (1)(a) do not apply to an instrument which has a dial or other similar indicating device which clearly shows the capacity and capacity maximum and minimum rates of flow, and maximum operating pressure per square inch and other similar terms, as the case requires.</w:t>
      </w:r>
    </w:p>
    <w:p>
      <w:pPr>
        <w:pStyle w:val="Footnotesection"/>
      </w:pPr>
      <w:r>
        <w:tab/>
        <w:t>[Regulation 110 inserted in Gazette 23 May 1960 p. 1400</w:t>
      </w:r>
      <w:r>
        <w:noBreakHyphen/>
        <w:t xml:space="preserve">1; amended in Gazette 9 Sep 1968 p. 2743; 31 Aug 1984 p. 2829.] </w:t>
      </w:r>
    </w:p>
    <w:p>
      <w:pPr>
        <w:pStyle w:val="Heading5"/>
        <w:rPr>
          <w:snapToGrid w:val="0"/>
        </w:rPr>
      </w:pPr>
      <w:bookmarkStart w:id="128" w:name="_Toc390077153"/>
      <w:r>
        <w:rPr>
          <w:rStyle w:val="CharSectno"/>
        </w:rPr>
        <w:t>110A</w:t>
      </w:r>
      <w:r>
        <w:rPr>
          <w:snapToGrid w:val="0"/>
        </w:rPr>
        <w:t>.</w:t>
      </w:r>
      <w:r>
        <w:rPr>
          <w:snapToGrid w:val="0"/>
        </w:rPr>
        <w:tab/>
        <w:t>Measuring instruments used for trade</w:t>
      </w:r>
      <w:bookmarkEnd w:id="128"/>
    </w:p>
    <w:p>
      <w:pPr>
        <w:pStyle w:val="Indenta"/>
        <w:tabs>
          <w:tab w:val="right" w:pos="595"/>
        </w:tabs>
        <w:spacing w:before="160"/>
        <w:rPr>
          <w:snapToGrid w:val="0"/>
        </w:rPr>
      </w:pPr>
      <w:r>
        <w:rPr>
          <w:snapToGrid w:val="0"/>
        </w:rPr>
        <w:tab/>
        <w:t>(1)</w:t>
      </w:r>
      <w:r>
        <w:rPr>
          <w:snapToGrid w:val="0"/>
        </w:rPr>
        <w:tab/>
        <w:t>(a)</w:t>
      </w:r>
      <w:r>
        <w:rPr>
          <w:snapToGrid w:val="0"/>
        </w:rPr>
        <w:tab/>
        <w:t>Any measuring instrument used for trade for the purpose of measuring more than one kind of article or liquid shall be verified for each kind of article or liquid for which it is, or is intended to be used to measure.</w:t>
      </w:r>
    </w:p>
    <w:p>
      <w:pPr>
        <w:pStyle w:val="Indenta"/>
        <w:rPr>
          <w:snapToGrid w:val="0"/>
        </w:rPr>
      </w:pPr>
      <w:r>
        <w:rPr>
          <w:snapToGrid w:val="0"/>
        </w:rPr>
        <w:tab/>
        <w:t>(b)</w:t>
      </w:r>
      <w:r>
        <w:rPr>
          <w:snapToGrid w:val="0"/>
        </w:rPr>
        <w:tab/>
        <w:t>The prescribed fee for a verification test shall be charged for each and every verification test for each kind of article or liquid.</w:t>
      </w:r>
    </w:p>
    <w:p>
      <w:pPr>
        <w:pStyle w:val="Subsection"/>
        <w:rPr>
          <w:snapToGrid w:val="0"/>
        </w:rPr>
      </w:pPr>
      <w:r>
        <w:rPr>
          <w:snapToGrid w:val="0"/>
        </w:rPr>
        <w:tab/>
        <w:t>(2)</w:t>
      </w:r>
      <w:r>
        <w:rPr>
          <w:snapToGrid w:val="0"/>
        </w:rPr>
        <w:tab/>
        <w:t>Where, in the opinion of the inspector, it is unnecessary to carry out more than a single verification test to ascertain the accuracy of the instrument for each and every kind of article or liquid to be passed through or contained therein for measurement, one test and one fee only shall be charged.</w:t>
      </w:r>
    </w:p>
    <w:p>
      <w:pPr>
        <w:pStyle w:val="Subsection"/>
        <w:rPr>
          <w:snapToGrid w:val="0"/>
        </w:rPr>
      </w:pPr>
      <w:r>
        <w:rPr>
          <w:snapToGrid w:val="0"/>
        </w:rPr>
        <w:tab/>
        <w:t>(3)</w:t>
      </w:r>
      <w:r>
        <w:rPr>
          <w:snapToGrid w:val="0"/>
        </w:rPr>
        <w:tab/>
        <w:t>A measuring instrument shall be clearly marked with the class of article or liquid for which its use is approved.</w:t>
      </w:r>
    </w:p>
    <w:p>
      <w:pPr>
        <w:pStyle w:val="Footnotesection"/>
      </w:pPr>
      <w:r>
        <w:tab/>
        <w:t>[Regulation 110A inserted in Gazette 23 May 1960 p. 1401</w:t>
      </w:r>
      <w:r>
        <w:noBreakHyphen/>
        <w:t xml:space="preserve">2.] </w:t>
      </w:r>
    </w:p>
    <w:p>
      <w:pPr>
        <w:pStyle w:val="Heading5"/>
        <w:rPr>
          <w:snapToGrid w:val="0"/>
        </w:rPr>
      </w:pPr>
      <w:bookmarkStart w:id="129" w:name="_Toc390077154"/>
      <w:r>
        <w:rPr>
          <w:rStyle w:val="CharSectno"/>
        </w:rPr>
        <w:t>110B</w:t>
      </w:r>
      <w:r>
        <w:rPr>
          <w:snapToGrid w:val="0"/>
        </w:rPr>
        <w:t>.</w:t>
      </w:r>
      <w:r>
        <w:rPr>
          <w:snapToGrid w:val="0"/>
        </w:rPr>
        <w:tab/>
        <w:t>Measuring instruments subject to disturbances etc.</w:t>
      </w:r>
      <w:bookmarkEnd w:id="129"/>
    </w:p>
    <w:p>
      <w:pPr>
        <w:pStyle w:val="Subsection"/>
        <w:rPr>
          <w:snapToGrid w:val="0"/>
        </w:rPr>
      </w:pPr>
      <w:r>
        <w:rPr>
          <w:snapToGrid w:val="0"/>
        </w:rPr>
        <w:tab/>
        <w:t>(1)</w:t>
      </w:r>
      <w:r>
        <w:rPr>
          <w:snapToGrid w:val="0"/>
        </w:rPr>
        <w:tab/>
        <w:t>When a measuring instrument is situated or installed in a position exposed to any disturbing influences, or put to a use, the nature of which is such, that the instrument is likely to become affected by water, dust, or debris and its accuracy seriously affected thereby, an inspector may refuse to stamp the instrument until it, or its installation, is suitably enclosed or protected from the disturbing influence, water, dust or debris.</w:t>
      </w:r>
    </w:p>
    <w:p>
      <w:pPr>
        <w:pStyle w:val="Subsection"/>
        <w:rPr>
          <w:snapToGrid w:val="0"/>
        </w:rPr>
      </w:pPr>
      <w:r>
        <w:rPr>
          <w:snapToGrid w:val="0"/>
        </w:rPr>
        <w:tab/>
        <w:t>(2)</w:t>
      </w:r>
      <w:r>
        <w:rPr>
          <w:snapToGrid w:val="0"/>
        </w:rPr>
        <w:tab/>
        <w:t>An inspector may refuse to stamp an instrument which, owing to faulty installation or similar faults, or which will be subject in ordinary use to altered conditions of use either by the effect on it of water, dust debris, or any disturbing influence, if, in his opinion, those altered conditions will seriously affect its accuracy.</w:t>
      </w:r>
    </w:p>
    <w:p>
      <w:pPr>
        <w:pStyle w:val="Footnotesection"/>
      </w:pPr>
      <w:r>
        <w:tab/>
        <w:t xml:space="preserve">[Regulation 110B inserted in Gazette 23 May 1960 p. 1402.] </w:t>
      </w:r>
    </w:p>
    <w:p>
      <w:pPr>
        <w:pStyle w:val="Heading5"/>
        <w:rPr>
          <w:snapToGrid w:val="0"/>
        </w:rPr>
      </w:pPr>
      <w:bookmarkStart w:id="130" w:name="_Toc390077155"/>
      <w:r>
        <w:rPr>
          <w:rStyle w:val="CharSectno"/>
        </w:rPr>
        <w:t>110C</w:t>
      </w:r>
      <w:r>
        <w:rPr>
          <w:snapToGrid w:val="0"/>
        </w:rPr>
        <w:t>.</w:t>
      </w:r>
      <w:r>
        <w:rPr>
          <w:snapToGrid w:val="0"/>
        </w:rPr>
        <w:tab/>
        <w:t>Measuring instruments to be of approved type</w:t>
      </w:r>
      <w:bookmarkEnd w:id="130"/>
    </w:p>
    <w:p>
      <w:pPr>
        <w:pStyle w:val="Subsection"/>
        <w:rPr>
          <w:snapToGrid w:val="0"/>
        </w:rPr>
      </w:pPr>
      <w:r>
        <w:rPr>
          <w:snapToGrid w:val="0"/>
        </w:rPr>
        <w:tab/>
      </w:r>
      <w:r>
        <w:rPr>
          <w:snapToGrid w:val="0"/>
        </w:rPr>
        <w:tab/>
        <w:t>A measuring instrument shall be of a type approved by the Chief Inspector under regulation 5 of Part IV and constructed in accordance with drawings and specifications relating thereto deposited in the Weights and Measures Office</w:t>
      </w:r>
      <w:r>
        <w:rPr>
          <w:snapToGrid w:val="0"/>
          <w:vertAlign w:val="superscript"/>
        </w:rPr>
        <w:t> 2</w:t>
      </w:r>
      <w:r>
        <w:rPr>
          <w:snapToGrid w:val="0"/>
        </w:rPr>
        <w:t>, but minor variations, if clearly in the nature of improvements and not contrary to the regulations, may be permitted.</w:t>
      </w:r>
    </w:p>
    <w:p>
      <w:pPr>
        <w:pStyle w:val="Footnotesection"/>
      </w:pPr>
      <w:r>
        <w:tab/>
        <w:t xml:space="preserve">[Regulation 110C inserted in Gazette 23 May 1960 p. 1402; amended in Gazette 9 Sep 1968 p. 2743; 31 Aug 1984 p. 2829.] </w:t>
      </w:r>
    </w:p>
    <w:p>
      <w:pPr>
        <w:pStyle w:val="MiscellaneousHeading"/>
        <w:spacing w:before="240"/>
        <w:outlineLvl w:val="0"/>
        <w:rPr>
          <w:b/>
          <w:snapToGrid w:val="0"/>
        </w:rPr>
      </w:pPr>
      <w:r>
        <w:rPr>
          <w:b/>
          <w:snapToGrid w:val="0"/>
        </w:rPr>
        <w:t>Miscellaneous measuring instruments</w:t>
      </w:r>
    </w:p>
    <w:p>
      <w:pPr>
        <w:pStyle w:val="Heading5"/>
        <w:rPr>
          <w:snapToGrid w:val="0"/>
        </w:rPr>
      </w:pPr>
      <w:bookmarkStart w:id="131" w:name="_Toc390077156"/>
      <w:r>
        <w:rPr>
          <w:rStyle w:val="CharSectno"/>
        </w:rPr>
        <w:t>110D</w:t>
      </w:r>
      <w:r>
        <w:rPr>
          <w:snapToGrid w:val="0"/>
        </w:rPr>
        <w:t>.</w:t>
      </w:r>
      <w:r>
        <w:rPr>
          <w:snapToGrid w:val="0"/>
        </w:rPr>
        <w:tab/>
        <w:t>Miscellaneous measuring instruments</w:t>
      </w:r>
      <w:bookmarkEnd w:id="131"/>
    </w:p>
    <w:p>
      <w:pPr>
        <w:pStyle w:val="Subsection"/>
        <w:rPr>
          <w:snapToGrid w:val="0"/>
        </w:rPr>
      </w:pPr>
      <w:r>
        <w:rPr>
          <w:snapToGrid w:val="0"/>
        </w:rPr>
        <w:tab/>
        <w:t>(1)</w:t>
      </w:r>
      <w:r>
        <w:rPr>
          <w:snapToGrid w:val="0"/>
        </w:rPr>
        <w:tab/>
        <w:t>A measuring instrument of a type not particularised in these regulations shall comply with the regulations relating to the type to which it most closely approximates, having regard to its design and construction and the purposes for which it is commonly used.</w:t>
      </w:r>
    </w:p>
    <w:p>
      <w:pPr>
        <w:pStyle w:val="Subsection"/>
        <w:rPr>
          <w:snapToGrid w:val="0"/>
        </w:rPr>
      </w:pPr>
      <w:r>
        <w:rPr>
          <w:snapToGrid w:val="0"/>
        </w:rPr>
        <w:tab/>
        <w:t>(2)</w:t>
      </w:r>
      <w:r>
        <w:rPr>
          <w:snapToGrid w:val="0"/>
        </w:rPr>
        <w:tab/>
        <w:t>The Chief Inspector may in his discretion allow a tolerance for error equal to double that prescribed for the type of instrument to which it most closely approximates, if in his opinion that additional tolerance is reasonable.</w:t>
      </w:r>
    </w:p>
    <w:p>
      <w:pPr>
        <w:pStyle w:val="Footnotesection"/>
      </w:pPr>
      <w:r>
        <w:tab/>
        <w:t xml:space="preserve">[Regulation 110D inserted in Gazette 23 May 1960 p. 1402; amended in Gazette 9 Sep 1968 p. 2743; 31 Aug 1984 p. 2829.] </w:t>
      </w:r>
    </w:p>
    <w:p>
      <w:pPr>
        <w:pStyle w:val="MiscellaneousHeading"/>
        <w:spacing w:before="240"/>
        <w:outlineLvl w:val="0"/>
        <w:rPr>
          <w:b/>
          <w:snapToGrid w:val="0"/>
        </w:rPr>
      </w:pPr>
      <w:r>
        <w:rPr>
          <w:b/>
          <w:snapToGrid w:val="0"/>
        </w:rPr>
        <w:t xml:space="preserve">Petrol measuring instruments </w:t>
      </w:r>
    </w:p>
    <w:p>
      <w:pPr>
        <w:pStyle w:val="Heading5"/>
        <w:rPr>
          <w:snapToGrid w:val="0"/>
        </w:rPr>
      </w:pPr>
      <w:bookmarkStart w:id="132" w:name="_Toc390077157"/>
      <w:r>
        <w:rPr>
          <w:rStyle w:val="CharSectno"/>
        </w:rPr>
        <w:t>111</w:t>
      </w:r>
      <w:r>
        <w:rPr>
          <w:snapToGrid w:val="0"/>
        </w:rPr>
        <w:t>.</w:t>
      </w:r>
      <w:r>
        <w:rPr>
          <w:snapToGrid w:val="0"/>
        </w:rPr>
        <w:tab/>
        <w:t>Petrol measuring instruments</w:t>
      </w:r>
      <w:bookmarkEnd w:id="132"/>
    </w:p>
    <w:p>
      <w:pPr>
        <w:pStyle w:val="Subsection"/>
        <w:rPr>
          <w:snapToGrid w:val="0"/>
        </w:rPr>
      </w:pPr>
      <w:r>
        <w:rPr>
          <w:snapToGrid w:val="0"/>
        </w:rPr>
        <w:tab/>
      </w:r>
      <w:r>
        <w:rPr>
          <w:snapToGrid w:val="0"/>
        </w:rPr>
        <w:tab/>
        <w:t>Subject as hereinafter provided, fixed manual petrol measuring instruments shall — </w:t>
      </w:r>
    </w:p>
    <w:p>
      <w:pPr>
        <w:pStyle w:val="Indenta"/>
        <w:rPr>
          <w:snapToGrid w:val="0"/>
        </w:rPr>
      </w:pPr>
      <w:r>
        <w:rPr>
          <w:snapToGrid w:val="0"/>
        </w:rPr>
        <w:tab/>
        <w:t>(a)</w:t>
      </w:r>
      <w:r>
        <w:rPr>
          <w:snapToGrid w:val="0"/>
        </w:rPr>
        <w:tab/>
        <w:t>be firmly set on a solid foundation such as a cement block of a size and shape approved by the Chief Inspector, and shall be bolted or otherwise secured thereto in a manner approved by the Chief Inspector, and the instrument as a whole shall be stable and rigid;</w:t>
      </w:r>
    </w:p>
    <w:p>
      <w:pPr>
        <w:pStyle w:val="Indenta"/>
        <w:rPr>
          <w:snapToGrid w:val="0"/>
        </w:rPr>
      </w:pPr>
      <w:r>
        <w:rPr>
          <w:snapToGrid w:val="0"/>
        </w:rPr>
        <w:tab/>
        <w:t>(b)</w:t>
      </w:r>
      <w:r>
        <w:rPr>
          <w:snapToGrid w:val="0"/>
        </w:rPr>
        <w:tab/>
        <w:t>have the highest graduation line not more than 7 feet 6 inches above the floor, footpath or roadway on which such instrument is set;</w:t>
      </w:r>
    </w:p>
    <w:p>
      <w:pPr>
        <w:pStyle w:val="Indenta"/>
        <w:rPr>
          <w:snapToGrid w:val="0"/>
        </w:rPr>
      </w:pPr>
      <w:r>
        <w:rPr>
          <w:snapToGrid w:val="0"/>
        </w:rPr>
        <w:tab/>
        <w:t>(c)</w:t>
      </w:r>
      <w:r>
        <w:rPr>
          <w:snapToGrid w:val="0"/>
        </w:rPr>
        <w:tab/>
        <w:t>be so constructed that the overflow, if any, and the discharge shall act quickly and definitely and without a prolonged dribble;</w:t>
      </w:r>
    </w:p>
    <w:p>
      <w:pPr>
        <w:pStyle w:val="Indenta"/>
        <w:rPr>
          <w:snapToGrid w:val="0"/>
        </w:rPr>
      </w:pPr>
      <w:r>
        <w:rPr>
          <w:snapToGrid w:val="0"/>
        </w:rPr>
        <w:tab/>
        <w:t>(d)</w:t>
      </w:r>
      <w:r>
        <w:rPr>
          <w:snapToGrid w:val="0"/>
        </w:rPr>
        <w:tab/>
        <w:t>have any delivery hose of a type approved by the Chief Inspector, and not exceeding 10 feet 6 inches in length, including the nozzle;</w:t>
      </w:r>
    </w:p>
    <w:p>
      <w:pPr>
        <w:pStyle w:val="Indenta"/>
        <w:rPr>
          <w:snapToGrid w:val="0"/>
        </w:rPr>
      </w:pPr>
      <w:r>
        <w:rPr>
          <w:snapToGrid w:val="0"/>
        </w:rPr>
        <w:tab/>
        <w:t>(e)</w:t>
      </w:r>
      <w:r>
        <w:rPr>
          <w:snapToGrid w:val="0"/>
        </w:rPr>
        <w:tab/>
        <w:t>where electric light is available be fitted with such light in such a manner as to fully illuminate the instrument:</w:t>
      </w:r>
    </w:p>
    <w:p>
      <w:pPr>
        <w:pStyle w:val="Subsection"/>
        <w:spacing w:before="140"/>
        <w:rPr>
          <w:snapToGrid w:val="0"/>
        </w:rPr>
      </w:pPr>
      <w:r>
        <w:rPr>
          <w:snapToGrid w:val="0"/>
        </w:rPr>
        <w:tab/>
      </w:r>
      <w:r>
        <w:rPr>
          <w:snapToGrid w:val="0"/>
        </w:rPr>
        <w:tab/>
        <w:t>Provided that paragraph (b) shall not apply to petrol pumps erected before 1 July 1927.</w:t>
      </w:r>
    </w:p>
    <w:p>
      <w:pPr>
        <w:pStyle w:val="Subsection"/>
        <w:spacing w:before="140"/>
        <w:rPr>
          <w:snapToGrid w:val="0"/>
        </w:rPr>
      </w:pPr>
      <w:r>
        <w:rPr>
          <w:snapToGrid w:val="0"/>
        </w:rPr>
        <w:tab/>
      </w:r>
      <w:r>
        <w:rPr>
          <w:snapToGrid w:val="0"/>
        </w:rPr>
        <w:tab/>
        <w:t>Provided further, that paragraphs (b) and (d) shall not apply to measuring instruments used exclusively for supplying aircraft, but in lieu thereof the said instruments shall be subject to the following conditions — </w:t>
      </w:r>
    </w:p>
    <w:p>
      <w:pPr>
        <w:pStyle w:val="Indenta"/>
        <w:rPr>
          <w:snapToGrid w:val="0"/>
        </w:rPr>
      </w:pPr>
      <w:r>
        <w:rPr>
          <w:snapToGrid w:val="0"/>
        </w:rPr>
        <w:tab/>
        <w:t>(i)</w:t>
      </w:r>
      <w:r>
        <w:rPr>
          <w:snapToGrid w:val="0"/>
        </w:rPr>
        <w:tab/>
        <w:t>the highest graduation line shall be not more than 20 feet from the ground</w:t>
      </w:r>
      <w:r>
        <w:rPr>
          <w:snapToGrid w:val="0"/>
        </w:rPr>
        <w:noBreakHyphen/>
        <w:t>level on which the instrument is set;</w:t>
      </w:r>
    </w:p>
    <w:p>
      <w:pPr>
        <w:pStyle w:val="Indenta"/>
        <w:rPr>
          <w:snapToGrid w:val="0"/>
        </w:rPr>
      </w:pPr>
      <w:r>
        <w:rPr>
          <w:snapToGrid w:val="0"/>
        </w:rPr>
        <w:tab/>
        <w:t>(ii)</w:t>
      </w:r>
      <w:r>
        <w:rPr>
          <w:snapToGrid w:val="0"/>
        </w:rPr>
        <w:tab/>
        <w:t>the delivery hose shall be of a type approved by the Chief Inspector and not exceeding 18 feet in length including the nozzle.</w:t>
      </w:r>
    </w:p>
    <w:p>
      <w:pPr>
        <w:pStyle w:val="Footnotesection"/>
      </w:pPr>
      <w:r>
        <w:tab/>
        <w:t xml:space="preserve">[Regulation 111 amended in Gazette 14 Oct 1927 p. 2349; 10 Jul 1931 p. 1617; 23 May 1960 p. 1402; 9 Sep 1968 p. 2744; 31 Aug 1984 p. 2829.] </w:t>
      </w:r>
    </w:p>
    <w:p>
      <w:pPr>
        <w:pStyle w:val="Heading5"/>
        <w:rPr>
          <w:snapToGrid w:val="0"/>
        </w:rPr>
      </w:pPr>
      <w:bookmarkStart w:id="133" w:name="_Toc390077158"/>
      <w:r>
        <w:rPr>
          <w:rStyle w:val="CharSectno"/>
        </w:rPr>
        <w:t>112</w:t>
      </w:r>
      <w:r>
        <w:rPr>
          <w:snapToGrid w:val="0"/>
        </w:rPr>
        <w:t>.</w:t>
      </w:r>
      <w:r>
        <w:rPr>
          <w:snapToGrid w:val="0"/>
        </w:rPr>
        <w:tab/>
        <w:t>Manual petrol measuring instruments</w:t>
      </w:r>
      <w:bookmarkEnd w:id="133"/>
    </w:p>
    <w:p>
      <w:pPr>
        <w:pStyle w:val="Subsection"/>
        <w:spacing w:before="140"/>
        <w:rPr>
          <w:snapToGrid w:val="0"/>
        </w:rPr>
      </w:pPr>
      <w:r>
        <w:rPr>
          <w:snapToGrid w:val="0"/>
        </w:rPr>
        <w:tab/>
      </w:r>
      <w:r>
        <w:rPr>
          <w:snapToGrid w:val="0"/>
        </w:rPr>
        <w:tab/>
        <w:t>Subject as hereinafter provided. A manual petrol measuring instrument shall not — </w:t>
      </w:r>
    </w:p>
    <w:p>
      <w:pPr>
        <w:pStyle w:val="Indenta"/>
        <w:rPr>
          <w:snapToGrid w:val="0"/>
        </w:rPr>
      </w:pPr>
      <w:r>
        <w:rPr>
          <w:snapToGrid w:val="0"/>
        </w:rPr>
        <w:tab/>
        <w:t>(a)</w:t>
      </w:r>
      <w:r>
        <w:rPr>
          <w:snapToGrid w:val="0"/>
        </w:rPr>
        <w:tab/>
        <w:t>show any leakage or seepage at any joint, valve, tap, hose connection, or elsewhere;</w:t>
      </w:r>
    </w:p>
    <w:p>
      <w:pPr>
        <w:pStyle w:val="Indenta"/>
        <w:rPr>
          <w:snapToGrid w:val="0"/>
        </w:rPr>
      </w:pPr>
      <w:r>
        <w:rPr>
          <w:snapToGrid w:val="0"/>
        </w:rPr>
        <w:tab/>
        <w:t>(b)</w:t>
      </w:r>
      <w:r>
        <w:rPr>
          <w:snapToGrid w:val="0"/>
        </w:rPr>
        <w:tab/>
        <w:t>be fitted with a hose which shows excessive absorption or is of such construction or so fixed as to cause a prolonged dribble, or which has any tap or cock by which petrol may be retained.</w:t>
      </w:r>
    </w:p>
    <w:p>
      <w:pPr>
        <w:pStyle w:val="Subsection"/>
        <w:spacing w:before="140"/>
        <w:rPr>
          <w:snapToGrid w:val="0"/>
        </w:rPr>
      </w:pPr>
      <w:r>
        <w:rPr>
          <w:snapToGrid w:val="0"/>
        </w:rPr>
        <w:tab/>
      </w:r>
      <w:r>
        <w:rPr>
          <w:snapToGrid w:val="0"/>
        </w:rPr>
        <w:tab/>
        <w:t>Provided that, in the case of petrol measuring instruments used exclusively for supplying aircraft, a valve of a type from time to time approved by the Chief Inspector may be fitted to the delivery hose.</w:t>
      </w:r>
    </w:p>
    <w:p>
      <w:pPr>
        <w:pStyle w:val="Footnotesection"/>
      </w:pPr>
      <w:r>
        <w:tab/>
        <w:t xml:space="preserve">[Regulation 112 amended in Gazette 10 Jul 1931 p. 1617; 23 May 1960 p. 1402; 9 Aug 1968 p. 2744; 31 Aug 1984 p. 2829.] </w:t>
      </w:r>
    </w:p>
    <w:p>
      <w:pPr>
        <w:pStyle w:val="Heading5"/>
        <w:rPr>
          <w:snapToGrid w:val="0"/>
        </w:rPr>
      </w:pPr>
      <w:bookmarkStart w:id="134" w:name="_Toc390077159"/>
      <w:r>
        <w:rPr>
          <w:rStyle w:val="CharSectno"/>
        </w:rPr>
        <w:t>113</w:t>
      </w:r>
      <w:r>
        <w:rPr>
          <w:snapToGrid w:val="0"/>
        </w:rPr>
        <w:t>.</w:t>
      </w:r>
      <w:r>
        <w:rPr>
          <w:snapToGrid w:val="0"/>
        </w:rPr>
        <w:tab/>
        <w:t>Tolerance</w:t>
      </w:r>
      <w:bookmarkEnd w:id="134"/>
    </w:p>
    <w:p>
      <w:pPr>
        <w:pStyle w:val="Subsection"/>
        <w:rPr>
          <w:snapToGrid w:val="0"/>
        </w:rPr>
      </w:pPr>
      <w:r>
        <w:rPr>
          <w:snapToGrid w:val="0"/>
        </w:rPr>
        <w:tab/>
      </w:r>
      <w:r>
        <w:rPr>
          <w:snapToGrid w:val="0"/>
        </w:rPr>
        <w:tab/>
        <w:t>A manual petrol measuring instrument shall be correct within the tolerance in error specified in Table V for cylindrical liquid measures.</w:t>
      </w:r>
    </w:p>
    <w:p>
      <w:pPr>
        <w:pStyle w:val="Footnotesection"/>
      </w:pPr>
      <w:r>
        <w:tab/>
        <w:t>[Regulation 113 amended in Gazette 23 May 1960 p. 1402.]</w:t>
      </w:r>
    </w:p>
    <w:p>
      <w:pPr>
        <w:pStyle w:val="Heading5"/>
        <w:rPr>
          <w:snapToGrid w:val="0"/>
        </w:rPr>
      </w:pPr>
      <w:bookmarkStart w:id="135" w:name="_Toc390077160"/>
      <w:r>
        <w:rPr>
          <w:rStyle w:val="CharSectno"/>
        </w:rPr>
        <w:t>113A</w:t>
      </w:r>
      <w:r>
        <w:rPr>
          <w:snapToGrid w:val="0"/>
        </w:rPr>
        <w:t>.</w:t>
      </w:r>
      <w:r>
        <w:rPr>
          <w:snapToGrid w:val="0"/>
        </w:rPr>
        <w:tab/>
        <w:t>Petrol and kerosene drum</w:t>
      </w:r>
      <w:r>
        <w:rPr>
          <w:snapToGrid w:val="0"/>
        </w:rPr>
        <w:noBreakHyphen/>
        <w:t>filling machines</w:t>
      </w:r>
      <w:bookmarkEnd w:id="135"/>
    </w:p>
    <w:p>
      <w:pPr>
        <w:pStyle w:val="Indenta"/>
        <w:rPr>
          <w:snapToGrid w:val="0"/>
        </w:rPr>
      </w:pPr>
      <w:r>
        <w:rPr>
          <w:snapToGrid w:val="0"/>
        </w:rPr>
        <w:tab/>
        <w:t>(a)</w:t>
      </w:r>
      <w:r>
        <w:rPr>
          <w:snapToGrid w:val="0"/>
        </w:rPr>
        <w:tab/>
        <w:t>Every petrol and kerosene drum</w:t>
      </w:r>
      <w:r>
        <w:rPr>
          <w:snapToGrid w:val="0"/>
        </w:rPr>
        <w:noBreakHyphen/>
        <w:t>filling measuring machine shall — </w:t>
      </w:r>
    </w:p>
    <w:p>
      <w:pPr>
        <w:pStyle w:val="Indenti"/>
        <w:rPr>
          <w:snapToGrid w:val="0"/>
        </w:rPr>
      </w:pPr>
      <w:r>
        <w:rPr>
          <w:snapToGrid w:val="0"/>
        </w:rPr>
        <w:tab/>
        <w:t>(1)</w:t>
      </w:r>
      <w:r>
        <w:rPr>
          <w:snapToGrid w:val="0"/>
        </w:rPr>
        <w:tab/>
        <w:t>have its capacity legibly cast, stamped, or engraved on the container;</w:t>
      </w:r>
    </w:p>
    <w:p>
      <w:pPr>
        <w:pStyle w:val="Indenti"/>
        <w:rPr>
          <w:snapToGrid w:val="0"/>
        </w:rPr>
      </w:pPr>
      <w:r>
        <w:rPr>
          <w:snapToGrid w:val="0"/>
        </w:rPr>
        <w:tab/>
        <w:t>(2)</w:t>
      </w:r>
      <w:r>
        <w:rPr>
          <w:snapToGrid w:val="0"/>
        </w:rPr>
        <w:tab/>
        <w:t>Have the maker’s name and serial number legibly cast, stamped, or engraved on the container;</w:t>
      </w:r>
    </w:p>
    <w:p>
      <w:pPr>
        <w:pStyle w:val="Indenti"/>
        <w:rPr>
          <w:snapToGrid w:val="0"/>
        </w:rPr>
      </w:pPr>
      <w:r>
        <w:rPr>
          <w:snapToGrid w:val="0"/>
        </w:rPr>
        <w:tab/>
        <w:t>(3)</w:t>
      </w:r>
      <w:r>
        <w:rPr>
          <w:snapToGrid w:val="0"/>
        </w:rPr>
        <w:tab/>
        <w:t>be so constructed that the overflow, if any, and the discharge will act quickly and without a prolonged dribble;</w:t>
      </w:r>
    </w:p>
    <w:p>
      <w:pPr>
        <w:pStyle w:val="Indenti"/>
        <w:rPr>
          <w:snapToGrid w:val="0"/>
        </w:rPr>
      </w:pPr>
      <w:r>
        <w:rPr>
          <w:snapToGrid w:val="0"/>
        </w:rPr>
        <w:tab/>
        <w:t>(4)</w:t>
      </w:r>
      <w:r>
        <w:rPr>
          <w:snapToGrid w:val="0"/>
        </w:rPr>
        <w:tab/>
        <w:t>have the fittings and delivery hose of a type designed to give free and ready flow to all petrol from time to time delivered therefrom.</w:t>
      </w:r>
    </w:p>
    <w:p>
      <w:pPr>
        <w:pStyle w:val="Indenta"/>
        <w:rPr>
          <w:snapToGrid w:val="0"/>
        </w:rPr>
      </w:pPr>
      <w:r>
        <w:rPr>
          <w:snapToGrid w:val="0"/>
        </w:rPr>
        <w:tab/>
        <w:t>(b)</w:t>
      </w:r>
      <w:r>
        <w:rPr>
          <w:snapToGrid w:val="0"/>
        </w:rPr>
        <w:tab/>
        <w:t>Such measuring machine shall not — </w:t>
      </w:r>
    </w:p>
    <w:p>
      <w:pPr>
        <w:pStyle w:val="Indenti"/>
        <w:rPr>
          <w:snapToGrid w:val="0"/>
        </w:rPr>
      </w:pPr>
      <w:r>
        <w:rPr>
          <w:snapToGrid w:val="0"/>
        </w:rPr>
        <w:tab/>
        <w:t>(1)</w:t>
      </w:r>
      <w:r>
        <w:rPr>
          <w:snapToGrid w:val="0"/>
        </w:rPr>
        <w:tab/>
        <w:t>show any leakage or seepage at any joint, valve, hose connection, or elsewhere;</w:t>
      </w:r>
    </w:p>
    <w:p>
      <w:pPr>
        <w:pStyle w:val="Indenti"/>
        <w:rPr>
          <w:snapToGrid w:val="0"/>
        </w:rPr>
      </w:pPr>
      <w:r>
        <w:rPr>
          <w:snapToGrid w:val="0"/>
        </w:rPr>
        <w:tab/>
        <w:t>(2)</w:t>
      </w:r>
      <w:r>
        <w:rPr>
          <w:snapToGrid w:val="0"/>
        </w:rPr>
        <w:tab/>
        <w:t>be fitted with a hose which shows excessive absorption, or with a hose which is of such construction or so fixed as to cause a prolonged dribble, or which has any tap or cock by which liquid may be retained.</w:t>
      </w:r>
    </w:p>
    <w:p>
      <w:pPr>
        <w:pStyle w:val="Indenta"/>
        <w:rPr>
          <w:snapToGrid w:val="0"/>
        </w:rPr>
      </w:pPr>
      <w:r>
        <w:rPr>
          <w:snapToGrid w:val="0"/>
        </w:rPr>
        <w:tab/>
        <w:t>(c)</w:t>
      </w:r>
      <w:r>
        <w:rPr>
          <w:snapToGrid w:val="0"/>
        </w:rPr>
        <w:tab/>
        <w:t>Such measuring machine shall be correct within the tolerance in error specified in Table V for cylindrical liquid measures.</w:t>
      </w:r>
    </w:p>
    <w:p>
      <w:pPr>
        <w:pStyle w:val="Footnotesection"/>
      </w:pPr>
      <w:r>
        <w:tab/>
        <w:t xml:space="preserve">[Regulation 113A inserted in Gazette 24 Feb 1950 p. 329; amended in Gazette 23 May 1960 p. 1402.] </w:t>
      </w:r>
    </w:p>
    <w:p>
      <w:pPr>
        <w:pStyle w:val="Heading5"/>
        <w:rPr>
          <w:snapToGrid w:val="0"/>
        </w:rPr>
      </w:pPr>
      <w:bookmarkStart w:id="136" w:name="_Toc390077161"/>
      <w:r>
        <w:rPr>
          <w:rStyle w:val="CharSectno"/>
        </w:rPr>
        <w:t>113B</w:t>
      </w:r>
      <w:r>
        <w:rPr>
          <w:snapToGrid w:val="0"/>
        </w:rPr>
        <w:t>.</w:t>
      </w:r>
      <w:r>
        <w:rPr>
          <w:snapToGrid w:val="0"/>
        </w:rPr>
        <w:tab/>
        <w:t>Wholesale flow meters</w:t>
      </w:r>
      <w:bookmarkEnd w:id="136"/>
    </w:p>
    <w:p>
      <w:pPr>
        <w:pStyle w:val="Subsection"/>
        <w:rPr>
          <w:snapToGrid w:val="0"/>
        </w:rPr>
      </w:pPr>
      <w:r>
        <w:rPr>
          <w:snapToGrid w:val="0"/>
        </w:rPr>
        <w:tab/>
      </w:r>
      <w:r>
        <w:rPr>
          <w:snapToGrid w:val="0"/>
        </w:rPr>
        <w:tab/>
        <w:t>Every wholesale flow meter shall — </w:t>
      </w:r>
    </w:p>
    <w:p>
      <w:pPr>
        <w:pStyle w:val="Indenta"/>
        <w:rPr>
          <w:snapToGrid w:val="0"/>
        </w:rPr>
      </w:pPr>
      <w:r>
        <w:rPr>
          <w:snapToGrid w:val="0"/>
        </w:rPr>
        <w:tab/>
        <w:t>(1)</w:t>
      </w:r>
      <w:r>
        <w:rPr>
          <w:snapToGrid w:val="0"/>
        </w:rPr>
        <w:tab/>
        <w:t>have the maker’s name, serial number and model or type number, legibly cast, stamped or engraved on a prominent part of its body;</w:t>
      </w:r>
    </w:p>
    <w:p>
      <w:pPr>
        <w:pStyle w:val="Indenta"/>
        <w:rPr>
          <w:snapToGrid w:val="0"/>
        </w:rPr>
      </w:pPr>
      <w:r>
        <w:rPr>
          <w:snapToGrid w:val="0"/>
        </w:rPr>
        <w:tab/>
        <w:t>(2)</w:t>
      </w:r>
      <w:r>
        <w:rPr>
          <w:snapToGrid w:val="0"/>
        </w:rPr>
        <w:tab/>
        <w:t>have the maximum discharge rate, the minimum discharge rate and the maximum pressure at which a meter is intended to be used, as fixed by the manufacturer, legibly cast, stamped or engraved on a prominent part of its body. Stamping or engraving on a metal plate suitably secured be driven screws of hard steel will meet the requirements of paragraphs (1) and (2);</w:t>
      </w:r>
    </w:p>
    <w:p>
      <w:pPr>
        <w:pStyle w:val="Indenta"/>
        <w:rPr>
          <w:snapToGrid w:val="0"/>
        </w:rPr>
      </w:pPr>
      <w:r>
        <w:rPr>
          <w:snapToGrid w:val="0"/>
        </w:rPr>
        <w:tab/>
        <w:t>(3)</w:t>
      </w:r>
      <w:r>
        <w:rPr>
          <w:snapToGrid w:val="0"/>
        </w:rPr>
        <w:tab/>
        <w:t>being of such construction that the accuracy is affected by variations in level, be provided with a suitable means of levelling and a suitably affixed spirit level and have the words “Instrument incorrect if not truly level”, clearly and indelibly marked in proximity to such level or in other position approved by the Chief Inspector;</w:t>
      </w:r>
    </w:p>
    <w:p>
      <w:pPr>
        <w:pStyle w:val="Indenta"/>
        <w:rPr>
          <w:snapToGrid w:val="0"/>
        </w:rPr>
      </w:pPr>
      <w:r>
        <w:rPr>
          <w:snapToGrid w:val="0"/>
        </w:rPr>
        <w:tab/>
        <w:t>(4)</w:t>
      </w:r>
      <w:r>
        <w:rPr>
          <w:snapToGrid w:val="0"/>
        </w:rPr>
        <w:tab/>
        <w:t>be provided with adequate means to prevent the passage of air or vapour through the meter;</w:t>
      </w:r>
    </w:p>
    <w:p>
      <w:pPr>
        <w:pStyle w:val="Indenta"/>
        <w:rPr>
          <w:snapToGrid w:val="0"/>
        </w:rPr>
      </w:pPr>
      <w:r>
        <w:rPr>
          <w:snapToGrid w:val="0"/>
        </w:rPr>
        <w:tab/>
        <w:t>(5)</w:t>
      </w:r>
      <w:r>
        <w:rPr>
          <w:snapToGrid w:val="0"/>
        </w:rPr>
        <w:tab/>
        <w:t>be correct — </w:t>
      </w:r>
    </w:p>
    <w:p>
      <w:pPr>
        <w:pStyle w:val="Indenti"/>
        <w:rPr>
          <w:snapToGrid w:val="0"/>
        </w:rPr>
      </w:pPr>
      <w:r>
        <w:rPr>
          <w:snapToGrid w:val="0"/>
        </w:rPr>
        <w:tab/>
        <w:t>(a)</w:t>
      </w:r>
      <w:r>
        <w:rPr>
          <w:snapToGrid w:val="0"/>
        </w:rPr>
        <w:tab/>
        <w:t>whether the test is continuous or intermittent;</w:t>
      </w:r>
    </w:p>
    <w:p>
      <w:pPr>
        <w:pStyle w:val="Indenti"/>
        <w:rPr>
          <w:snapToGrid w:val="0"/>
        </w:rPr>
      </w:pPr>
      <w:r>
        <w:rPr>
          <w:snapToGrid w:val="0"/>
        </w:rPr>
        <w:tab/>
        <w:t>(b)</w:t>
      </w:r>
      <w:r>
        <w:rPr>
          <w:snapToGrid w:val="0"/>
        </w:rPr>
        <w:tab/>
        <w:t>irrespective of the time elapsing between operations thereof.</w:t>
      </w:r>
    </w:p>
    <w:p>
      <w:pPr>
        <w:pStyle w:val="Indenta"/>
        <w:rPr>
          <w:snapToGrid w:val="0"/>
        </w:rPr>
      </w:pPr>
      <w:r>
        <w:rPr>
          <w:snapToGrid w:val="0"/>
        </w:rPr>
        <w:tab/>
      </w:r>
      <w:r>
        <w:rPr>
          <w:snapToGrid w:val="0"/>
        </w:rPr>
        <w:tab/>
        <w:t>Provided that in any test made more than one hour after an instrument’s previous use any error due solely to the non</w:t>
      </w:r>
      <w:r>
        <w:rPr>
          <w:snapToGrid w:val="0"/>
        </w:rPr>
        <w:noBreakHyphen/>
        <w:t>use of the instrument shall not exceed 5 fluid ounces and on retail flow meters the error shall not exceed 2½ ounces;</w:t>
      </w:r>
    </w:p>
    <w:p>
      <w:pPr>
        <w:pStyle w:val="Indenta"/>
        <w:rPr>
          <w:snapToGrid w:val="0"/>
        </w:rPr>
      </w:pPr>
      <w:r>
        <w:rPr>
          <w:snapToGrid w:val="0"/>
        </w:rPr>
        <w:tab/>
        <w:t>(6)</w:t>
      </w:r>
      <w:r>
        <w:rPr>
          <w:snapToGrid w:val="0"/>
        </w:rPr>
        <w:tab/>
        <w:t>be provided with suitable means for the sealing of any adjusting mechanism;</w:t>
      </w:r>
    </w:p>
    <w:p>
      <w:pPr>
        <w:pStyle w:val="Indenta"/>
        <w:rPr>
          <w:snapToGrid w:val="0"/>
        </w:rPr>
      </w:pPr>
      <w:r>
        <w:rPr>
          <w:snapToGrid w:val="0"/>
        </w:rPr>
        <w:tab/>
        <w:t>(7)</w:t>
      </w:r>
      <w:r>
        <w:rPr>
          <w:snapToGrid w:val="0"/>
        </w:rPr>
        <w:tab/>
        <w:t>have any counters, graduations, dials or charts of such size and style and so positioned that they are clearly visible to and readable by the customer, such graduations being so arranged that the major ones are more prominent and are clearly distinguishable from the minor ones;</w:t>
      </w:r>
    </w:p>
    <w:p>
      <w:pPr>
        <w:pStyle w:val="Indenta"/>
        <w:rPr>
          <w:snapToGrid w:val="0"/>
        </w:rPr>
      </w:pPr>
      <w:r>
        <w:rPr>
          <w:snapToGrid w:val="0"/>
        </w:rPr>
        <w:tab/>
        <w:t>(8)</w:t>
      </w:r>
      <w:r>
        <w:rPr>
          <w:snapToGrid w:val="0"/>
        </w:rPr>
        <w:tab/>
        <w:t>be level when in normal operating position;</w:t>
      </w:r>
    </w:p>
    <w:p>
      <w:pPr>
        <w:pStyle w:val="Indenta"/>
        <w:rPr>
          <w:snapToGrid w:val="0"/>
        </w:rPr>
      </w:pPr>
      <w:r>
        <w:rPr>
          <w:snapToGrid w:val="0"/>
        </w:rPr>
        <w:tab/>
        <w:t>(9)</w:t>
      </w:r>
      <w:r>
        <w:rPr>
          <w:snapToGrid w:val="0"/>
        </w:rPr>
        <w:tab/>
        <w:t xml:space="preserve">be firmly set on a solid foundation of a size and shape approved by the Chief Inspector and the instrument as a whole shall be stable and rigid. </w:t>
      </w:r>
    </w:p>
    <w:p>
      <w:pPr>
        <w:pStyle w:val="Indenta"/>
        <w:rPr>
          <w:snapToGrid w:val="0"/>
        </w:rPr>
      </w:pPr>
      <w:r>
        <w:rPr>
          <w:snapToGrid w:val="0"/>
        </w:rPr>
        <w:tab/>
      </w:r>
      <w:r>
        <w:rPr>
          <w:snapToGrid w:val="0"/>
        </w:rPr>
        <w:tab/>
        <w:t>Provided that a meter fitted to a vehicle shall comply with the requirements of this paragraph if it is affixed thereto in a manner approved by the Chief Inspector;</w:t>
      </w:r>
    </w:p>
    <w:p>
      <w:pPr>
        <w:pStyle w:val="Indenta"/>
        <w:rPr>
          <w:snapToGrid w:val="0"/>
        </w:rPr>
      </w:pPr>
      <w:r>
        <w:rPr>
          <w:snapToGrid w:val="0"/>
        </w:rPr>
        <w:tab/>
        <w:t>(10)</w:t>
      </w:r>
      <w:r>
        <w:rPr>
          <w:snapToGrid w:val="0"/>
        </w:rPr>
        <w:tab/>
        <w:t>be so designed and constructed that the quantity of liquid delivered shall be clearly and definitely indicated;</w:t>
      </w:r>
    </w:p>
    <w:p>
      <w:pPr>
        <w:pStyle w:val="Indenta"/>
        <w:rPr>
          <w:snapToGrid w:val="0"/>
        </w:rPr>
      </w:pPr>
      <w:r>
        <w:rPr>
          <w:snapToGrid w:val="0"/>
        </w:rPr>
        <w:tab/>
        <w:t>(11)</w:t>
      </w:r>
      <w:r>
        <w:rPr>
          <w:snapToGrid w:val="0"/>
        </w:rPr>
        <w:tab/>
        <w:t>if fitted with a computing mechanism which indicates the total price of the quantity delivered, for one of a series of unit prices, also be equipped with a unit price mechanism by means of which the unit price at which the total price is being computed at any time shall be displayed on each face of the device;</w:t>
      </w:r>
    </w:p>
    <w:p>
      <w:pPr>
        <w:pStyle w:val="Indenta"/>
        <w:rPr>
          <w:snapToGrid w:val="0"/>
        </w:rPr>
      </w:pPr>
      <w:r>
        <w:rPr>
          <w:snapToGrid w:val="0"/>
        </w:rPr>
        <w:tab/>
        <w:t>(12)</w:t>
      </w:r>
      <w:r>
        <w:rPr>
          <w:snapToGrid w:val="0"/>
        </w:rPr>
        <w:tab/>
        <w:t>have all pointers and indicators of such size and shape and be so positioned that a correct and accurate reading is given;</w:t>
      </w:r>
    </w:p>
    <w:p>
      <w:pPr>
        <w:pStyle w:val="Indenta"/>
        <w:rPr>
          <w:snapToGrid w:val="0"/>
        </w:rPr>
      </w:pPr>
      <w:r>
        <w:rPr>
          <w:snapToGrid w:val="0"/>
        </w:rPr>
        <w:tab/>
        <w:t>(13)</w:t>
      </w:r>
      <w:r>
        <w:rPr>
          <w:snapToGrid w:val="0"/>
        </w:rPr>
        <w:tab/>
        <w:t>be so designed that the discharge will act quickly and without a prolonged dribble;</w:t>
      </w:r>
    </w:p>
    <w:p>
      <w:pPr>
        <w:pStyle w:val="Indenta"/>
        <w:rPr>
          <w:snapToGrid w:val="0"/>
        </w:rPr>
      </w:pPr>
      <w:r>
        <w:rPr>
          <w:snapToGrid w:val="0"/>
        </w:rPr>
        <w:tab/>
        <w:t>(14)</w:t>
      </w:r>
      <w:r>
        <w:rPr>
          <w:snapToGrid w:val="0"/>
        </w:rPr>
        <w:tab/>
        <w:t>have the fittings and delivery hose of a type designed to give free and ready flow to all liquids from time to time delivered therefrom;</w:t>
      </w:r>
    </w:p>
    <w:p>
      <w:pPr>
        <w:pStyle w:val="Indenta"/>
        <w:rPr>
          <w:snapToGrid w:val="0"/>
        </w:rPr>
      </w:pPr>
      <w:r>
        <w:rPr>
          <w:snapToGrid w:val="0"/>
        </w:rPr>
        <w:tab/>
        <w:t>(15)</w:t>
      </w:r>
      <w:r>
        <w:rPr>
          <w:snapToGrid w:val="0"/>
        </w:rPr>
        <w:tab/>
        <w:t>be so installed that the rate of flow through the meter shall not exceed the rated capacity specified by the manufacturer of the meter; if necessary to accomplish this result, effective automatic means for flow regulation shall be installed;</w:t>
      </w:r>
    </w:p>
    <w:p>
      <w:pPr>
        <w:pStyle w:val="Indenta"/>
        <w:rPr>
          <w:snapToGrid w:val="0"/>
        </w:rPr>
      </w:pPr>
      <w:r>
        <w:rPr>
          <w:snapToGrid w:val="0"/>
        </w:rPr>
        <w:tab/>
        <w:t>(16)</w:t>
      </w:r>
      <w:r>
        <w:rPr>
          <w:snapToGrid w:val="0"/>
        </w:rPr>
        <w:tab/>
        <w:t>be equipped with an automatic discharge control valve at the extremity of the nose when the point of delivery of the liquid therefrom is of even or greater elevation than the meter itself. Provided that a flow meter used in accordance with this paragraph shall only be operated with the hose full at all times;</w:t>
      </w:r>
    </w:p>
    <w:p>
      <w:pPr>
        <w:pStyle w:val="Indenta"/>
        <w:rPr>
          <w:snapToGrid w:val="0"/>
        </w:rPr>
      </w:pPr>
      <w:r>
        <w:rPr>
          <w:snapToGrid w:val="0"/>
        </w:rPr>
        <w:tab/>
        <w:t>(17)</w:t>
      </w:r>
      <w:r>
        <w:rPr>
          <w:snapToGrid w:val="0"/>
        </w:rPr>
        <w:tab/>
        <w:t>be correct within the tolerances specified in Table V.</w:t>
      </w:r>
    </w:p>
    <w:p>
      <w:pPr>
        <w:pStyle w:val="Footnotesection"/>
      </w:pPr>
      <w:r>
        <w:tab/>
        <w:t>[Regulation 113B inserted in Gazette 24 Feb 1950 p. 329</w:t>
      </w:r>
      <w:r>
        <w:noBreakHyphen/>
        <w:t xml:space="preserve">30; amended in Gazette 12 Oct 1951 p. 2712; 23 May 1960 p. 1402; 9 Sep 1968 p. 2744; 31 Aug 1984 p. 2829.] </w:t>
      </w:r>
    </w:p>
    <w:p>
      <w:pPr>
        <w:pStyle w:val="Heading5"/>
        <w:rPr>
          <w:snapToGrid w:val="0"/>
        </w:rPr>
      </w:pPr>
      <w:bookmarkStart w:id="137" w:name="_Toc390077162"/>
      <w:r>
        <w:rPr>
          <w:rStyle w:val="CharSectno"/>
        </w:rPr>
        <w:t>113C</w:t>
      </w:r>
      <w:r>
        <w:rPr>
          <w:snapToGrid w:val="0"/>
        </w:rPr>
        <w:t>.</w:t>
      </w:r>
      <w:r>
        <w:rPr>
          <w:snapToGrid w:val="0"/>
        </w:rPr>
        <w:tab/>
        <w:t>Restrictions on wholesale flow meters</w:t>
      </w:r>
      <w:bookmarkEnd w:id="137"/>
    </w:p>
    <w:p>
      <w:pPr>
        <w:pStyle w:val="Subsection"/>
        <w:rPr>
          <w:snapToGrid w:val="0"/>
        </w:rPr>
      </w:pPr>
      <w:r>
        <w:rPr>
          <w:snapToGrid w:val="0"/>
        </w:rPr>
        <w:tab/>
      </w:r>
      <w:r>
        <w:rPr>
          <w:snapToGrid w:val="0"/>
        </w:rPr>
        <w:tab/>
        <w:t>A wholesale flow meter shall not — </w:t>
      </w:r>
    </w:p>
    <w:p>
      <w:pPr>
        <w:pStyle w:val="Indenta"/>
        <w:rPr>
          <w:snapToGrid w:val="0"/>
        </w:rPr>
      </w:pPr>
      <w:r>
        <w:rPr>
          <w:snapToGrid w:val="0"/>
        </w:rPr>
        <w:tab/>
        <w:t>(1)</w:t>
      </w:r>
      <w:r>
        <w:rPr>
          <w:snapToGrid w:val="0"/>
        </w:rPr>
        <w:tab/>
        <w:t>have the smallest unit of indicated delivery exceeding one gallon. Provided that this shall not apply to meters designed to deliver one fixed quantity only;</w:t>
      </w:r>
    </w:p>
    <w:p>
      <w:pPr>
        <w:pStyle w:val="Indenta"/>
        <w:rPr>
          <w:snapToGrid w:val="0"/>
        </w:rPr>
      </w:pPr>
      <w:r>
        <w:rPr>
          <w:snapToGrid w:val="0"/>
        </w:rPr>
        <w:tab/>
        <w:t>(2)</w:t>
      </w:r>
      <w:r>
        <w:rPr>
          <w:snapToGrid w:val="0"/>
        </w:rPr>
        <w:tab/>
        <w:t>show any leakage or seepage at any joint, valve, hose connection or elsewhere;</w:t>
      </w:r>
    </w:p>
    <w:p>
      <w:pPr>
        <w:pStyle w:val="Indenta"/>
        <w:rPr>
          <w:snapToGrid w:val="0"/>
        </w:rPr>
      </w:pPr>
      <w:r>
        <w:rPr>
          <w:snapToGrid w:val="0"/>
        </w:rPr>
        <w:tab/>
        <w:t>(3)</w:t>
      </w:r>
      <w:r>
        <w:rPr>
          <w:snapToGrid w:val="0"/>
        </w:rPr>
        <w:tab/>
        <w:t>be fitted with a hose which shows excessive absorption or with a hose of such construction or so fixed as to cause a prolonged dribble;</w:t>
      </w:r>
    </w:p>
    <w:p>
      <w:pPr>
        <w:pStyle w:val="Indenta"/>
        <w:rPr>
          <w:snapToGrid w:val="0"/>
        </w:rPr>
      </w:pPr>
      <w:r>
        <w:rPr>
          <w:snapToGrid w:val="0"/>
        </w:rPr>
        <w:tab/>
        <w:t>(4)</w:t>
      </w:r>
      <w:r>
        <w:rPr>
          <w:snapToGrid w:val="0"/>
        </w:rPr>
        <w:tab/>
        <w:t>when stamped for the measuring of a particular kind of liquid, be used to measure any other kind of liquid unless it be first tested with the kind of liquid thereafter to be measured. Provided that the fees applicable to verification shall be chargeable in respect of each such test. Provided also that a meter shall be clearly marked with the class of liquid for which its use is stamped;</w:t>
      </w:r>
    </w:p>
    <w:p>
      <w:pPr>
        <w:pStyle w:val="Indenta"/>
        <w:rPr>
          <w:snapToGrid w:val="0"/>
        </w:rPr>
      </w:pPr>
      <w:r>
        <w:rPr>
          <w:snapToGrid w:val="0"/>
        </w:rPr>
        <w:tab/>
        <w:t>(5)</w:t>
      </w:r>
      <w:r>
        <w:rPr>
          <w:snapToGrid w:val="0"/>
        </w:rPr>
        <w:tab/>
        <w:t>be used to measure any quantity of liquid less than 25 gallons at one time unless the Chief Inspector authorises a lesser measurement, and this limitation shall not apply to deliveries to aircraft;</w:t>
      </w:r>
    </w:p>
    <w:p>
      <w:pPr>
        <w:pStyle w:val="Indenta"/>
        <w:rPr>
          <w:snapToGrid w:val="0"/>
        </w:rPr>
      </w:pPr>
      <w:r>
        <w:rPr>
          <w:snapToGrid w:val="0"/>
        </w:rPr>
        <w:tab/>
        <w:t>(6)</w:t>
      </w:r>
      <w:r>
        <w:rPr>
          <w:snapToGrid w:val="0"/>
        </w:rPr>
        <w:tab/>
        <w:t>be equipped with a discharge valve at the extremity of the hose or elsewhere in the hose line unless the instrument is so designed and constructed that it must be operated with the hose full of liquid at all times. Provided that — </w:t>
      </w:r>
    </w:p>
    <w:p>
      <w:pPr>
        <w:pStyle w:val="Indenti"/>
        <w:rPr>
          <w:snapToGrid w:val="0"/>
        </w:rPr>
      </w:pPr>
      <w:r>
        <w:rPr>
          <w:snapToGrid w:val="0"/>
        </w:rPr>
        <w:tab/>
        <w:t>(a)</w:t>
      </w:r>
      <w:r>
        <w:rPr>
          <w:snapToGrid w:val="0"/>
        </w:rPr>
        <w:tab/>
        <w:t>on pressure operated instruments an effective anti</w:t>
      </w:r>
      <w:r>
        <w:rPr>
          <w:snapToGrid w:val="0"/>
        </w:rPr>
        <w:noBreakHyphen/>
        <w:t>drain valve must be incorporated in the discharge valve or installed immediately adjacent thereto, to prevent drainage of the hose;</w:t>
      </w:r>
    </w:p>
    <w:p>
      <w:pPr>
        <w:pStyle w:val="Indenti"/>
        <w:rPr>
          <w:snapToGrid w:val="0"/>
        </w:rPr>
      </w:pPr>
      <w:r>
        <w:rPr>
          <w:snapToGrid w:val="0"/>
        </w:rPr>
        <w:tab/>
        <w:t>(b)</w:t>
      </w:r>
      <w:r>
        <w:rPr>
          <w:snapToGrid w:val="0"/>
        </w:rPr>
        <w:tab/>
        <w:t>on gravity operated instruments no other valve or device shall be incorporated in the hose line or elsewhere that would permit drainage of the hose, unless a sight glass or other device is fitted which will immediately disclose whether or not the hose is full of liquid.</w:t>
      </w:r>
    </w:p>
    <w:p>
      <w:pPr>
        <w:pStyle w:val="Footnotesection"/>
      </w:pPr>
      <w:r>
        <w:tab/>
        <w:t xml:space="preserve">[Regulation 113C inserted in Gazette 24 Feb 1950 p. 329; amended in Gazette 12 Oct 1951 p. 2712; 23 May 1960 p. 1403; 9 Sep 1968 p. 2744; 31 Aug 1984 p. 2829.] </w:t>
      </w:r>
    </w:p>
    <w:p>
      <w:pPr>
        <w:pStyle w:val="Heading5"/>
        <w:rPr>
          <w:snapToGrid w:val="0"/>
        </w:rPr>
      </w:pPr>
      <w:bookmarkStart w:id="138" w:name="_Toc390077163"/>
      <w:r>
        <w:rPr>
          <w:rStyle w:val="CharSectno"/>
        </w:rPr>
        <w:t>113D</w:t>
      </w:r>
      <w:r>
        <w:rPr>
          <w:snapToGrid w:val="0"/>
        </w:rPr>
        <w:t>.</w:t>
      </w:r>
      <w:r>
        <w:rPr>
          <w:snapToGrid w:val="0"/>
        </w:rPr>
        <w:tab/>
        <w:t>Restrictions on use of drum filling meters</w:t>
      </w:r>
      <w:bookmarkEnd w:id="138"/>
    </w:p>
    <w:p>
      <w:pPr>
        <w:pStyle w:val="Subsection"/>
        <w:rPr>
          <w:snapToGrid w:val="0"/>
        </w:rPr>
      </w:pPr>
      <w:r>
        <w:rPr>
          <w:snapToGrid w:val="0"/>
        </w:rPr>
        <w:tab/>
      </w:r>
      <w:r>
        <w:rPr>
          <w:snapToGrid w:val="0"/>
        </w:rPr>
        <w:tab/>
        <w:t>The Chief Inspector may limit to drum filling and similar purposes a meter which by its construction and design is suitable for such purposes, but not suitable for general use. Such meters shall be correct within the tolerances in error specified in Table V for “Flow meters”.</w:t>
      </w:r>
    </w:p>
    <w:p>
      <w:pPr>
        <w:pStyle w:val="Footnotesection"/>
      </w:pPr>
      <w:r>
        <w:tab/>
        <w:t xml:space="preserve">[Regulation 113D inserted in Gazette 24 Feb 1950 p. 329; amended in Gazette 23 May 1960 p. 1403; 9 Sep 1968 p. 2744; 31 Aug 1984 p. 2829.] </w:t>
      </w:r>
    </w:p>
    <w:p>
      <w:pPr>
        <w:pStyle w:val="Heading5"/>
        <w:rPr>
          <w:snapToGrid w:val="0"/>
        </w:rPr>
      </w:pPr>
      <w:bookmarkStart w:id="139" w:name="_Toc390077164"/>
      <w:r>
        <w:rPr>
          <w:rStyle w:val="CharSectno"/>
        </w:rPr>
        <w:t>113DD</w:t>
      </w:r>
      <w:r>
        <w:rPr>
          <w:snapToGrid w:val="0"/>
        </w:rPr>
        <w:t>.</w:t>
      </w:r>
      <w:r>
        <w:rPr>
          <w:snapToGrid w:val="0"/>
        </w:rPr>
        <w:tab/>
        <w:t>Calibrated tanks</w:t>
      </w:r>
      <w:bookmarkEnd w:id="139"/>
    </w:p>
    <w:p>
      <w:pPr>
        <w:pStyle w:val="Subsection"/>
        <w:rPr>
          <w:snapToGrid w:val="0"/>
        </w:rPr>
      </w:pPr>
      <w:r>
        <w:rPr>
          <w:snapToGrid w:val="0"/>
        </w:rPr>
        <w:tab/>
        <w:t>(1)</w:t>
      </w:r>
      <w:r>
        <w:rPr>
          <w:snapToGrid w:val="0"/>
        </w:rPr>
        <w:tab/>
        <w:t xml:space="preserve">In this regulation </w:t>
      </w:r>
      <w:r>
        <w:rPr>
          <w:b/>
          <w:snapToGrid w:val="0"/>
        </w:rPr>
        <w:t>“</w:t>
      </w:r>
      <w:r>
        <w:rPr>
          <w:rStyle w:val="CharDefText"/>
        </w:rPr>
        <w:t>calibrated tank</w:t>
      </w:r>
      <w:r>
        <w:rPr>
          <w:b/>
          <w:snapToGrid w:val="0"/>
        </w:rPr>
        <w:t>”</w:t>
      </w:r>
      <w:r>
        <w:rPr>
          <w:snapToGrid w:val="0"/>
        </w:rPr>
        <w:t xml:space="preserve"> means any composite tank, road tank wagon, rail tanker, barge or like device used, or intended to be used to sell and deliver petroleum liquid products in bulk quantities to re</w:t>
      </w:r>
      <w:r>
        <w:rPr>
          <w:snapToGrid w:val="0"/>
        </w:rPr>
        <w:noBreakHyphen/>
        <w:t>sellers and others and includes any dipstick used in connection therewith.</w:t>
      </w:r>
    </w:p>
    <w:p>
      <w:pPr>
        <w:pStyle w:val="Subsection"/>
        <w:rPr>
          <w:snapToGrid w:val="0"/>
          <w:spacing w:val="-2"/>
        </w:rPr>
      </w:pPr>
      <w:r>
        <w:rPr>
          <w:snapToGrid w:val="0"/>
        </w:rPr>
        <w:tab/>
        <w:t>(2)</w:t>
      </w:r>
      <w:r>
        <w:rPr>
          <w:snapToGrid w:val="0"/>
        </w:rPr>
        <w:tab/>
      </w:r>
      <w:r>
        <w:rPr>
          <w:snapToGrid w:val="0"/>
          <w:spacing w:val="-2"/>
        </w:rPr>
        <w:t>Where any calibrated tank that is in existence and in use, at the commencement of this regulation, has been certified by, and for the purposes of, the Customs Department of the Commonwealth, that calibrated tank is exempt from the provisions of this regulation, for a period of 12 months after its commencement.</w:t>
      </w:r>
    </w:p>
    <w:p>
      <w:pPr>
        <w:pStyle w:val="Subsection"/>
        <w:rPr>
          <w:snapToGrid w:val="0"/>
        </w:rPr>
      </w:pPr>
      <w:r>
        <w:rPr>
          <w:snapToGrid w:val="0"/>
        </w:rPr>
        <w:tab/>
        <w:t>(3)</w:t>
      </w:r>
      <w:r>
        <w:rPr>
          <w:snapToGrid w:val="0"/>
        </w:rPr>
        <w:tab/>
        <w:t>A calibrated tank is deemed to be a measuring instrument used for trade.</w:t>
      </w:r>
    </w:p>
    <w:p>
      <w:pPr>
        <w:pStyle w:val="Subsection"/>
        <w:rPr>
          <w:snapToGrid w:val="0"/>
        </w:rPr>
      </w:pPr>
      <w:r>
        <w:rPr>
          <w:snapToGrid w:val="0"/>
        </w:rPr>
        <w:tab/>
        <w:t>(4)</w:t>
      </w:r>
      <w:r>
        <w:rPr>
          <w:snapToGrid w:val="0"/>
        </w:rPr>
        <w:tab/>
        <w:t>A calibrated tank may be subdivided into 2 or more compartments.</w:t>
      </w:r>
    </w:p>
    <w:p>
      <w:pPr>
        <w:pStyle w:val="Subsection"/>
        <w:rPr>
          <w:snapToGrid w:val="0"/>
        </w:rPr>
      </w:pPr>
      <w:r>
        <w:rPr>
          <w:snapToGrid w:val="0"/>
        </w:rPr>
        <w:tab/>
        <w:t>(5)</w:t>
      </w:r>
      <w:r>
        <w:rPr>
          <w:snapToGrid w:val="0"/>
        </w:rPr>
        <w:tab/>
        <w:t>Every calibrated tank shall — </w:t>
      </w:r>
    </w:p>
    <w:p>
      <w:pPr>
        <w:pStyle w:val="Indenta"/>
        <w:rPr>
          <w:snapToGrid w:val="0"/>
        </w:rPr>
      </w:pPr>
      <w:r>
        <w:rPr>
          <w:snapToGrid w:val="0"/>
        </w:rPr>
        <w:tab/>
        <w:t>(a)</w:t>
      </w:r>
      <w:r>
        <w:rPr>
          <w:snapToGrid w:val="0"/>
        </w:rPr>
        <w:tab/>
        <w:t>be legibly, prominently and indelibly marked with a serial number for identification;</w:t>
      </w:r>
    </w:p>
    <w:p>
      <w:pPr>
        <w:pStyle w:val="Indenta"/>
        <w:rPr>
          <w:snapToGrid w:val="0"/>
        </w:rPr>
      </w:pPr>
      <w:r>
        <w:rPr>
          <w:snapToGrid w:val="0"/>
        </w:rPr>
        <w:tab/>
        <w:t>(b)</w:t>
      </w:r>
      <w:r>
        <w:rPr>
          <w:snapToGrid w:val="0"/>
        </w:rPr>
        <w:tab/>
        <w:t>be of such strength and construction as not to be liable to become distorted during transport or use;</w:t>
      </w:r>
    </w:p>
    <w:p>
      <w:pPr>
        <w:pStyle w:val="Indenta"/>
        <w:rPr>
          <w:snapToGrid w:val="0"/>
        </w:rPr>
      </w:pPr>
      <w:r>
        <w:rPr>
          <w:snapToGrid w:val="0"/>
        </w:rPr>
        <w:tab/>
        <w:t>(c)</w:t>
      </w:r>
      <w:r>
        <w:rPr>
          <w:snapToGrid w:val="0"/>
        </w:rPr>
        <w:tab/>
        <w:t>be complete with all internal and external fittings before being verified;</w:t>
      </w:r>
    </w:p>
    <w:p>
      <w:pPr>
        <w:pStyle w:val="Indenta"/>
        <w:rPr>
          <w:snapToGrid w:val="0"/>
        </w:rPr>
      </w:pPr>
      <w:r>
        <w:rPr>
          <w:snapToGrid w:val="0"/>
        </w:rPr>
        <w:tab/>
        <w:t>(d)</w:t>
      </w:r>
      <w:r>
        <w:rPr>
          <w:snapToGrid w:val="0"/>
        </w:rPr>
        <w:tab/>
        <w:t>stand on a level base and, if fitted with pneumatic tyres, have the tyres inflated to correct pressure;</w:t>
      </w:r>
    </w:p>
    <w:p>
      <w:pPr>
        <w:pStyle w:val="Indenta"/>
        <w:rPr>
          <w:snapToGrid w:val="0"/>
        </w:rPr>
      </w:pPr>
      <w:r>
        <w:rPr>
          <w:snapToGrid w:val="0"/>
        </w:rPr>
        <w:tab/>
        <w:t>(e)</w:t>
      </w:r>
      <w:r>
        <w:rPr>
          <w:snapToGrid w:val="0"/>
        </w:rPr>
        <w:tab/>
        <w:t>if having more than one compartment, have each compartment legibly, prominently and indelibly numbered consecutively, from front to rear, on the body of the compartment adjacent to the dip hatch;</w:t>
      </w:r>
    </w:p>
    <w:p>
      <w:pPr>
        <w:pStyle w:val="Indenta"/>
        <w:rPr>
          <w:snapToGrid w:val="0"/>
        </w:rPr>
      </w:pPr>
      <w:r>
        <w:rPr>
          <w:snapToGrid w:val="0"/>
        </w:rPr>
        <w:tab/>
        <w:t>(f)</w:t>
      </w:r>
      <w:r>
        <w:rPr>
          <w:snapToGrid w:val="0"/>
        </w:rPr>
        <w:tab/>
        <w:t>have a dip tube of a diameter of not more than 3 inches or such other diameter as may be approved by the Chief Inspector, fully vented and so positioned as to be approximately in the veridical axis of the tank and centrally positioned with respect to the tank walls;</w:t>
      </w:r>
    </w:p>
    <w:p>
      <w:pPr>
        <w:pStyle w:val="Indenta"/>
        <w:rPr>
          <w:snapToGrid w:val="0"/>
        </w:rPr>
      </w:pPr>
      <w:r>
        <w:rPr>
          <w:snapToGrid w:val="0"/>
        </w:rPr>
        <w:tab/>
        <w:t>(g)</w:t>
      </w:r>
      <w:r>
        <w:rPr>
          <w:snapToGrid w:val="0"/>
        </w:rPr>
        <w:tab/>
        <w:t>have no obstruction therein likely to foul the dipstick when in use;</w:t>
      </w:r>
    </w:p>
    <w:p>
      <w:pPr>
        <w:pStyle w:val="Indenta"/>
        <w:rPr>
          <w:snapToGrid w:val="0"/>
        </w:rPr>
      </w:pPr>
      <w:r>
        <w:rPr>
          <w:snapToGrid w:val="0"/>
        </w:rPr>
        <w:tab/>
        <w:t>(h)</w:t>
      </w:r>
      <w:r>
        <w:rPr>
          <w:snapToGrid w:val="0"/>
        </w:rPr>
        <w:tab/>
        <w:t>except in the case of a tank which is calibrated and verified by the discharge of liquid therefrom, have an inspection opening of sufficient size to enable the convenient inspection of the inside of the tank;</w:t>
      </w:r>
    </w:p>
    <w:p>
      <w:pPr>
        <w:pStyle w:val="Indenta"/>
        <w:rPr>
          <w:snapToGrid w:val="0"/>
        </w:rPr>
      </w:pPr>
      <w:r>
        <w:rPr>
          <w:snapToGrid w:val="0"/>
        </w:rPr>
        <w:tab/>
        <w:t>(i)</w:t>
      </w:r>
      <w:r>
        <w:rPr>
          <w:snapToGrid w:val="0"/>
        </w:rPr>
        <w:tab/>
        <w:t>except in the case of a tank so constructed that the base of the tank itself forms a satisfactory dip plate, be fitted with a dip plate, below the dip tube, parallel with the horizontal axis of the tank, and of such size as to prevent the dipstick going past the dip plate;</w:t>
      </w:r>
    </w:p>
    <w:p>
      <w:pPr>
        <w:pStyle w:val="Indenta"/>
        <w:rPr>
          <w:snapToGrid w:val="0"/>
        </w:rPr>
      </w:pPr>
      <w:r>
        <w:rPr>
          <w:snapToGrid w:val="0"/>
        </w:rPr>
        <w:tab/>
        <w:t>(j)</w:t>
      </w:r>
      <w:r>
        <w:rPr>
          <w:snapToGrid w:val="0"/>
        </w:rPr>
        <w:tab/>
        <w:t>be provided with such effective venting means as to prevent the formation of air pockets in a compartment, by permitting the escape of air from all parts of a compartment designed to be filled with liquid, and such as to permit the influx of air to a compartment, during discharge therefrom;</w:t>
      </w:r>
    </w:p>
    <w:p>
      <w:pPr>
        <w:pStyle w:val="Indenta"/>
        <w:rPr>
          <w:snapToGrid w:val="0"/>
        </w:rPr>
      </w:pPr>
      <w:r>
        <w:rPr>
          <w:snapToGrid w:val="0"/>
        </w:rPr>
        <w:tab/>
        <w:t>(k)</w:t>
      </w:r>
      <w:r>
        <w:rPr>
          <w:snapToGrid w:val="0"/>
        </w:rPr>
        <w:tab/>
        <w:t>have any dome flange extending into a compartment provided with such sufficient perforations or openings flush with the compartment shell as to prevent any trapping of air;</w:t>
      </w:r>
    </w:p>
    <w:p>
      <w:pPr>
        <w:pStyle w:val="Indenta"/>
        <w:rPr>
          <w:snapToGrid w:val="0"/>
        </w:rPr>
      </w:pPr>
      <w:r>
        <w:rPr>
          <w:snapToGrid w:val="0"/>
        </w:rPr>
        <w:tab/>
        <w:t>(l)</w:t>
      </w:r>
      <w:r>
        <w:rPr>
          <w:snapToGrid w:val="0"/>
        </w:rPr>
        <w:tab/>
        <w:t>have any baffle plates in a compartment so cut away at the top and bottom and elsewhere as may be necessary to facilitate loading and unloading;</w:t>
      </w:r>
    </w:p>
    <w:p>
      <w:pPr>
        <w:pStyle w:val="Indenta"/>
        <w:rPr>
          <w:snapToGrid w:val="0"/>
        </w:rPr>
      </w:pPr>
      <w:r>
        <w:rPr>
          <w:snapToGrid w:val="0"/>
        </w:rPr>
        <w:tab/>
        <w:t>(m)</w:t>
      </w:r>
      <w:r>
        <w:rPr>
          <w:snapToGrid w:val="0"/>
        </w:rPr>
        <w:tab/>
        <w:t>be so constructed that, when standing on a level surface, it permits of complete delivery, from any compartment, through its delivery valve, whether other compartments are full or empty;</w:t>
      </w:r>
    </w:p>
    <w:p>
      <w:pPr>
        <w:pStyle w:val="Indenta"/>
        <w:rPr>
          <w:snapToGrid w:val="0"/>
        </w:rPr>
      </w:pPr>
      <w:r>
        <w:rPr>
          <w:snapToGrid w:val="0"/>
        </w:rPr>
        <w:tab/>
        <w:t>(n)</w:t>
      </w:r>
      <w:r>
        <w:rPr>
          <w:snapToGrid w:val="0"/>
        </w:rPr>
        <w:tab/>
        <w:t>have any delivery line set at an angle of not less than 3 degrees below the horizontal;</w:t>
      </w:r>
    </w:p>
    <w:p>
      <w:pPr>
        <w:pStyle w:val="Indenta"/>
        <w:rPr>
          <w:snapToGrid w:val="0"/>
        </w:rPr>
      </w:pPr>
      <w:r>
        <w:rPr>
          <w:snapToGrid w:val="0"/>
        </w:rPr>
        <w:tab/>
        <w:t>(o)</w:t>
      </w:r>
      <w:r>
        <w:rPr>
          <w:snapToGrid w:val="0"/>
        </w:rPr>
        <w:tab/>
        <w:t>where the pipe lines are included in the calibration, be calibrated with all internal valves open; and, where the pipe lines are not included in the calibration, be calibrated with all internal valves closed;</w:t>
      </w:r>
    </w:p>
    <w:p>
      <w:pPr>
        <w:pStyle w:val="Indenta"/>
        <w:rPr>
          <w:snapToGrid w:val="0"/>
        </w:rPr>
      </w:pPr>
      <w:r>
        <w:rPr>
          <w:snapToGrid w:val="0"/>
        </w:rPr>
        <w:tab/>
        <w:t>(p)</w:t>
      </w:r>
      <w:r>
        <w:rPr>
          <w:snapToGrid w:val="0"/>
        </w:rPr>
        <w:tab/>
        <w:t>be legibly, prominently and indelibly marked with a statement indicating whether or not the pipe lines are included in the calibration;</w:t>
      </w:r>
    </w:p>
    <w:p>
      <w:pPr>
        <w:pStyle w:val="Indenta"/>
        <w:rPr>
          <w:snapToGrid w:val="0"/>
        </w:rPr>
      </w:pPr>
      <w:r>
        <w:rPr>
          <w:snapToGrid w:val="0"/>
        </w:rPr>
        <w:tab/>
        <w:t>(q)</w:t>
      </w:r>
      <w:r>
        <w:rPr>
          <w:snapToGrid w:val="0"/>
        </w:rPr>
        <w:tab/>
        <w:t>where so constructed that a quantity of liquid remains in the sump after complete delivery, be calibrated so as to exclude that quantity from readings on the chart and dipstick;</w:t>
      </w:r>
    </w:p>
    <w:p>
      <w:pPr>
        <w:pStyle w:val="Indenta"/>
        <w:rPr>
          <w:snapToGrid w:val="0"/>
        </w:rPr>
      </w:pPr>
      <w:r>
        <w:rPr>
          <w:snapToGrid w:val="0"/>
        </w:rPr>
        <w:tab/>
        <w:t>(r)</w:t>
      </w:r>
      <w:r>
        <w:rPr>
          <w:snapToGrid w:val="0"/>
        </w:rPr>
        <w:tab/>
        <w:t>where containing more than one compartment, have each separate compartment and dipstick to be used therewith, clearly and unmistakably identified one with the other;</w:t>
      </w:r>
    </w:p>
    <w:p>
      <w:pPr>
        <w:pStyle w:val="Indenta"/>
        <w:rPr>
          <w:snapToGrid w:val="0"/>
        </w:rPr>
      </w:pPr>
      <w:r>
        <w:rPr>
          <w:snapToGrid w:val="0"/>
        </w:rPr>
        <w:tab/>
        <w:t>(s)</w:t>
      </w:r>
      <w:r>
        <w:rPr>
          <w:snapToGrid w:val="0"/>
        </w:rPr>
        <w:tab/>
        <w:t>where its two or more compartments discharge through a common manifold or other single outlet, be provided with such effective and automatic means as to prevent liquid from one compartment by</w:t>
      </w:r>
      <w:r>
        <w:rPr>
          <w:snapToGrid w:val="0"/>
        </w:rPr>
        <w:noBreakHyphen/>
        <w:t>passing the outlet, on discharge, into another compartment; or otherwise such as to ensure that all compartments are discharged simultaneously;</w:t>
      </w:r>
    </w:p>
    <w:p>
      <w:pPr>
        <w:pStyle w:val="Indenta"/>
        <w:rPr>
          <w:snapToGrid w:val="0"/>
        </w:rPr>
      </w:pPr>
      <w:r>
        <w:rPr>
          <w:snapToGrid w:val="0"/>
        </w:rPr>
        <w:tab/>
        <w:t>(t)</w:t>
      </w:r>
      <w:r>
        <w:rPr>
          <w:snapToGrid w:val="0"/>
        </w:rPr>
        <w:tab/>
        <w:t>on verification, be correct at every capacity corresponding with the graduations marked on the dipstick provided for use therewith; and</w:t>
      </w:r>
    </w:p>
    <w:p>
      <w:pPr>
        <w:pStyle w:val="Indenta"/>
        <w:rPr>
          <w:snapToGrid w:val="0"/>
        </w:rPr>
      </w:pPr>
      <w:r>
        <w:rPr>
          <w:snapToGrid w:val="0"/>
        </w:rPr>
        <w:tab/>
        <w:t>(u)</w:t>
      </w:r>
      <w:r>
        <w:rPr>
          <w:snapToGrid w:val="0"/>
        </w:rPr>
        <w:tab/>
        <w:t>be provided with suitable means to enable an inspector readily to stamp it with a mark of verification.</w:t>
      </w:r>
    </w:p>
    <w:p>
      <w:pPr>
        <w:pStyle w:val="Subsection"/>
        <w:rPr>
          <w:snapToGrid w:val="0"/>
        </w:rPr>
      </w:pPr>
      <w:r>
        <w:rPr>
          <w:snapToGrid w:val="0"/>
        </w:rPr>
        <w:tab/>
        <w:t>(6)</w:t>
      </w:r>
      <w:r>
        <w:rPr>
          <w:snapToGrid w:val="0"/>
        </w:rPr>
        <w:tab/>
        <w:t>A calibrated tank shall not be used for trade unless verified and stamped with a mark of verification but once so verified and stamped, a calibrated tank may be used for trade, until such time as the Chief Inspector, by notice, requires it to be reverified.</w:t>
      </w:r>
    </w:p>
    <w:p>
      <w:pPr>
        <w:pStyle w:val="Subsection"/>
        <w:rPr>
          <w:snapToGrid w:val="0"/>
        </w:rPr>
      </w:pPr>
      <w:r>
        <w:rPr>
          <w:snapToGrid w:val="0"/>
        </w:rPr>
        <w:tab/>
        <w:t>(7)</w:t>
      </w:r>
      <w:r>
        <w:rPr>
          <w:snapToGrid w:val="0"/>
        </w:rPr>
        <w:tab/>
        <w:t>The errors permissible on verification of calibrated tanks shall be those prescribed for wholesale flow meters by Table 5 of Part XI.</w:t>
      </w:r>
    </w:p>
    <w:p>
      <w:pPr>
        <w:pStyle w:val="Subsection"/>
        <w:rPr>
          <w:snapToGrid w:val="0"/>
        </w:rPr>
      </w:pPr>
      <w:r>
        <w:rPr>
          <w:snapToGrid w:val="0"/>
        </w:rPr>
        <w:tab/>
        <w:t>(8)</w:t>
      </w:r>
      <w:r>
        <w:rPr>
          <w:snapToGrid w:val="0"/>
        </w:rPr>
        <w:tab/>
        <w:t>Every dipstick shall — </w:t>
      </w:r>
    </w:p>
    <w:p>
      <w:pPr>
        <w:pStyle w:val="Indenta"/>
        <w:rPr>
          <w:snapToGrid w:val="0"/>
        </w:rPr>
      </w:pPr>
      <w:r>
        <w:rPr>
          <w:snapToGrid w:val="0"/>
        </w:rPr>
        <w:tab/>
        <w:t>(a)</w:t>
      </w:r>
      <w:r>
        <w:rPr>
          <w:snapToGrid w:val="0"/>
        </w:rPr>
        <w:tab/>
        <w:t>be made of brass or other suitable metal approved by the Chief Inspector, the graduated side of which shall be so treated so as to give a clear reading on being dipped;</w:t>
      </w:r>
    </w:p>
    <w:p>
      <w:pPr>
        <w:pStyle w:val="Indenta"/>
        <w:rPr>
          <w:snapToGrid w:val="0"/>
        </w:rPr>
      </w:pPr>
      <w:r>
        <w:rPr>
          <w:snapToGrid w:val="0"/>
        </w:rPr>
        <w:tab/>
        <w:t>(b)</w:t>
      </w:r>
      <w:r>
        <w:rPr>
          <w:snapToGrid w:val="0"/>
        </w:rPr>
        <w:tab/>
        <w:t>where so constructed as to be removed from the dip tube when not in use, be heavily scribed around at the level of the top of the dip tube, as an aid to dipping;</w:t>
      </w:r>
    </w:p>
    <w:p>
      <w:pPr>
        <w:pStyle w:val="Indenta"/>
        <w:rPr>
          <w:snapToGrid w:val="0"/>
        </w:rPr>
      </w:pPr>
      <w:r>
        <w:rPr>
          <w:snapToGrid w:val="0"/>
        </w:rPr>
        <w:tab/>
        <w:t>(c)</w:t>
      </w:r>
      <w:r>
        <w:rPr>
          <w:snapToGrid w:val="0"/>
        </w:rPr>
        <w:tab/>
        <w:t>have all gallonage marks and figures clearly and permanently stamped or engraved thereon;</w:t>
      </w:r>
    </w:p>
    <w:p>
      <w:pPr>
        <w:pStyle w:val="Indenta"/>
        <w:rPr>
          <w:snapToGrid w:val="0"/>
        </w:rPr>
      </w:pPr>
      <w:r>
        <w:rPr>
          <w:snapToGrid w:val="0"/>
        </w:rPr>
        <w:tab/>
        <w:t>(d)</w:t>
      </w:r>
      <w:r>
        <w:rPr>
          <w:snapToGrid w:val="0"/>
        </w:rPr>
        <w:tab/>
        <w:t>be graduated in one gallon quantities for the first 10 gallons and be denominated at the 10 gallon graduation and at every like graduation thereafter; but the Chief Inspector may permit variations of those graduations, if, in his opinion, those variations are not such as are liable to facilitate fraud;</w:t>
      </w:r>
    </w:p>
    <w:p>
      <w:pPr>
        <w:pStyle w:val="Indenta"/>
        <w:rPr>
          <w:snapToGrid w:val="0"/>
        </w:rPr>
      </w:pPr>
      <w:r>
        <w:rPr>
          <w:snapToGrid w:val="0"/>
        </w:rPr>
        <w:tab/>
        <w:t>(e)</w:t>
      </w:r>
      <w:r>
        <w:rPr>
          <w:snapToGrid w:val="0"/>
        </w:rPr>
        <w:tab/>
        <w:t>be graduated for use with one compartment only;</w:t>
      </w:r>
    </w:p>
    <w:p>
      <w:pPr>
        <w:pStyle w:val="Indenta"/>
        <w:rPr>
          <w:snapToGrid w:val="0"/>
        </w:rPr>
      </w:pPr>
      <w:r>
        <w:rPr>
          <w:snapToGrid w:val="0"/>
        </w:rPr>
        <w:tab/>
        <w:t>(f)</w:t>
      </w:r>
      <w:r>
        <w:rPr>
          <w:snapToGrid w:val="0"/>
        </w:rPr>
        <w:tab/>
        <w:t>be provided with suitable means to enable an inspector readily to stamp upon it a mark of verification;</w:t>
      </w:r>
    </w:p>
    <w:p>
      <w:pPr>
        <w:pStyle w:val="Indenta"/>
        <w:rPr>
          <w:snapToGrid w:val="0"/>
        </w:rPr>
      </w:pPr>
      <w:r>
        <w:rPr>
          <w:snapToGrid w:val="0"/>
        </w:rPr>
        <w:tab/>
        <w:t>(g)</w:t>
      </w:r>
      <w:r>
        <w:rPr>
          <w:snapToGrid w:val="0"/>
        </w:rPr>
        <w:tab/>
        <w:t>be provided with a centre punch mark or other suitable indication, on one of its ungraduated sides, within 6 inches of the bottom; and have the distance between that mark and the bottom of the dipstick legibly stamped or engraved thereon; and</w:t>
      </w:r>
    </w:p>
    <w:p>
      <w:pPr>
        <w:pStyle w:val="Indenta"/>
        <w:rPr>
          <w:snapToGrid w:val="0"/>
        </w:rPr>
      </w:pPr>
      <w:r>
        <w:rPr>
          <w:snapToGrid w:val="0"/>
        </w:rPr>
        <w:tab/>
        <w:t>(h)</w:t>
      </w:r>
      <w:r>
        <w:rPr>
          <w:snapToGrid w:val="0"/>
        </w:rPr>
        <w:tab/>
        <w:t>be legibly stamped or engraved with the serial number corresponding with the serial number of the calibrated tank or compartment with which it is to be used.</w:t>
      </w:r>
    </w:p>
    <w:p>
      <w:pPr>
        <w:pStyle w:val="Subsection"/>
        <w:rPr>
          <w:snapToGrid w:val="0"/>
        </w:rPr>
      </w:pPr>
      <w:r>
        <w:rPr>
          <w:snapToGrid w:val="0"/>
        </w:rPr>
        <w:tab/>
        <w:t>(9)</w:t>
      </w:r>
      <w:r>
        <w:rPr>
          <w:snapToGrid w:val="0"/>
        </w:rPr>
        <w:tab/>
        <w:t>A dipstick shall not — </w:t>
      </w:r>
    </w:p>
    <w:p>
      <w:pPr>
        <w:pStyle w:val="Indenta"/>
        <w:rPr>
          <w:snapToGrid w:val="0"/>
        </w:rPr>
      </w:pPr>
      <w:r>
        <w:rPr>
          <w:snapToGrid w:val="0"/>
        </w:rPr>
        <w:tab/>
        <w:t>(a)</w:t>
      </w:r>
      <w:r>
        <w:rPr>
          <w:snapToGrid w:val="0"/>
        </w:rPr>
        <w:tab/>
        <w:t>be used for trade unless verified and stamped, or</w:t>
      </w:r>
    </w:p>
    <w:p>
      <w:pPr>
        <w:pStyle w:val="Indenta"/>
        <w:rPr>
          <w:snapToGrid w:val="0"/>
        </w:rPr>
      </w:pPr>
      <w:r>
        <w:rPr>
          <w:snapToGrid w:val="0"/>
        </w:rPr>
        <w:tab/>
        <w:t>(b)</w:t>
      </w:r>
      <w:r>
        <w:rPr>
          <w:snapToGrid w:val="0"/>
        </w:rPr>
        <w:tab/>
        <w:t>be used to determine the quantity of liquid in any tank or compartment other than the tank or compartment with which it was calibrated.</w:t>
      </w:r>
    </w:p>
    <w:p>
      <w:pPr>
        <w:pStyle w:val="Subsection"/>
        <w:rPr>
          <w:snapToGrid w:val="0"/>
        </w:rPr>
      </w:pPr>
      <w:r>
        <w:rPr>
          <w:snapToGrid w:val="0"/>
        </w:rPr>
        <w:tab/>
        <w:t>(10)</w:t>
      </w:r>
      <w:r>
        <w:rPr>
          <w:snapToGrid w:val="0"/>
        </w:rPr>
        <w:tab/>
        <w:t>The fee for the verification of a calibrated tank is as prescribed by Table XIIIA for such instruments.</w:t>
      </w:r>
    </w:p>
    <w:p>
      <w:pPr>
        <w:pStyle w:val="Footnotesection"/>
      </w:pPr>
      <w:r>
        <w:tab/>
        <w:t>[Regulation 113DD inserted in Gazette 9 Jan 1962 p. 89</w:t>
      </w:r>
      <w:r>
        <w:noBreakHyphen/>
        <w:t xml:space="preserve">91; amended in Gazette 9 Sep 1968 p. 2744; 31 Aug 1984 p. 2829.] </w:t>
      </w:r>
    </w:p>
    <w:p>
      <w:pPr>
        <w:pStyle w:val="Heading5"/>
        <w:rPr>
          <w:snapToGrid w:val="0"/>
        </w:rPr>
      </w:pPr>
      <w:bookmarkStart w:id="140" w:name="_Toc390077165"/>
      <w:r>
        <w:rPr>
          <w:rStyle w:val="CharSectno"/>
        </w:rPr>
        <w:t>113E</w:t>
      </w:r>
      <w:r>
        <w:rPr>
          <w:snapToGrid w:val="0"/>
        </w:rPr>
        <w:t>.</w:t>
      </w:r>
      <w:r>
        <w:rPr>
          <w:snapToGrid w:val="0"/>
        </w:rPr>
        <w:tab/>
        <w:t>Retail flow meters</w:t>
      </w:r>
      <w:bookmarkEnd w:id="140"/>
    </w:p>
    <w:p>
      <w:pPr>
        <w:pStyle w:val="Subsection"/>
        <w:rPr>
          <w:snapToGrid w:val="0"/>
        </w:rPr>
      </w:pPr>
      <w:r>
        <w:rPr>
          <w:snapToGrid w:val="0"/>
        </w:rPr>
        <w:tab/>
      </w:r>
      <w:r>
        <w:rPr>
          <w:snapToGrid w:val="0"/>
        </w:rPr>
        <w:tab/>
        <w:t>Every retail flow meter shall — </w:t>
      </w:r>
    </w:p>
    <w:p>
      <w:pPr>
        <w:pStyle w:val="Indenta"/>
        <w:rPr>
          <w:snapToGrid w:val="0"/>
        </w:rPr>
      </w:pPr>
      <w:r>
        <w:rPr>
          <w:snapToGrid w:val="0"/>
        </w:rPr>
        <w:tab/>
        <w:t>(1)</w:t>
      </w:r>
      <w:r>
        <w:rPr>
          <w:snapToGrid w:val="0"/>
        </w:rPr>
        <w:tab/>
        <w:t>be firmly set on a solid foundation such as a cement block of a size and shape approved by the Chief Inspector, and shall be bolted, or otherwise secured thereto, in a manner approved by the Chief Inspector, and the instrument as a whole shall be stable and sufficiently rigid to satisfy the Chief Inspector;</w:t>
      </w:r>
    </w:p>
    <w:p>
      <w:pPr>
        <w:pStyle w:val="Indenta"/>
        <w:rPr>
          <w:snapToGrid w:val="0"/>
        </w:rPr>
      </w:pPr>
      <w:r>
        <w:rPr>
          <w:snapToGrid w:val="0"/>
        </w:rPr>
        <w:tab/>
        <w:t>(2)</w:t>
      </w:r>
      <w:r>
        <w:rPr>
          <w:snapToGrid w:val="0"/>
        </w:rPr>
        <w:tab/>
        <w:t>be installed plumb and level;</w:t>
      </w:r>
    </w:p>
    <w:p>
      <w:pPr>
        <w:pStyle w:val="Indenta"/>
        <w:rPr>
          <w:snapToGrid w:val="0"/>
        </w:rPr>
      </w:pPr>
      <w:r>
        <w:rPr>
          <w:snapToGrid w:val="0"/>
        </w:rPr>
        <w:tab/>
        <w:t>(3)</w:t>
      </w:r>
      <w:r>
        <w:rPr>
          <w:snapToGrid w:val="0"/>
        </w:rPr>
        <w:tab/>
        <w:t>be equipped with a device which shall automatically indicate whether or not the system is properly filled with liquid before delivery is begun;</w:t>
      </w:r>
    </w:p>
    <w:p>
      <w:pPr>
        <w:pStyle w:val="Indenta"/>
        <w:rPr>
          <w:snapToGrid w:val="0"/>
        </w:rPr>
      </w:pPr>
      <w:r>
        <w:rPr>
          <w:snapToGrid w:val="0"/>
        </w:rPr>
        <w:tab/>
        <w:t>(4)</w:t>
      </w:r>
      <w:r>
        <w:rPr>
          <w:snapToGrid w:val="0"/>
        </w:rPr>
        <w:tab/>
        <w:t>be so designed and constructed that the initial zero condition and the quantity of liquid delivered up to the maximum capacity of the indicating elements of the device, shall be clearly and definitely indicated by automatic means;</w:t>
      </w:r>
    </w:p>
    <w:p>
      <w:pPr>
        <w:pStyle w:val="Indenta"/>
        <w:rPr>
          <w:snapToGrid w:val="0"/>
        </w:rPr>
      </w:pPr>
      <w:r>
        <w:rPr>
          <w:snapToGrid w:val="0"/>
        </w:rPr>
        <w:tab/>
        <w:t>(5)</w:t>
      </w:r>
      <w:r>
        <w:rPr>
          <w:snapToGrid w:val="0"/>
        </w:rPr>
        <w:tab/>
        <w:t>be so designed and constructed that it can readily be operated to deliver each quantity for which a graduation or other indicating means is provided, within the tolerance on such amount hereinafter provided;</w:t>
      </w:r>
    </w:p>
    <w:p>
      <w:pPr>
        <w:pStyle w:val="Indenta"/>
        <w:rPr>
          <w:snapToGrid w:val="0"/>
        </w:rPr>
      </w:pPr>
      <w:r>
        <w:rPr>
          <w:snapToGrid w:val="0"/>
        </w:rPr>
        <w:tab/>
        <w:t>(6)</w:t>
      </w:r>
      <w:r>
        <w:rPr>
          <w:snapToGrid w:val="0"/>
        </w:rPr>
        <w:tab/>
        <w:t>be so designed and constructed that the indicating elements used to indicate the quantity of liquid delivered and the total price thereof or the quantity of the liquid delivered when any portion of the cycle or stroke has been completed shall be returnable readily to a definite and clear zero indication before the next delivery is begun;</w:t>
      </w:r>
    </w:p>
    <w:p>
      <w:pPr>
        <w:pStyle w:val="Indenta"/>
        <w:rPr>
          <w:snapToGrid w:val="0"/>
        </w:rPr>
      </w:pPr>
      <w:r>
        <w:rPr>
          <w:snapToGrid w:val="0"/>
        </w:rPr>
        <w:tab/>
        <w:t>(7)</w:t>
      </w:r>
      <w:r>
        <w:rPr>
          <w:snapToGrid w:val="0"/>
        </w:rPr>
        <w:tab/>
        <w:t>be equipped with a hose hook switch control so designed and constructed that the replacement of the hose nozzle on such hook automatically shuts off the motor: Provided, that this clause shall not preclude the use of any other motor switch control if in the opinion of the Chief Inspector such switch shall not facilitate fraud;</w:t>
      </w:r>
    </w:p>
    <w:p>
      <w:pPr>
        <w:pStyle w:val="Indenta"/>
        <w:rPr>
          <w:snapToGrid w:val="0"/>
        </w:rPr>
      </w:pPr>
      <w:r>
        <w:rPr>
          <w:snapToGrid w:val="0"/>
        </w:rPr>
        <w:tab/>
        <w:t>(8)</w:t>
      </w:r>
      <w:r>
        <w:rPr>
          <w:snapToGrid w:val="0"/>
        </w:rPr>
        <w:tab/>
        <w:t>be equipped with an interlocking device so designed and constructed that, when the power unit has been shut off, it shall automatically prevent the operation of the instrument until the indicating elements have been zeroized;</w:t>
      </w:r>
    </w:p>
    <w:p>
      <w:pPr>
        <w:pStyle w:val="Indenta"/>
        <w:rPr>
          <w:snapToGrid w:val="0"/>
        </w:rPr>
      </w:pPr>
      <w:r>
        <w:rPr>
          <w:snapToGrid w:val="0"/>
        </w:rPr>
        <w:tab/>
        <w:t>(9)</w:t>
      </w:r>
      <w:r>
        <w:rPr>
          <w:snapToGrid w:val="0"/>
        </w:rPr>
        <w:tab/>
        <w:t>be so designed that the indicating elements may be advanced only by the mechanical operation of the device itself. Provided that this paragraph shall not preclude the use of any zeroizing device which conflicts therewith, if, in the opinion of the Chief Inspector such zeroizing device shall not facilitate fraud;</w:t>
      </w:r>
    </w:p>
    <w:p>
      <w:pPr>
        <w:pStyle w:val="Indenta"/>
        <w:rPr>
          <w:snapToGrid w:val="0"/>
        </w:rPr>
      </w:pPr>
      <w:r>
        <w:rPr>
          <w:snapToGrid w:val="0"/>
        </w:rPr>
        <w:tab/>
        <w:t>(10)</w:t>
      </w:r>
      <w:r>
        <w:rPr>
          <w:snapToGrid w:val="0"/>
        </w:rPr>
        <w:tab/>
        <w:t>when equipped with money</w:t>
      </w:r>
      <w:r>
        <w:rPr>
          <w:snapToGrid w:val="0"/>
        </w:rPr>
        <w:noBreakHyphen/>
        <w:t>value computing charts, be made in accordance with one of the following principles — </w:t>
      </w:r>
    </w:p>
    <w:p>
      <w:pPr>
        <w:pStyle w:val="Indenti"/>
        <w:rPr>
          <w:snapToGrid w:val="0"/>
        </w:rPr>
      </w:pPr>
      <w:r>
        <w:rPr>
          <w:snapToGrid w:val="0"/>
        </w:rPr>
        <w:tab/>
        <w:t>(a)</w:t>
      </w:r>
      <w:r>
        <w:rPr>
          <w:snapToGrid w:val="0"/>
        </w:rPr>
        <w:tab/>
      </w:r>
      <w:r>
        <w:rPr>
          <w:snapToGrid w:val="0"/>
          <w:spacing w:val="-2"/>
        </w:rPr>
        <w:t>if the device is so designed and constructed that it purports to compute for one or for a series of unit prices the total price for every delivery within the range of the device, then the device shall be equipped with a value pointer or indicator and value graduation marks and the figures; and in any position which the indicator or pointer and the value graduation marks and figures may assume, the price of the amount delivered shall be clearly, definitely, and correctly indicated. The value graduations shall not exceed one penny when the chart is in sterling currency, or one cent when the chart is in decimal currency;</w:t>
      </w:r>
    </w:p>
    <w:p>
      <w:pPr>
        <w:pStyle w:val="Indenti"/>
        <w:rPr>
          <w:snapToGrid w:val="0"/>
        </w:rPr>
      </w:pPr>
      <w:r>
        <w:rPr>
          <w:snapToGrid w:val="0"/>
        </w:rPr>
        <w:tab/>
        <w:t>(b)</w:t>
      </w:r>
      <w:r>
        <w:rPr>
          <w:snapToGrid w:val="0"/>
        </w:rPr>
        <w:tab/>
        <w:t>if the device is so designed and constructed that it purports automatically to compute only for deliveries corresponding to a definite series of quantity graduations, then one of the following alternatives shall be complied with —</w:t>
      </w:r>
    </w:p>
    <w:p>
      <w:pPr>
        <w:pStyle w:val="IndentI0"/>
        <w:rPr>
          <w:snapToGrid w:val="0"/>
        </w:rPr>
      </w:pPr>
      <w:r>
        <w:rPr>
          <w:snapToGrid w:val="0"/>
        </w:rPr>
        <w:tab/>
        <w:t>(i)</w:t>
      </w:r>
      <w:r>
        <w:rPr>
          <w:snapToGrid w:val="0"/>
        </w:rPr>
        <w:tab/>
        <w:t>there shall be a value computation for each quantity graduation throughout the range of the device; or</w:t>
      </w:r>
    </w:p>
    <w:p>
      <w:pPr>
        <w:pStyle w:val="IndentI0"/>
        <w:rPr>
          <w:snapToGrid w:val="0"/>
        </w:rPr>
      </w:pPr>
      <w:r>
        <w:rPr>
          <w:snapToGrid w:val="0"/>
        </w:rPr>
        <w:tab/>
        <w:t>(ii)</w:t>
      </w:r>
      <w:r>
        <w:rPr>
          <w:snapToGrid w:val="0"/>
        </w:rPr>
        <w:tab/>
        <w:t>no value indication may be exposed to view except at such time that the device registers a quantity indication for which a correct value indication is provided; or</w:t>
      </w:r>
    </w:p>
    <w:p>
      <w:pPr>
        <w:pStyle w:val="IndentI0"/>
        <w:rPr>
          <w:snapToGrid w:val="0"/>
        </w:rPr>
      </w:pPr>
      <w:r>
        <w:rPr>
          <w:snapToGrid w:val="0"/>
        </w:rPr>
        <w:tab/>
        <w:t>(iii)</w:t>
      </w:r>
      <w:r>
        <w:rPr>
          <w:snapToGrid w:val="0"/>
        </w:rPr>
        <w:tab/>
        <w:t>each value graduation or each column or row of such graduations shall be clearly and conspicuously marked with the quantity graduation to which the value corresponds and the device shall be marked with the character and limitations of the computations made. All money values corresponding to definite quantity graduations shall be mathematically correct;</w:t>
      </w:r>
    </w:p>
    <w:p>
      <w:pPr>
        <w:pStyle w:val="Indenti"/>
        <w:rPr>
          <w:snapToGrid w:val="0"/>
        </w:rPr>
      </w:pPr>
      <w:r>
        <w:rPr>
          <w:snapToGrid w:val="0"/>
        </w:rPr>
        <w:tab/>
        <w:t>(c)</w:t>
      </w:r>
      <w:r>
        <w:rPr>
          <w:snapToGrid w:val="0"/>
        </w:rPr>
        <w:tab/>
        <w:t>the tolerance in excess or in deficiency of the money value corresponding to a definite quantity of liquid shall be one half of a penny unit for sterling currency, or one half of a cent unit for decimal currency;</w:t>
      </w:r>
    </w:p>
    <w:p>
      <w:pPr>
        <w:pStyle w:val="Indenta"/>
        <w:rPr>
          <w:snapToGrid w:val="0"/>
        </w:rPr>
      </w:pPr>
      <w:r>
        <w:rPr>
          <w:snapToGrid w:val="0"/>
        </w:rPr>
        <w:tab/>
        <w:t>(11)</w:t>
      </w:r>
      <w:r>
        <w:rPr>
          <w:snapToGrid w:val="0"/>
        </w:rPr>
        <w:tab/>
        <w:t>be of such design and construction that, in use for trade it does not facilitate the perpetration of fraud;</w:t>
      </w:r>
    </w:p>
    <w:p>
      <w:pPr>
        <w:pStyle w:val="Indenta"/>
        <w:rPr>
          <w:snapToGrid w:val="0"/>
        </w:rPr>
      </w:pPr>
      <w:r>
        <w:rPr>
          <w:snapToGrid w:val="0"/>
        </w:rPr>
        <w:tab/>
        <w:t>(12)</w:t>
      </w:r>
      <w:r>
        <w:rPr>
          <w:snapToGrid w:val="0"/>
        </w:rPr>
        <w:tab/>
        <w:t>be so designed and constructed that the quantity indications or the price computing and quantity indications are clearly and accurately readable from any position within a field of 120 degrees, defined by 2 vertical planes each passing through the centre of the face of the instrument at an angle of 30 degrees;</w:t>
      </w:r>
    </w:p>
    <w:p>
      <w:pPr>
        <w:pStyle w:val="Indenta"/>
        <w:rPr>
          <w:snapToGrid w:val="0"/>
        </w:rPr>
      </w:pPr>
      <w:r>
        <w:rPr>
          <w:snapToGrid w:val="0"/>
        </w:rPr>
        <w:tab/>
        <w:t>(13)</w:t>
      </w:r>
      <w:r>
        <w:rPr>
          <w:snapToGrid w:val="0"/>
        </w:rPr>
        <w:tab/>
        <w:t>be operated in accordance with the method which is obviously indicated by its construction or which is indicated by the manufacturer through the medium of instructions contained on the device itself;</w:t>
      </w:r>
    </w:p>
    <w:p>
      <w:pPr>
        <w:pStyle w:val="Indenta"/>
        <w:rPr>
          <w:snapToGrid w:val="0"/>
        </w:rPr>
      </w:pPr>
      <w:r>
        <w:rPr>
          <w:snapToGrid w:val="0"/>
        </w:rPr>
        <w:tab/>
        <w:t>(14)</w:t>
      </w:r>
      <w:r>
        <w:rPr>
          <w:snapToGrid w:val="0"/>
        </w:rPr>
        <w:tab/>
        <w:t>have its lowest indicating element at least 3 feet above the normal level upon which the receiving vehicle or vessel stands;</w:t>
      </w:r>
    </w:p>
    <w:p>
      <w:pPr>
        <w:pStyle w:val="Indenta"/>
        <w:rPr>
          <w:snapToGrid w:val="0"/>
        </w:rPr>
      </w:pPr>
      <w:r>
        <w:rPr>
          <w:snapToGrid w:val="0"/>
        </w:rPr>
        <w:tab/>
        <w:t>(15)</w:t>
      </w:r>
      <w:r>
        <w:rPr>
          <w:snapToGrid w:val="0"/>
        </w:rPr>
        <w:tab/>
        <w:t>comply with the following regulations — </w:t>
      </w:r>
    </w:p>
    <w:p>
      <w:pPr>
        <w:pStyle w:val="Indenti"/>
        <w:spacing w:before="60"/>
        <w:rPr>
          <w:snapToGrid w:val="0"/>
        </w:rPr>
      </w:pPr>
      <w:r>
        <w:rPr>
          <w:snapToGrid w:val="0"/>
        </w:rPr>
        <w:tab/>
      </w:r>
      <w:r>
        <w:rPr>
          <w:snapToGrid w:val="0"/>
        </w:rPr>
        <w:tab/>
        <w:t>Regulation 3 or Part I;</w:t>
      </w:r>
    </w:p>
    <w:p>
      <w:pPr>
        <w:pStyle w:val="Indenti"/>
        <w:spacing w:before="60"/>
        <w:ind w:left="2552" w:hanging="2552"/>
        <w:rPr>
          <w:snapToGrid w:val="0"/>
        </w:rPr>
      </w:pPr>
      <w:r>
        <w:rPr>
          <w:snapToGrid w:val="0"/>
        </w:rPr>
        <w:tab/>
      </w:r>
      <w:r>
        <w:rPr>
          <w:snapToGrid w:val="0"/>
        </w:rPr>
        <w:tab/>
        <w:t>Regulation 113B(1), (3), (4), (5), (6), (11), (12), (13), (14) and (15); and</w:t>
      </w:r>
    </w:p>
    <w:p>
      <w:pPr>
        <w:pStyle w:val="Indenti"/>
        <w:spacing w:before="60"/>
        <w:rPr>
          <w:snapToGrid w:val="0"/>
        </w:rPr>
      </w:pPr>
      <w:r>
        <w:rPr>
          <w:snapToGrid w:val="0"/>
        </w:rPr>
        <w:tab/>
      </w:r>
      <w:r>
        <w:rPr>
          <w:snapToGrid w:val="0"/>
        </w:rPr>
        <w:tab/>
        <w:t>Regulation 113C(2), (3), (4) and (6)(a).</w:t>
      </w:r>
    </w:p>
    <w:p>
      <w:pPr>
        <w:pStyle w:val="Indenta"/>
        <w:spacing w:before="60"/>
        <w:rPr>
          <w:snapToGrid w:val="0"/>
        </w:rPr>
      </w:pPr>
      <w:r>
        <w:rPr>
          <w:snapToGrid w:val="0"/>
        </w:rPr>
        <w:tab/>
        <w:t>(16)</w:t>
      </w:r>
      <w:r>
        <w:rPr>
          <w:snapToGrid w:val="0"/>
        </w:rPr>
        <w:tab/>
        <w:t>be correct within the tolerances for error specified in Table V for retail flow meters.</w:t>
      </w:r>
    </w:p>
    <w:p>
      <w:pPr>
        <w:pStyle w:val="Footnotesection"/>
      </w:pPr>
      <w:r>
        <w:tab/>
        <w:t>[Regulation 113E inserted in Gazette 12 Oct 1951 p. 2712</w:t>
      </w:r>
      <w:r>
        <w:noBreakHyphen/>
        <w:t xml:space="preserve">3; amended in Gazette 23 May 1960 p. 1403; 6 Jan 1966 p. 22; 9 Sep 1968 p. 2744; 31 Aug 1984 p. 2829.] </w:t>
      </w:r>
    </w:p>
    <w:p>
      <w:pPr>
        <w:pStyle w:val="Heading5"/>
        <w:rPr>
          <w:snapToGrid w:val="0"/>
        </w:rPr>
      </w:pPr>
      <w:bookmarkStart w:id="141" w:name="_Toc390077166"/>
      <w:r>
        <w:rPr>
          <w:rStyle w:val="CharSectno"/>
        </w:rPr>
        <w:t>113F</w:t>
      </w:r>
      <w:r>
        <w:rPr>
          <w:snapToGrid w:val="0"/>
        </w:rPr>
        <w:t>.</w:t>
      </w:r>
      <w:r>
        <w:rPr>
          <w:snapToGrid w:val="0"/>
        </w:rPr>
        <w:tab/>
        <w:t>Restrictions on retail flow meters</w:t>
      </w:r>
      <w:bookmarkEnd w:id="141"/>
    </w:p>
    <w:p>
      <w:pPr>
        <w:pStyle w:val="Subsection"/>
        <w:spacing w:before="140"/>
        <w:rPr>
          <w:snapToGrid w:val="0"/>
        </w:rPr>
      </w:pPr>
      <w:r>
        <w:rPr>
          <w:snapToGrid w:val="0"/>
        </w:rPr>
        <w:tab/>
      </w:r>
      <w:r>
        <w:rPr>
          <w:snapToGrid w:val="0"/>
        </w:rPr>
        <w:tab/>
        <w:t>A retail flow meter shall not — </w:t>
      </w:r>
    </w:p>
    <w:p>
      <w:pPr>
        <w:pStyle w:val="Indenta"/>
        <w:spacing w:before="70"/>
        <w:rPr>
          <w:snapToGrid w:val="0"/>
        </w:rPr>
      </w:pPr>
      <w:r>
        <w:rPr>
          <w:snapToGrid w:val="0"/>
        </w:rPr>
        <w:tab/>
        <w:t>(1)</w:t>
      </w:r>
      <w:r>
        <w:rPr>
          <w:snapToGrid w:val="0"/>
        </w:rPr>
        <w:tab/>
        <w:t>be used to make a delivery to a purchaser unless its indicating elements have been returned to the zero position before such delivery;</w:t>
      </w:r>
    </w:p>
    <w:p>
      <w:pPr>
        <w:pStyle w:val="Indenta"/>
        <w:spacing w:before="70"/>
        <w:rPr>
          <w:snapToGrid w:val="0"/>
        </w:rPr>
      </w:pPr>
      <w:r>
        <w:rPr>
          <w:snapToGrid w:val="0"/>
        </w:rPr>
        <w:tab/>
        <w:t>(2)</w:t>
      </w:r>
      <w:r>
        <w:rPr>
          <w:snapToGrid w:val="0"/>
        </w:rPr>
        <w:tab/>
        <w:t>have any delivery hose of a length exceeding 12 feet including the nozzle;</w:t>
      </w:r>
    </w:p>
    <w:p>
      <w:pPr>
        <w:pStyle w:val="Indenta"/>
        <w:spacing w:before="70"/>
        <w:rPr>
          <w:snapToGrid w:val="0"/>
        </w:rPr>
      </w:pPr>
      <w:r>
        <w:rPr>
          <w:snapToGrid w:val="0"/>
        </w:rPr>
        <w:tab/>
        <w:t>(3)</w:t>
      </w:r>
      <w:r>
        <w:rPr>
          <w:snapToGrid w:val="0"/>
        </w:rPr>
        <w:tab/>
        <w:t>have its highest indicating element more than 6 feet above the normal level upon which the receiving vehicle or vessel stands;</w:t>
      </w:r>
    </w:p>
    <w:p>
      <w:pPr>
        <w:pStyle w:val="Indenta"/>
        <w:spacing w:before="70"/>
        <w:rPr>
          <w:snapToGrid w:val="0"/>
        </w:rPr>
      </w:pPr>
      <w:r>
        <w:rPr>
          <w:snapToGrid w:val="0"/>
        </w:rPr>
        <w:tab/>
        <w:t>(4)</w:t>
      </w:r>
      <w:r>
        <w:rPr>
          <w:snapToGrid w:val="0"/>
        </w:rPr>
        <w:tab/>
        <w:t>have its smallest unit of indicated delivery exceeding 1/20th gallon:</w:t>
      </w:r>
    </w:p>
    <w:p>
      <w:pPr>
        <w:pStyle w:val="Indenta"/>
        <w:spacing w:before="70"/>
        <w:rPr>
          <w:snapToGrid w:val="0"/>
        </w:rPr>
      </w:pPr>
      <w:r>
        <w:rPr>
          <w:snapToGrid w:val="0"/>
        </w:rPr>
        <w:tab/>
      </w:r>
      <w:r>
        <w:rPr>
          <w:snapToGrid w:val="0"/>
        </w:rPr>
        <w:tab/>
        <w:t>Provided that this paragraph shall not apply — </w:t>
      </w:r>
    </w:p>
    <w:p>
      <w:pPr>
        <w:pStyle w:val="Indenti"/>
        <w:spacing w:before="70"/>
        <w:rPr>
          <w:snapToGrid w:val="0"/>
        </w:rPr>
      </w:pPr>
      <w:r>
        <w:rPr>
          <w:snapToGrid w:val="0"/>
        </w:rPr>
        <w:tab/>
        <w:t>(a)</w:t>
      </w:r>
      <w:r>
        <w:rPr>
          <w:snapToGrid w:val="0"/>
        </w:rPr>
        <w:tab/>
        <w:t>to an instrument of the price</w:t>
      </w:r>
      <w:r>
        <w:rPr>
          <w:snapToGrid w:val="0"/>
        </w:rPr>
        <w:noBreakHyphen/>
        <w:t>computing type when the computing mechanism of such instrument is performing its function of accurately indicating the price of each delivery;</w:t>
      </w:r>
    </w:p>
    <w:p>
      <w:pPr>
        <w:pStyle w:val="Indenti"/>
        <w:spacing w:before="70"/>
        <w:rPr>
          <w:snapToGrid w:val="0"/>
        </w:rPr>
      </w:pPr>
      <w:r>
        <w:rPr>
          <w:snapToGrid w:val="0"/>
        </w:rPr>
        <w:tab/>
        <w:t>(b)</w:t>
      </w:r>
      <w:r>
        <w:rPr>
          <w:snapToGrid w:val="0"/>
        </w:rPr>
        <w:tab/>
        <w:t>to an instrument of the preset type if in the opinion of the Chief Inspector such provision is unnecessary.</w:t>
      </w:r>
    </w:p>
    <w:p>
      <w:pPr>
        <w:pStyle w:val="Footnotesection"/>
      </w:pPr>
      <w:r>
        <w:tab/>
        <w:t xml:space="preserve">[Regulation 113F inserted in Gazette 12 Oct 1951 p. 2713; amended in Gazette 9 Sep 1968 p. 2744; 31 Aug 1984 p. 2829.] </w:t>
      </w:r>
    </w:p>
    <w:p>
      <w:pPr>
        <w:pStyle w:val="Heading5"/>
        <w:rPr>
          <w:snapToGrid w:val="0"/>
        </w:rPr>
      </w:pPr>
      <w:bookmarkStart w:id="142" w:name="_Toc390077167"/>
      <w:r>
        <w:rPr>
          <w:rStyle w:val="CharSectno"/>
        </w:rPr>
        <w:t>113G</w:t>
      </w:r>
      <w:r>
        <w:rPr>
          <w:snapToGrid w:val="0"/>
        </w:rPr>
        <w:t>.</w:t>
      </w:r>
      <w:r>
        <w:rPr>
          <w:snapToGrid w:val="0"/>
        </w:rPr>
        <w:tab/>
        <w:t>Calibrating measures and instruments</w:t>
      </w:r>
      <w:bookmarkEnd w:id="142"/>
    </w:p>
    <w:p>
      <w:pPr>
        <w:pStyle w:val="Subsection"/>
        <w:outlineLvl w:val="0"/>
        <w:rPr>
          <w:snapToGrid w:val="0"/>
        </w:rPr>
      </w:pPr>
      <w:r>
        <w:rPr>
          <w:snapToGrid w:val="0"/>
        </w:rPr>
        <w:tab/>
        <w:t>(1)</w:t>
      </w:r>
      <w:r>
        <w:rPr>
          <w:snapToGrid w:val="0"/>
        </w:rPr>
        <w:tab/>
        <w:t>Every calibrating measure or instrument — </w:t>
      </w:r>
    </w:p>
    <w:p>
      <w:pPr>
        <w:pStyle w:val="Indenta"/>
        <w:rPr>
          <w:snapToGrid w:val="0"/>
        </w:rPr>
      </w:pPr>
      <w:r>
        <w:rPr>
          <w:snapToGrid w:val="0"/>
        </w:rPr>
        <w:tab/>
        <w:t>(a)</w:t>
      </w:r>
      <w:r>
        <w:rPr>
          <w:snapToGrid w:val="0"/>
        </w:rPr>
        <w:tab/>
        <w:t>shall have any indicating hook or other similar device identified with the body of the measure by a number or other sufficient indelible mark, and where the actual capacity of the measure is determined by the point of a hook or other similar device, the distance between the tip of such point and some permanent mark or the like on the hook assembly thereof shall be plainly and indelibly marked on the body of such measure in a prominent position and in close proximity to the stamping plug;</w:t>
      </w:r>
    </w:p>
    <w:p>
      <w:pPr>
        <w:pStyle w:val="Indenta"/>
        <w:rPr>
          <w:snapToGrid w:val="0"/>
        </w:rPr>
      </w:pPr>
      <w:r>
        <w:rPr>
          <w:snapToGrid w:val="0"/>
        </w:rPr>
        <w:tab/>
        <w:t>(b)</w:t>
      </w:r>
      <w:r>
        <w:rPr>
          <w:snapToGrid w:val="0"/>
        </w:rPr>
        <w:tab/>
        <w:t>where similar in construction to a measure of capacity, drum filling measuring machine, or flow meter, shall comply with the appropriate requirements thereof;</w:t>
      </w:r>
    </w:p>
    <w:p>
      <w:pPr>
        <w:pStyle w:val="Indenta"/>
        <w:rPr>
          <w:snapToGrid w:val="0"/>
        </w:rPr>
      </w:pPr>
      <w:r>
        <w:rPr>
          <w:snapToGrid w:val="0"/>
        </w:rPr>
        <w:tab/>
        <w:t>(c)</w:t>
      </w:r>
      <w:r>
        <w:rPr>
          <w:snapToGrid w:val="0"/>
        </w:rPr>
        <w:tab/>
        <w:t>shall have any adjusting device provided with suitable means for adequately sealing such adjustment;</w:t>
      </w:r>
    </w:p>
    <w:p>
      <w:pPr>
        <w:pStyle w:val="Indenta"/>
        <w:rPr>
          <w:snapToGrid w:val="0"/>
        </w:rPr>
      </w:pPr>
      <w:r>
        <w:rPr>
          <w:snapToGrid w:val="0"/>
        </w:rPr>
        <w:tab/>
        <w:t>(d)</w:t>
      </w:r>
      <w:r>
        <w:rPr>
          <w:snapToGrid w:val="0"/>
        </w:rPr>
        <w:tab/>
        <w:t>shall be so constructed that the overflow, if any, and the discharge will act quickly and without a prolonged dribble;</w:t>
      </w:r>
    </w:p>
    <w:p>
      <w:pPr>
        <w:pStyle w:val="Indenta"/>
        <w:rPr>
          <w:snapToGrid w:val="0"/>
        </w:rPr>
      </w:pPr>
      <w:r>
        <w:rPr>
          <w:snapToGrid w:val="0"/>
        </w:rPr>
        <w:tab/>
        <w:t>(e)</w:t>
      </w:r>
      <w:r>
        <w:rPr>
          <w:snapToGrid w:val="0"/>
        </w:rPr>
        <w:tab/>
        <w:t>shall have the fittings and delivery hose of a pattern designed to give free and ready flow to all water from time to time delivered therefrom;</w:t>
      </w:r>
    </w:p>
    <w:p>
      <w:pPr>
        <w:pStyle w:val="Indenta"/>
        <w:rPr>
          <w:snapToGrid w:val="0"/>
        </w:rPr>
      </w:pPr>
      <w:r>
        <w:rPr>
          <w:snapToGrid w:val="0"/>
        </w:rPr>
        <w:tab/>
        <w:t>(f)</w:t>
      </w:r>
      <w:r>
        <w:rPr>
          <w:snapToGrid w:val="0"/>
        </w:rPr>
        <w:tab/>
        <w:t>when provided with a tap or outlet valve shall be completely emptied by that tap or outlet valve without tilting; and</w:t>
      </w:r>
    </w:p>
    <w:p>
      <w:pPr>
        <w:pStyle w:val="Indenta"/>
        <w:rPr>
          <w:snapToGrid w:val="0"/>
        </w:rPr>
      </w:pPr>
      <w:r>
        <w:rPr>
          <w:snapToGrid w:val="0"/>
        </w:rPr>
        <w:tab/>
        <w:t>(g)</w:t>
      </w:r>
      <w:r>
        <w:rPr>
          <w:snapToGrid w:val="0"/>
        </w:rPr>
        <w:tab/>
        <w:t>where necessary, shall be provided with suitable means for levelling the measure, such as adjustable levelling legs or the like; in such instances the measure shall be provided with adequate spirit levels or other means for determining when the measure is in level; and also be plainly and clearly and indelibly marked “Instrument incorrect if not truly level” in some prominent position in close proximity to spirit levels or other means for determining when the measure is level.</w:t>
      </w:r>
    </w:p>
    <w:p>
      <w:pPr>
        <w:pStyle w:val="Subsection"/>
        <w:outlineLvl w:val="0"/>
        <w:rPr>
          <w:snapToGrid w:val="0"/>
        </w:rPr>
      </w:pPr>
      <w:r>
        <w:rPr>
          <w:snapToGrid w:val="0"/>
        </w:rPr>
        <w:tab/>
        <w:t>(2)</w:t>
      </w:r>
      <w:r>
        <w:rPr>
          <w:snapToGrid w:val="0"/>
        </w:rPr>
        <w:tab/>
        <w:t>A calibrating measure or instrument — </w:t>
      </w:r>
    </w:p>
    <w:p>
      <w:pPr>
        <w:pStyle w:val="Indenta"/>
        <w:rPr>
          <w:snapToGrid w:val="0"/>
        </w:rPr>
      </w:pPr>
      <w:r>
        <w:rPr>
          <w:snapToGrid w:val="0"/>
        </w:rPr>
        <w:tab/>
        <w:t>(a)</w:t>
      </w:r>
      <w:r>
        <w:rPr>
          <w:snapToGrid w:val="0"/>
        </w:rPr>
        <w:tab/>
        <w:t>shall not show any leakage, or seepage at any joint, valve, hose connection, or elsewhere; and</w:t>
      </w:r>
    </w:p>
    <w:p>
      <w:pPr>
        <w:pStyle w:val="Indenta"/>
        <w:rPr>
          <w:snapToGrid w:val="0"/>
        </w:rPr>
      </w:pPr>
      <w:r>
        <w:rPr>
          <w:snapToGrid w:val="0"/>
        </w:rPr>
        <w:tab/>
        <w:t>(b)</w:t>
      </w:r>
      <w:r>
        <w:rPr>
          <w:snapToGrid w:val="0"/>
        </w:rPr>
        <w:tab/>
        <w:t>shall be correct within the tolerances prescribed for “measures of capacity” in Table II, or as the case requires, for “Official Measuring Instruments” in regulation 39A of Part IV.</w:t>
      </w:r>
    </w:p>
    <w:p>
      <w:pPr>
        <w:pStyle w:val="Footnotesection"/>
      </w:pPr>
      <w:r>
        <w:tab/>
        <w:t xml:space="preserve">[Regulation 113G inserted in Gazette 23 May 1960 p. 1403.] </w:t>
      </w:r>
    </w:p>
    <w:p>
      <w:pPr>
        <w:pStyle w:val="MiscellaneousHeading"/>
        <w:outlineLvl w:val="0"/>
        <w:rPr>
          <w:b/>
          <w:snapToGrid w:val="0"/>
        </w:rPr>
      </w:pPr>
      <w:r>
        <w:rPr>
          <w:b/>
          <w:snapToGrid w:val="0"/>
        </w:rPr>
        <w:t>Fabric measuring instruments</w:t>
      </w:r>
    </w:p>
    <w:p>
      <w:pPr>
        <w:pStyle w:val="Heading5"/>
        <w:rPr>
          <w:snapToGrid w:val="0"/>
        </w:rPr>
      </w:pPr>
      <w:bookmarkStart w:id="143" w:name="_Toc390077168"/>
      <w:r>
        <w:rPr>
          <w:rStyle w:val="CharSectno"/>
        </w:rPr>
        <w:t>114</w:t>
      </w:r>
      <w:r>
        <w:rPr>
          <w:snapToGrid w:val="0"/>
        </w:rPr>
        <w:t>.</w:t>
      </w:r>
      <w:r>
        <w:rPr>
          <w:snapToGrid w:val="0"/>
        </w:rPr>
        <w:tab/>
        <w:t>Fabric measuring instruments</w:t>
      </w:r>
      <w:bookmarkEnd w:id="143"/>
    </w:p>
    <w:p>
      <w:pPr>
        <w:pStyle w:val="Subsection"/>
        <w:rPr>
          <w:snapToGrid w:val="0"/>
        </w:rPr>
      </w:pPr>
      <w:r>
        <w:rPr>
          <w:snapToGrid w:val="0"/>
        </w:rPr>
        <w:tab/>
      </w:r>
      <w:r>
        <w:rPr>
          <w:snapToGrid w:val="0"/>
        </w:rPr>
        <w:tab/>
        <w:t>On every fabric measuring instrument — </w:t>
      </w:r>
    </w:p>
    <w:p>
      <w:pPr>
        <w:pStyle w:val="Indenta"/>
        <w:rPr>
          <w:snapToGrid w:val="0"/>
        </w:rPr>
      </w:pPr>
      <w:r>
        <w:rPr>
          <w:snapToGrid w:val="0"/>
        </w:rPr>
        <w:tab/>
        <w:t>(a)</w:t>
      </w:r>
      <w:r>
        <w:rPr>
          <w:snapToGrid w:val="0"/>
        </w:rPr>
        <w:tab/>
        <w:t>the length graduations and the value graduations shall be clear and distinct;</w:t>
      </w:r>
    </w:p>
    <w:p>
      <w:pPr>
        <w:pStyle w:val="Indenta"/>
        <w:rPr>
          <w:snapToGrid w:val="0"/>
        </w:rPr>
      </w:pPr>
      <w:r>
        <w:rPr>
          <w:snapToGrid w:val="0"/>
        </w:rPr>
        <w:tab/>
        <w:t>(b)</w:t>
      </w:r>
      <w:r>
        <w:rPr>
          <w:snapToGrid w:val="0"/>
        </w:rPr>
        <w:tab/>
        <w:t>the graduations shall be so arranged that their meaning is readily apparent and so that the indications may be conveniently read;</w:t>
      </w:r>
    </w:p>
    <w:p>
      <w:pPr>
        <w:pStyle w:val="Indenta"/>
        <w:rPr>
          <w:snapToGrid w:val="0"/>
        </w:rPr>
      </w:pPr>
      <w:r>
        <w:rPr>
          <w:snapToGrid w:val="0"/>
        </w:rPr>
        <w:tab/>
        <w:t>(c)</w:t>
      </w:r>
      <w:r>
        <w:rPr>
          <w:snapToGrid w:val="0"/>
        </w:rPr>
        <w:tab/>
        <w:t>the figures denoting value, if any, shall be in alignment with those for unit, price and length;</w:t>
      </w:r>
    </w:p>
    <w:p>
      <w:pPr>
        <w:pStyle w:val="Indenta"/>
        <w:rPr>
          <w:snapToGrid w:val="0"/>
        </w:rPr>
      </w:pPr>
      <w:r>
        <w:rPr>
          <w:snapToGrid w:val="0"/>
        </w:rPr>
        <w:tab/>
        <w:t>(d)</w:t>
      </w:r>
      <w:r>
        <w:rPr>
          <w:snapToGrid w:val="0"/>
        </w:rPr>
        <w:tab/>
        <w:t>the length corresponding to the interval between successive graduations shall not exceed 1/8th of one yard;</w:t>
      </w:r>
    </w:p>
    <w:p>
      <w:pPr>
        <w:pStyle w:val="Indenta"/>
        <w:rPr>
          <w:snapToGrid w:val="0"/>
        </w:rPr>
      </w:pPr>
      <w:r>
        <w:rPr>
          <w:snapToGrid w:val="0"/>
        </w:rPr>
        <w:tab/>
        <w:t>(e)</w:t>
      </w:r>
      <w:r>
        <w:rPr>
          <w:snapToGrid w:val="0"/>
        </w:rPr>
        <w:tab/>
        <w:t>the clear interval between one</w:t>
      </w:r>
      <w:r>
        <w:rPr>
          <w:snapToGrid w:val="0"/>
        </w:rPr>
        <w:noBreakHyphen/>
        <w:t>eighth of one yard graduations shall not be less than 11/16th of one inch;</w:t>
      </w:r>
    </w:p>
    <w:p>
      <w:pPr>
        <w:pStyle w:val="Indenta"/>
        <w:rPr>
          <w:snapToGrid w:val="0"/>
        </w:rPr>
      </w:pPr>
      <w:r>
        <w:rPr>
          <w:snapToGrid w:val="0"/>
        </w:rPr>
        <w:tab/>
        <w:t>(f)</w:t>
      </w:r>
      <w:r>
        <w:rPr>
          <w:snapToGrid w:val="0"/>
        </w:rPr>
        <w:tab/>
        <w:t>if inch graduations are used, the clear interval between successive graduations shall not be less than 1/8th of one inch;</w:t>
      </w:r>
    </w:p>
    <w:p>
      <w:pPr>
        <w:pStyle w:val="Indenta"/>
        <w:rPr>
          <w:snapToGrid w:val="0"/>
        </w:rPr>
      </w:pPr>
      <w:r>
        <w:rPr>
          <w:snapToGrid w:val="0"/>
        </w:rPr>
        <w:tab/>
        <w:t>(g)</w:t>
      </w:r>
      <w:r>
        <w:rPr>
          <w:snapToGrid w:val="0"/>
        </w:rPr>
        <w:tab/>
        <w:t>the clear interval between successive value graduations, if any, shall not be less than 1/5th of one inch;</w:t>
      </w:r>
    </w:p>
    <w:p>
      <w:pPr>
        <w:pStyle w:val="Indenta"/>
        <w:rPr>
          <w:snapToGrid w:val="0"/>
        </w:rPr>
      </w:pPr>
      <w:r>
        <w:rPr>
          <w:snapToGrid w:val="0"/>
        </w:rPr>
        <w:tab/>
        <w:t>(h)</w:t>
      </w:r>
      <w:r>
        <w:rPr>
          <w:snapToGrid w:val="0"/>
        </w:rPr>
        <w:tab/>
        <w:t>all pointers or indicators shall be symmetrical about the graduations at which they may stand and shall reach to all such graduations;</w:t>
      </w:r>
    </w:p>
    <w:p>
      <w:pPr>
        <w:pStyle w:val="Indenta"/>
        <w:rPr>
          <w:snapToGrid w:val="0"/>
        </w:rPr>
      </w:pPr>
      <w:r>
        <w:rPr>
          <w:snapToGrid w:val="0"/>
        </w:rPr>
        <w:tab/>
        <w:t>(i)</w:t>
      </w:r>
      <w:r>
        <w:rPr>
          <w:snapToGrid w:val="0"/>
        </w:rPr>
        <w:tab/>
        <w:t>the width of the end of any pointer or indicator shall not exceed the width of the smallest graduations on the scale on which it is used, and in no case shall it exceed 15,000ths of one inch; and</w:t>
      </w:r>
    </w:p>
    <w:p>
      <w:pPr>
        <w:pStyle w:val="Indenta"/>
        <w:rPr>
          <w:snapToGrid w:val="0"/>
        </w:rPr>
      </w:pPr>
      <w:r>
        <w:rPr>
          <w:snapToGrid w:val="0"/>
        </w:rPr>
        <w:tab/>
        <w:t>(j)</w:t>
      </w:r>
      <w:r>
        <w:rPr>
          <w:snapToGrid w:val="0"/>
        </w:rPr>
        <w:tab/>
        <w:t>the distance between any pointer or indicator and its scale or chart shall not exceed 600ths of one inch;</w:t>
      </w:r>
    </w:p>
    <w:p>
      <w:pPr>
        <w:pStyle w:val="Indenta"/>
        <w:rPr>
          <w:snapToGrid w:val="0"/>
        </w:rPr>
      </w:pPr>
      <w:r>
        <w:rPr>
          <w:snapToGrid w:val="0"/>
        </w:rPr>
        <w:tab/>
        <w:t>(k)</w:t>
      </w:r>
      <w:r>
        <w:rPr>
          <w:snapToGrid w:val="0"/>
        </w:rPr>
        <w:tab/>
        <w:t>the maker’s named, serial number and pattern number shall be clearly stamped thereon.</w:t>
      </w:r>
    </w:p>
    <w:p>
      <w:pPr>
        <w:pStyle w:val="Footnotesection"/>
      </w:pPr>
      <w:r>
        <w:tab/>
        <w:t xml:space="preserve">[Regulation 114 inserted in Gazette 23 May 1960 p. 1404.] </w:t>
      </w:r>
    </w:p>
    <w:p>
      <w:pPr>
        <w:pStyle w:val="Heading5"/>
        <w:rPr>
          <w:snapToGrid w:val="0"/>
        </w:rPr>
      </w:pPr>
      <w:bookmarkStart w:id="144" w:name="_Toc390077169"/>
      <w:r>
        <w:rPr>
          <w:rStyle w:val="CharSectno"/>
        </w:rPr>
        <w:t>114A</w:t>
      </w:r>
      <w:r>
        <w:rPr>
          <w:snapToGrid w:val="0"/>
        </w:rPr>
        <w:t>.</w:t>
      </w:r>
      <w:r>
        <w:rPr>
          <w:snapToGrid w:val="0"/>
        </w:rPr>
        <w:tab/>
        <w:t>Design and construction of fabric measuring machines</w:t>
      </w:r>
      <w:bookmarkEnd w:id="144"/>
    </w:p>
    <w:p>
      <w:pPr>
        <w:pStyle w:val="Subsection"/>
        <w:rPr>
          <w:snapToGrid w:val="0"/>
        </w:rPr>
      </w:pPr>
      <w:r>
        <w:rPr>
          <w:snapToGrid w:val="0"/>
        </w:rPr>
        <w:tab/>
      </w:r>
      <w:r>
        <w:rPr>
          <w:snapToGrid w:val="0"/>
        </w:rPr>
        <w:tab/>
        <w:t>Every fabric measuring instrument shall be — </w:t>
      </w:r>
    </w:p>
    <w:p>
      <w:pPr>
        <w:pStyle w:val="Indenta"/>
        <w:rPr>
          <w:snapToGrid w:val="0"/>
        </w:rPr>
      </w:pPr>
      <w:r>
        <w:rPr>
          <w:snapToGrid w:val="0"/>
        </w:rPr>
        <w:tab/>
        <w:t>(a)</w:t>
      </w:r>
      <w:r>
        <w:rPr>
          <w:snapToGrid w:val="0"/>
        </w:rPr>
        <w:tab/>
        <w:t>so designed and constructed that — </w:t>
      </w:r>
    </w:p>
    <w:p>
      <w:pPr>
        <w:pStyle w:val="Indenti"/>
        <w:rPr>
          <w:snapToGrid w:val="0"/>
        </w:rPr>
      </w:pPr>
      <w:r>
        <w:rPr>
          <w:snapToGrid w:val="0"/>
        </w:rPr>
        <w:tab/>
        <w:t>(i)</w:t>
      </w:r>
      <w:r>
        <w:rPr>
          <w:snapToGrid w:val="0"/>
        </w:rPr>
        <w:tab/>
        <w:t>in any position which the length pointer or indicator and scale or chart may assume, a number of figures and graduations, sufficient to permit the length indications readily to be read correctly, shall be shown;</w:t>
      </w:r>
    </w:p>
    <w:p>
      <w:pPr>
        <w:pStyle w:val="Indenti"/>
        <w:rPr>
          <w:snapToGrid w:val="0"/>
        </w:rPr>
      </w:pPr>
      <w:r>
        <w:rPr>
          <w:snapToGrid w:val="0"/>
        </w:rPr>
        <w:tab/>
        <w:t>(ii)</w:t>
      </w:r>
      <w:r>
        <w:rPr>
          <w:snapToGrid w:val="0"/>
        </w:rPr>
        <w:tab/>
        <w:t>the indicating elements used in registering lengths or prices of deliveries to individual purchasers can be returned readily to a definite and distinct zero reading before the next measuring operation is begun;</w:t>
      </w:r>
    </w:p>
    <w:p>
      <w:pPr>
        <w:pStyle w:val="Indenti"/>
        <w:rPr>
          <w:snapToGrid w:val="0"/>
        </w:rPr>
      </w:pPr>
      <w:r>
        <w:rPr>
          <w:snapToGrid w:val="0"/>
        </w:rPr>
        <w:tab/>
        <w:t>(iii)</w:t>
      </w:r>
      <w:r>
        <w:rPr>
          <w:snapToGrid w:val="0"/>
        </w:rPr>
        <w:tab/>
        <w:t>if equipped with rollers such rollers shall be parallel when in position for measuring;</w:t>
      </w:r>
    </w:p>
    <w:p>
      <w:pPr>
        <w:pStyle w:val="Indenti"/>
        <w:rPr>
          <w:snapToGrid w:val="0"/>
        </w:rPr>
      </w:pPr>
      <w:r>
        <w:rPr>
          <w:snapToGrid w:val="0"/>
        </w:rPr>
        <w:tab/>
        <w:t>(iv)</w:t>
      </w:r>
      <w:r>
        <w:rPr>
          <w:snapToGrid w:val="0"/>
        </w:rPr>
        <w:tab/>
        <w:t xml:space="preserve">when reset, such rollers are free and the chart or charts are at zero;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accurate in its length indications and value indications whether the indications are being increased or decreased.</w:t>
      </w:r>
    </w:p>
    <w:p>
      <w:pPr>
        <w:pStyle w:val="Footnotesection"/>
      </w:pPr>
      <w:r>
        <w:tab/>
        <w:t xml:space="preserve">[Regulation 114A inserted in Gazette 23 May 1960 p. 1404.] </w:t>
      </w:r>
    </w:p>
    <w:p>
      <w:pPr>
        <w:pStyle w:val="Heading5"/>
        <w:rPr>
          <w:snapToGrid w:val="0"/>
        </w:rPr>
      </w:pPr>
      <w:bookmarkStart w:id="145" w:name="_Toc390077170"/>
      <w:r>
        <w:rPr>
          <w:rStyle w:val="CharSectno"/>
        </w:rPr>
        <w:t>114B</w:t>
      </w:r>
      <w:r>
        <w:rPr>
          <w:snapToGrid w:val="0"/>
        </w:rPr>
        <w:t>.</w:t>
      </w:r>
      <w:r>
        <w:rPr>
          <w:snapToGrid w:val="0"/>
        </w:rPr>
        <w:tab/>
        <w:t>Limitations to be indicated</w:t>
      </w:r>
      <w:bookmarkEnd w:id="145"/>
    </w:p>
    <w:p>
      <w:pPr>
        <w:pStyle w:val="Subsection"/>
        <w:rPr>
          <w:snapToGrid w:val="0"/>
        </w:rPr>
      </w:pPr>
      <w:r>
        <w:rPr>
          <w:snapToGrid w:val="0"/>
        </w:rPr>
        <w:tab/>
      </w:r>
      <w:r>
        <w:rPr>
          <w:snapToGrid w:val="0"/>
        </w:rPr>
        <w:tab/>
        <w:t>Every fabric measuring instrument which does not give accurate results when used for the measurement of all fabrics shall bear a stamp to indicate clearly its limitations.</w:t>
      </w:r>
    </w:p>
    <w:p>
      <w:pPr>
        <w:pStyle w:val="Footnotesection"/>
      </w:pPr>
      <w:r>
        <w:tab/>
        <w:t xml:space="preserve">[Regulation 114B inserted in Gazette 23 May 1960 p. 1404.] </w:t>
      </w:r>
    </w:p>
    <w:p>
      <w:pPr>
        <w:pStyle w:val="Heading5"/>
        <w:rPr>
          <w:snapToGrid w:val="0"/>
        </w:rPr>
      </w:pPr>
      <w:bookmarkStart w:id="146" w:name="_Toc390077171"/>
      <w:r>
        <w:rPr>
          <w:rStyle w:val="CharSectno"/>
        </w:rPr>
        <w:t>114C</w:t>
      </w:r>
      <w:r>
        <w:rPr>
          <w:snapToGrid w:val="0"/>
        </w:rPr>
        <w:t>.</w:t>
      </w:r>
      <w:r>
        <w:rPr>
          <w:snapToGrid w:val="0"/>
        </w:rPr>
        <w:tab/>
        <w:t>Adjusting devices</w:t>
      </w:r>
      <w:bookmarkEnd w:id="146"/>
    </w:p>
    <w:p>
      <w:pPr>
        <w:pStyle w:val="Subsection"/>
        <w:rPr>
          <w:snapToGrid w:val="0"/>
        </w:rPr>
      </w:pPr>
      <w:r>
        <w:rPr>
          <w:snapToGrid w:val="0"/>
        </w:rPr>
        <w:tab/>
      </w:r>
      <w:r>
        <w:rPr>
          <w:snapToGrid w:val="0"/>
        </w:rPr>
        <w:tab/>
        <w:t>Every adjusting device of a fabric measuring instrument shall be securely protected so that it cannot be altered without breaking the inspector’s seal.</w:t>
      </w:r>
    </w:p>
    <w:p>
      <w:pPr>
        <w:pStyle w:val="Footnotesection"/>
      </w:pPr>
      <w:r>
        <w:tab/>
        <w:t xml:space="preserve">[Regulation 114C inserted in Gazette 23 May 1960 p. 1405.] </w:t>
      </w:r>
    </w:p>
    <w:p>
      <w:pPr>
        <w:pStyle w:val="Heading5"/>
        <w:rPr>
          <w:snapToGrid w:val="0"/>
        </w:rPr>
      </w:pPr>
      <w:bookmarkStart w:id="147" w:name="_Toc390077172"/>
      <w:r>
        <w:rPr>
          <w:rStyle w:val="CharSectno"/>
        </w:rPr>
        <w:t>114D</w:t>
      </w:r>
      <w:r>
        <w:rPr>
          <w:snapToGrid w:val="0"/>
        </w:rPr>
        <w:t>.</w:t>
      </w:r>
      <w:r>
        <w:rPr>
          <w:snapToGrid w:val="0"/>
        </w:rPr>
        <w:tab/>
        <w:t>Tolerance</w:t>
      </w:r>
      <w:bookmarkEnd w:id="147"/>
    </w:p>
    <w:p>
      <w:pPr>
        <w:pStyle w:val="Subsection"/>
        <w:rPr>
          <w:snapToGrid w:val="0"/>
        </w:rPr>
      </w:pPr>
      <w:r>
        <w:rPr>
          <w:snapToGrid w:val="0"/>
        </w:rPr>
        <w:tab/>
        <w:t>(1)</w:t>
      </w:r>
      <w:r>
        <w:rPr>
          <w:snapToGrid w:val="0"/>
        </w:rPr>
        <w:tab/>
        <w:t>Every fabric measuring instrument shall be correct within the tolerance in error specified in Table XI.</w:t>
      </w:r>
    </w:p>
    <w:p>
      <w:pPr>
        <w:pStyle w:val="Subsection"/>
        <w:rPr>
          <w:snapToGrid w:val="0"/>
        </w:rPr>
      </w:pPr>
      <w:r>
        <w:rPr>
          <w:snapToGrid w:val="0"/>
        </w:rPr>
        <w:tab/>
        <w:t>(2)</w:t>
      </w:r>
      <w:r>
        <w:rPr>
          <w:snapToGrid w:val="0"/>
        </w:rPr>
        <w:tab/>
        <w:t>A test shall be made only by, with, or by the use of official testing tapes or other testing means approved by the Chief Inspector and in any case the testing medium shall be certified as correct by the Chief Inspector.</w:t>
      </w:r>
    </w:p>
    <w:p>
      <w:pPr>
        <w:pStyle w:val="Footnotesection"/>
      </w:pPr>
      <w:r>
        <w:tab/>
        <w:t xml:space="preserve">[Regulation 114D inserted in Gazette 23 May 1960 p. 1405; amended in Gazette 9 Sep 1968 p. 2744; 31 Aug 1984 p. 2829.] </w:t>
      </w:r>
    </w:p>
    <w:p>
      <w:pPr>
        <w:pStyle w:val="MiscellaneousHeading"/>
        <w:outlineLvl w:val="0"/>
        <w:rPr>
          <w:b/>
          <w:snapToGrid w:val="0"/>
        </w:rPr>
      </w:pPr>
      <w:r>
        <w:rPr>
          <w:b/>
          <w:snapToGrid w:val="0"/>
        </w:rPr>
        <w:t>Leather measuring instruments</w:t>
      </w:r>
    </w:p>
    <w:p>
      <w:pPr>
        <w:pStyle w:val="Heading5"/>
        <w:rPr>
          <w:snapToGrid w:val="0"/>
        </w:rPr>
      </w:pPr>
      <w:bookmarkStart w:id="148" w:name="_Toc390077173"/>
      <w:r>
        <w:rPr>
          <w:rStyle w:val="CharSectno"/>
        </w:rPr>
        <w:t>115</w:t>
      </w:r>
      <w:r>
        <w:rPr>
          <w:snapToGrid w:val="0"/>
        </w:rPr>
        <w:t>.</w:t>
      </w:r>
      <w:r>
        <w:rPr>
          <w:snapToGrid w:val="0"/>
        </w:rPr>
        <w:tab/>
        <w:t>Leather measuring instruments</w:t>
      </w:r>
      <w:bookmarkEnd w:id="148"/>
    </w:p>
    <w:p>
      <w:pPr>
        <w:pStyle w:val="Subsection"/>
        <w:rPr>
          <w:snapToGrid w:val="0"/>
        </w:rPr>
      </w:pPr>
      <w:r>
        <w:rPr>
          <w:snapToGrid w:val="0"/>
        </w:rPr>
        <w:tab/>
        <w:t>(1)</w:t>
      </w:r>
      <w:r>
        <w:rPr>
          <w:snapToGrid w:val="0"/>
        </w:rPr>
        <w:tab/>
        <w:t>In a leather measuring instrument, every contrivance for setting the pointer of any recording dial to zero, for adjusting any recording mechanism and for setting the position of any adjusting shaft which effects the raising and lowering of rollers, shall be secured in position by lock</w:t>
      </w:r>
      <w:r>
        <w:rPr>
          <w:snapToGrid w:val="0"/>
        </w:rPr>
        <w:noBreakHyphen/>
        <w:t>nuts or in any other manner approved by the Chief Inspector.</w:t>
      </w:r>
    </w:p>
    <w:p>
      <w:pPr>
        <w:pStyle w:val="Subsection"/>
        <w:rPr>
          <w:snapToGrid w:val="0"/>
        </w:rPr>
      </w:pPr>
      <w:r>
        <w:rPr>
          <w:snapToGrid w:val="0"/>
        </w:rPr>
        <w:tab/>
        <w:t>(2)</w:t>
      </w:r>
      <w:r>
        <w:rPr>
          <w:snapToGrid w:val="0"/>
        </w:rPr>
        <w:tab/>
        <w:t>A leather measuring instrument shall be tested for accuracy by means of official templets, which shall be chosen with due regard to size and thickness of the skins which the instrument is being or is to be used to measure and when templets are used in combination those templets shall all be of the same thickness.</w:t>
      </w:r>
    </w:p>
    <w:p>
      <w:pPr>
        <w:pStyle w:val="Subsection"/>
        <w:rPr>
          <w:snapToGrid w:val="0"/>
        </w:rPr>
      </w:pPr>
      <w:r>
        <w:rPr>
          <w:snapToGrid w:val="0"/>
        </w:rPr>
        <w:tab/>
        <w:t>(3)</w:t>
      </w:r>
      <w:r>
        <w:rPr>
          <w:snapToGrid w:val="0"/>
        </w:rPr>
        <w:tab/>
        <w:t>Every official templet shall be of pattern approved by the Chief Inspector and its area shall be certified by the Chief Inspector.</w:t>
      </w:r>
    </w:p>
    <w:p>
      <w:pPr>
        <w:pStyle w:val="Subsection"/>
        <w:rPr>
          <w:snapToGrid w:val="0"/>
        </w:rPr>
      </w:pPr>
      <w:r>
        <w:rPr>
          <w:snapToGrid w:val="0"/>
        </w:rPr>
        <w:tab/>
        <w:t>(4)</w:t>
      </w:r>
      <w:r>
        <w:rPr>
          <w:snapToGrid w:val="0"/>
        </w:rPr>
        <w:tab/>
        <w:t>Every leather measuring instrument in use for trade shall be verified at least once in every 12 months.</w:t>
      </w:r>
    </w:p>
    <w:p>
      <w:pPr>
        <w:pStyle w:val="Footnotesection"/>
      </w:pPr>
      <w:r>
        <w:tab/>
        <w:t xml:space="preserve">[Regulation 115 inserted in Gazette 23 May 1960 p. 1405; amended in Gazette 9 Sep 1968 p. 2744; 31 Aug 1984 p. 2829.] </w:t>
      </w:r>
    </w:p>
    <w:p>
      <w:pPr>
        <w:pStyle w:val="Heading5"/>
        <w:rPr>
          <w:snapToGrid w:val="0"/>
        </w:rPr>
      </w:pPr>
      <w:bookmarkStart w:id="149" w:name="_Toc390077174"/>
      <w:r>
        <w:rPr>
          <w:rStyle w:val="CharSectno"/>
        </w:rPr>
        <w:t>115A</w:t>
      </w:r>
      <w:r>
        <w:rPr>
          <w:snapToGrid w:val="0"/>
        </w:rPr>
        <w:t>.</w:t>
      </w:r>
      <w:r>
        <w:rPr>
          <w:snapToGrid w:val="0"/>
        </w:rPr>
        <w:tab/>
        <w:t>Tolerance</w:t>
      </w:r>
      <w:bookmarkEnd w:id="149"/>
    </w:p>
    <w:p>
      <w:pPr>
        <w:pStyle w:val="Subsection"/>
        <w:rPr>
          <w:snapToGrid w:val="0"/>
        </w:rPr>
      </w:pPr>
      <w:r>
        <w:rPr>
          <w:snapToGrid w:val="0"/>
        </w:rPr>
        <w:tab/>
      </w:r>
      <w:r>
        <w:rPr>
          <w:snapToGrid w:val="0"/>
        </w:rPr>
        <w:tab/>
        <w:t>The tolerances on leather measuring instruments on verification shall be as specified in Table XII.</w:t>
      </w:r>
    </w:p>
    <w:p>
      <w:pPr>
        <w:pStyle w:val="Footnotesection"/>
      </w:pPr>
      <w:r>
        <w:tab/>
        <w:t xml:space="preserve">[Regulation 115A inserted in Gazette 23 May 1960 p. 1405.] </w:t>
      </w:r>
    </w:p>
    <w:p>
      <w:pPr>
        <w:pStyle w:val="MiscellaneousHeading"/>
        <w:outlineLvl w:val="0"/>
        <w:rPr>
          <w:b/>
          <w:snapToGrid w:val="0"/>
        </w:rPr>
      </w:pPr>
      <w:r>
        <w:rPr>
          <w:b/>
          <w:snapToGrid w:val="0"/>
        </w:rPr>
        <w:t>Chondrometers</w:t>
      </w:r>
    </w:p>
    <w:p>
      <w:pPr>
        <w:pStyle w:val="Heading5"/>
        <w:rPr>
          <w:snapToGrid w:val="0"/>
        </w:rPr>
      </w:pPr>
      <w:bookmarkStart w:id="150" w:name="_Toc390077175"/>
      <w:r>
        <w:rPr>
          <w:rStyle w:val="CharSectno"/>
        </w:rPr>
        <w:t>116</w:t>
      </w:r>
      <w:r>
        <w:rPr>
          <w:snapToGrid w:val="0"/>
        </w:rPr>
        <w:t>.</w:t>
      </w:r>
      <w:r>
        <w:rPr>
          <w:snapToGrid w:val="0"/>
        </w:rPr>
        <w:tab/>
        <w:t>Chondrometer</w:t>
      </w:r>
      <w:bookmarkEnd w:id="150"/>
    </w:p>
    <w:p>
      <w:pPr>
        <w:pStyle w:val="Subsection"/>
        <w:rPr>
          <w:snapToGrid w:val="0"/>
        </w:rPr>
      </w:pPr>
      <w:r>
        <w:rPr>
          <w:snapToGrid w:val="0"/>
        </w:rPr>
        <w:tab/>
      </w:r>
      <w:r>
        <w:rPr>
          <w:snapToGrid w:val="0"/>
        </w:rPr>
        <w:tab/>
        <w:t>A chondrometer shall — </w:t>
      </w:r>
    </w:p>
    <w:p>
      <w:pPr>
        <w:pStyle w:val="Indenta"/>
        <w:rPr>
          <w:snapToGrid w:val="0"/>
        </w:rPr>
      </w:pPr>
      <w:r>
        <w:rPr>
          <w:snapToGrid w:val="0"/>
        </w:rPr>
        <w:tab/>
        <w:t>(1)</w:t>
      </w:r>
      <w:r>
        <w:rPr>
          <w:snapToGrid w:val="0"/>
        </w:rPr>
        <w:tab/>
        <w:t>be constructed on either the counter steelyard or equal arm beam principle;</w:t>
      </w:r>
    </w:p>
    <w:p>
      <w:pPr>
        <w:pStyle w:val="Indenta"/>
        <w:rPr>
          <w:snapToGrid w:val="0"/>
        </w:rPr>
      </w:pPr>
      <w:r>
        <w:rPr>
          <w:snapToGrid w:val="0"/>
        </w:rPr>
        <w:tab/>
        <w:t>(2)</w:t>
      </w:r>
      <w:r>
        <w:rPr>
          <w:snapToGrid w:val="0"/>
        </w:rPr>
        <w:tab/>
        <w:t>have a vibrating action;</w:t>
      </w:r>
    </w:p>
    <w:p>
      <w:pPr>
        <w:pStyle w:val="Indenta"/>
        <w:rPr>
          <w:snapToGrid w:val="0"/>
        </w:rPr>
      </w:pPr>
      <w:r>
        <w:rPr>
          <w:snapToGrid w:val="0"/>
        </w:rPr>
        <w:tab/>
        <w:t>(3)</w:t>
      </w:r>
      <w:r>
        <w:rPr>
          <w:snapToGrid w:val="0"/>
        </w:rPr>
        <w:tab/>
        <w:t>when of the counter steelyard type be provided with a suitable steelyard guide or carrier;</w:t>
      </w:r>
    </w:p>
    <w:p>
      <w:pPr>
        <w:pStyle w:val="Indenta"/>
        <w:rPr>
          <w:snapToGrid w:val="0"/>
        </w:rPr>
      </w:pPr>
      <w:r>
        <w:rPr>
          <w:snapToGrid w:val="0"/>
        </w:rPr>
        <w:tab/>
        <w:t>(4)</w:t>
      </w:r>
      <w:r>
        <w:rPr>
          <w:snapToGrid w:val="0"/>
        </w:rPr>
        <w:tab/>
        <w:t>have the filler, striker, and measuring chamber of a type similar to the official chondrometer deposited in the office of the Chief Inspector, or of a type approved by the Chief Inspector, and have all parts fitted and finished equal to such example;</w:t>
      </w:r>
    </w:p>
    <w:p>
      <w:pPr>
        <w:pStyle w:val="Indenta"/>
        <w:rPr>
          <w:snapToGrid w:val="0"/>
        </w:rPr>
      </w:pPr>
      <w:r>
        <w:rPr>
          <w:snapToGrid w:val="0"/>
        </w:rPr>
        <w:tab/>
        <w:t>(5)</w:t>
      </w:r>
      <w:r>
        <w:rPr>
          <w:snapToGrid w:val="0"/>
        </w:rPr>
        <w:tab/>
        <w:t>have a measuring cylinder of a capacity of 1 pint or more, and have such capacity marked thereon;</w:t>
      </w:r>
    </w:p>
    <w:p>
      <w:pPr>
        <w:pStyle w:val="Indenta"/>
        <w:rPr>
          <w:snapToGrid w:val="0"/>
        </w:rPr>
      </w:pPr>
      <w:r>
        <w:rPr>
          <w:snapToGrid w:val="0"/>
        </w:rPr>
        <w:tab/>
        <w:t>(6)</w:t>
      </w:r>
      <w:r>
        <w:rPr>
          <w:snapToGrid w:val="0"/>
        </w:rPr>
        <w:tab/>
        <w:t>be distinctly sensitive to the addition or subtraction of a weight equivalent to the registration of 2 oz. on the steelyard.</w:t>
      </w:r>
    </w:p>
    <w:p>
      <w:pPr>
        <w:pStyle w:val="Footnotesection"/>
      </w:pPr>
      <w:r>
        <w:tab/>
        <w:t xml:space="preserve">[Regulation 116 amended in Gazette 9 Sep 1968 p. 2744; 31 Aug 1984 p. 2829.] </w:t>
      </w:r>
    </w:p>
    <w:p>
      <w:pPr>
        <w:pStyle w:val="Heading5"/>
        <w:rPr>
          <w:snapToGrid w:val="0"/>
        </w:rPr>
      </w:pPr>
      <w:bookmarkStart w:id="151" w:name="_Toc390077176"/>
      <w:r>
        <w:rPr>
          <w:rStyle w:val="CharSectno"/>
        </w:rPr>
        <w:t>117</w:t>
      </w:r>
      <w:r>
        <w:rPr>
          <w:snapToGrid w:val="0"/>
        </w:rPr>
        <w:t>.</w:t>
      </w:r>
      <w:r>
        <w:rPr>
          <w:snapToGrid w:val="0"/>
        </w:rPr>
        <w:tab/>
        <w:t>Steelyards of chondrometers</w:t>
      </w:r>
      <w:bookmarkEnd w:id="151"/>
    </w:p>
    <w:p>
      <w:pPr>
        <w:pStyle w:val="Subsection"/>
        <w:rPr>
          <w:snapToGrid w:val="0"/>
        </w:rPr>
      </w:pPr>
      <w:r>
        <w:rPr>
          <w:snapToGrid w:val="0"/>
        </w:rPr>
        <w:tab/>
      </w:r>
      <w:r>
        <w:rPr>
          <w:snapToGrid w:val="0"/>
        </w:rPr>
        <w:tab/>
        <w:t>The steelyard of a chondrometer shall — </w:t>
      </w:r>
    </w:p>
    <w:p>
      <w:pPr>
        <w:pStyle w:val="Indenta"/>
        <w:rPr>
          <w:snapToGrid w:val="0"/>
        </w:rPr>
      </w:pPr>
      <w:r>
        <w:rPr>
          <w:snapToGrid w:val="0"/>
        </w:rPr>
        <w:tab/>
        <w:t>(1)</w:t>
      </w:r>
      <w:r>
        <w:rPr>
          <w:snapToGrid w:val="0"/>
        </w:rPr>
        <w:tab/>
        <w:t>be graduated by quarter</w:t>
      </w:r>
      <w:r>
        <w:rPr>
          <w:snapToGrid w:val="0"/>
        </w:rPr>
        <w:noBreakHyphen/>
        <w:t>pound subdivisions to a maximum indication of not less than 70 lb. per bushel;</w:t>
      </w:r>
    </w:p>
    <w:p>
      <w:pPr>
        <w:pStyle w:val="Indenta"/>
        <w:rPr>
          <w:snapToGrid w:val="0"/>
        </w:rPr>
      </w:pPr>
      <w:r>
        <w:rPr>
          <w:snapToGrid w:val="0"/>
        </w:rPr>
        <w:tab/>
        <w:t>(2)</w:t>
      </w:r>
      <w:r>
        <w:rPr>
          <w:snapToGrid w:val="0"/>
        </w:rPr>
        <w:tab/>
        <w:t>have such graduations commencing either from zero or 32 lb.;</w:t>
      </w:r>
    </w:p>
    <w:p>
      <w:pPr>
        <w:pStyle w:val="Indenta"/>
        <w:rPr>
          <w:snapToGrid w:val="0"/>
        </w:rPr>
      </w:pPr>
      <w:r>
        <w:rPr>
          <w:snapToGrid w:val="0"/>
        </w:rPr>
        <w:tab/>
        <w:t>(3)</w:t>
      </w:r>
      <w:r>
        <w:rPr>
          <w:snapToGrid w:val="0"/>
        </w:rPr>
        <w:tab/>
        <w:t>have not more than 20 graduations per inch.</w:t>
      </w:r>
    </w:p>
    <w:p>
      <w:pPr>
        <w:pStyle w:val="Heading5"/>
        <w:rPr>
          <w:snapToGrid w:val="0"/>
        </w:rPr>
      </w:pPr>
      <w:bookmarkStart w:id="152" w:name="_Toc390077177"/>
      <w:r>
        <w:rPr>
          <w:rStyle w:val="CharSectno"/>
        </w:rPr>
        <w:t>118</w:t>
      </w:r>
      <w:r>
        <w:rPr>
          <w:snapToGrid w:val="0"/>
        </w:rPr>
        <w:t>.</w:t>
      </w:r>
      <w:r>
        <w:rPr>
          <w:snapToGrid w:val="0"/>
        </w:rPr>
        <w:tab/>
        <w:t>Graduations on chondrometers</w:t>
      </w:r>
      <w:bookmarkEnd w:id="152"/>
    </w:p>
    <w:p>
      <w:pPr>
        <w:pStyle w:val="Subsection"/>
        <w:rPr>
          <w:snapToGrid w:val="0"/>
        </w:rPr>
      </w:pPr>
      <w:r>
        <w:rPr>
          <w:snapToGrid w:val="0"/>
        </w:rPr>
        <w:tab/>
      </w:r>
      <w:r>
        <w:rPr>
          <w:snapToGrid w:val="0"/>
        </w:rPr>
        <w:tab/>
        <w:t>When the graduations on the steelyard of a chondrometer commence other than from zero, a brass weight which will balance the instrument at the first graduation shall be provided and suitable fitted in the chondrometer box. Such balance weight shall be marked with its actual weight and the weight which it balances on the steelyard of the chondrometer in the following manner, for example — </w:t>
      </w:r>
    </w:p>
    <w:p>
      <w:pPr>
        <w:pStyle w:val="MiscellaneousHeading"/>
        <w:outlineLvl w:val="0"/>
        <w:rPr>
          <w:snapToGrid w:val="0"/>
        </w:rPr>
      </w:pPr>
      <w:r>
        <w:rPr>
          <w:snapToGrid w:val="0"/>
        </w:rPr>
        <w:t>Balance weight, 8 oz. = 32 lb.</w:t>
      </w:r>
    </w:p>
    <w:p>
      <w:pPr>
        <w:pStyle w:val="Heading5"/>
        <w:rPr>
          <w:snapToGrid w:val="0"/>
        </w:rPr>
      </w:pPr>
      <w:bookmarkStart w:id="153" w:name="_Toc390077178"/>
      <w:r>
        <w:rPr>
          <w:rStyle w:val="CharSectno"/>
        </w:rPr>
        <w:t>119</w:t>
      </w:r>
      <w:r>
        <w:rPr>
          <w:snapToGrid w:val="0"/>
        </w:rPr>
        <w:t>.</w:t>
      </w:r>
      <w:r>
        <w:rPr>
          <w:snapToGrid w:val="0"/>
        </w:rPr>
        <w:tab/>
        <w:t>Tolerance</w:t>
      </w:r>
      <w:bookmarkEnd w:id="153"/>
    </w:p>
    <w:p>
      <w:pPr>
        <w:pStyle w:val="Subsection"/>
        <w:rPr>
          <w:snapToGrid w:val="0"/>
        </w:rPr>
      </w:pPr>
      <w:r>
        <w:rPr>
          <w:snapToGrid w:val="0"/>
        </w:rPr>
        <w:tab/>
      </w:r>
      <w:r>
        <w:rPr>
          <w:snapToGrid w:val="0"/>
        </w:rPr>
        <w:tab/>
        <w:t>The permissible variation from accuracy of indication by a chondrometer shall not exceed 2 oz. per bushel, and for the purpose of verification such accuracy shall be determined on the mean average of not less than 10 weighings against the mean average of 10 weighings by the official chondrometer.</w:t>
      </w:r>
    </w:p>
    <w:p>
      <w:pPr>
        <w:pStyle w:val="Heading5"/>
        <w:rPr>
          <w:snapToGrid w:val="0"/>
        </w:rPr>
      </w:pPr>
      <w:bookmarkStart w:id="154" w:name="_Toc390077179"/>
      <w:r>
        <w:rPr>
          <w:rStyle w:val="CharSectno"/>
        </w:rPr>
        <w:t>120</w:t>
      </w:r>
      <w:r>
        <w:rPr>
          <w:snapToGrid w:val="0"/>
        </w:rPr>
        <w:t>.</w:t>
      </w:r>
      <w:r>
        <w:rPr>
          <w:snapToGrid w:val="0"/>
        </w:rPr>
        <w:tab/>
        <w:t>Chondrometers to be cased</w:t>
      </w:r>
      <w:bookmarkEnd w:id="154"/>
    </w:p>
    <w:p>
      <w:pPr>
        <w:pStyle w:val="Subsection"/>
        <w:rPr>
          <w:snapToGrid w:val="0"/>
        </w:rPr>
      </w:pPr>
      <w:r>
        <w:rPr>
          <w:snapToGrid w:val="0"/>
        </w:rPr>
        <w:tab/>
      </w:r>
      <w:r>
        <w:rPr>
          <w:snapToGrid w:val="0"/>
        </w:rPr>
        <w:tab/>
        <w:t>A chondrometer shall be provided with a case of approved design, and shall be so fitted and secured therein as to preclude as far as practicable wear or injury during conveyance.</w:t>
      </w:r>
    </w:p>
    <w:p>
      <w:pPr>
        <w:pStyle w:val="MiscellaneousHeading"/>
        <w:outlineLvl w:val="0"/>
        <w:rPr>
          <w:b/>
          <w:snapToGrid w:val="0"/>
        </w:rPr>
      </w:pPr>
      <w:r>
        <w:rPr>
          <w:b/>
          <w:snapToGrid w:val="0"/>
        </w:rPr>
        <w:t>Submission of weights, measures, and instruments for verification</w:t>
      </w:r>
    </w:p>
    <w:p>
      <w:pPr>
        <w:pStyle w:val="Heading5"/>
        <w:rPr>
          <w:snapToGrid w:val="0"/>
        </w:rPr>
      </w:pPr>
      <w:bookmarkStart w:id="155" w:name="_Toc390077180"/>
      <w:r>
        <w:rPr>
          <w:rStyle w:val="CharSectno"/>
        </w:rPr>
        <w:t>121</w:t>
      </w:r>
      <w:r>
        <w:rPr>
          <w:snapToGrid w:val="0"/>
        </w:rPr>
        <w:t>.</w:t>
      </w:r>
      <w:r>
        <w:rPr>
          <w:snapToGrid w:val="0"/>
        </w:rPr>
        <w:tab/>
        <w:t>Application for verification</w:t>
      </w:r>
      <w:bookmarkEnd w:id="155"/>
    </w:p>
    <w:p>
      <w:pPr>
        <w:pStyle w:val="Subsection"/>
        <w:rPr>
          <w:snapToGrid w:val="0"/>
        </w:rPr>
      </w:pPr>
      <w:r>
        <w:rPr>
          <w:snapToGrid w:val="0"/>
        </w:rPr>
        <w:tab/>
      </w:r>
      <w:r>
        <w:rPr>
          <w:snapToGrid w:val="0"/>
        </w:rPr>
        <w:tab/>
        <w:t>Any person presenting a weight, measure, or instrument for verification shall, if required, state the full name and address of the owner thereof and the trade or purpose for which such weight, measure, or instrument is used or to be used.</w:t>
      </w:r>
    </w:p>
    <w:p>
      <w:pPr>
        <w:pStyle w:val="Heading5"/>
        <w:rPr>
          <w:snapToGrid w:val="0"/>
        </w:rPr>
      </w:pPr>
      <w:bookmarkStart w:id="156" w:name="_Toc390077181"/>
      <w:r>
        <w:rPr>
          <w:rStyle w:val="CharSectno"/>
        </w:rPr>
        <w:t>122</w:t>
      </w:r>
      <w:r>
        <w:rPr>
          <w:snapToGrid w:val="0"/>
        </w:rPr>
        <w:t>.</w:t>
      </w:r>
      <w:r>
        <w:rPr>
          <w:snapToGrid w:val="0"/>
        </w:rPr>
        <w:tab/>
        <w:t>Verification in metropolitan office</w:t>
      </w:r>
      <w:bookmarkEnd w:id="156"/>
    </w:p>
    <w:p>
      <w:pPr>
        <w:pStyle w:val="Subsection"/>
        <w:rPr>
          <w:snapToGrid w:val="0"/>
        </w:rPr>
      </w:pPr>
      <w:r>
        <w:rPr>
          <w:snapToGrid w:val="0"/>
        </w:rPr>
        <w:tab/>
      </w:r>
      <w:r>
        <w:rPr>
          <w:snapToGrid w:val="0"/>
        </w:rPr>
        <w:tab/>
        <w:t>Weighing and measuring appliances specified hereunder shall, unless otherwise approved by the Chief Inspector, be verified at the metropolitan office only — </w:t>
      </w:r>
    </w:p>
    <w:p>
      <w:pPr>
        <w:pStyle w:val="MiscellaneousHeading"/>
        <w:outlineLvl w:val="0"/>
        <w:rPr>
          <w:i/>
          <w:snapToGrid w:val="0"/>
        </w:rPr>
      </w:pPr>
      <w:r>
        <w:rPr>
          <w:i/>
          <w:snapToGrid w:val="0"/>
        </w:rPr>
        <w:t>Weights.</w:t>
      </w:r>
    </w:p>
    <w:p>
      <w:pPr>
        <w:pStyle w:val="MiscellaneousBody"/>
        <w:spacing w:before="0"/>
        <w:ind w:left="2410"/>
        <w:rPr>
          <w:snapToGrid w:val="0"/>
        </w:rPr>
      </w:pPr>
      <w:r>
        <w:rPr>
          <w:snapToGrid w:val="0"/>
        </w:rPr>
        <w:t>Decimal grain weights.</w:t>
      </w:r>
    </w:p>
    <w:p>
      <w:pPr>
        <w:pStyle w:val="MiscellaneousBody"/>
        <w:spacing w:before="0"/>
        <w:ind w:left="2410"/>
        <w:rPr>
          <w:snapToGrid w:val="0"/>
        </w:rPr>
      </w:pPr>
      <w:r>
        <w:rPr>
          <w:snapToGrid w:val="0"/>
        </w:rPr>
        <w:t>Troy weights.</w:t>
      </w:r>
    </w:p>
    <w:p>
      <w:pPr>
        <w:pStyle w:val="MiscellaneousBody"/>
        <w:spacing w:before="0"/>
        <w:ind w:left="2410"/>
        <w:rPr>
          <w:snapToGrid w:val="0"/>
        </w:rPr>
      </w:pPr>
      <w:r>
        <w:rPr>
          <w:snapToGrid w:val="0"/>
        </w:rPr>
        <w:t>Apothecaries’ weights.</w:t>
      </w:r>
    </w:p>
    <w:p>
      <w:pPr>
        <w:pStyle w:val="MiscellaneousBody"/>
        <w:spacing w:before="0"/>
        <w:ind w:left="2410"/>
        <w:rPr>
          <w:snapToGrid w:val="0"/>
        </w:rPr>
      </w:pPr>
      <w:r>
        <w:rPr>
          <w:snapToGrid w:val="0"/>
        </w:rPr>
        <w:t>Metric carat weights.</w:t>
      </w:r>
    </w:p>
    <w:p>
      <w:pPr>
        <w:pStyle w:val="MiscellaneousHeading"/>
        <w:rPr>
          <w:i/>
          <w:snapToGrid w:val="0"/>
        </w:rPr>
      </w:pPr>
      <w:r>
        <w:rPr>
          <w:i/>
          <w:snapToGrid w:val="0"/>
        </w:rPr>
        <w:t>Measures.</w:t>
      </w:r>
    </w:p>
    <w:p>
      <w:pPr>
        <w:pStyle w:val="MiscellaneousBody"/>
        <w:spacing w:before="0"/>
        <w:jc w:val="center"/>
        <w:rPr>
          <w:snapToGrid w:val="0"/>
        </w:rPr>
      </w:pPr>
      <w:r>
        <w:rPr>
          <w:snapToGrid w:val="0"/>
        </w:rPr>
        <w:t>Any measure of glass or enamelled metal.</w:t>
      </w:r>
    </w:p>
    <w:p>
      <w:pPr>
        <w:pStyle w:val="MiscellaneousHeading"/>
        <w:rPr>
          <w:i/>
          <w:snapToGrid w:val="0"/>
        </w:rPr>
      </w:pPr>
      <w:r>
        <w:rPr>
          <w:i/>
          <w:snapToGrid w:val="0"/>
        </w:rPr>
        <w:t>Instruments.</w:t>
      </w:r>
    </w:p>
    <w:p>
      <w:pPr>
        <w:pStyle w:val="MiscellaneousBody"/>
        <w:spacing w:before="0"/>
        <w:ind w:left="2127"/>
        <w:rPr>
          <w:snapToGrid w:val="0"/>
        </w:rPr>
      </w:pPr>
      <w:r>
        <w:rPr>
          <w:snapToGrid w:val="0"/>
        </w:rPr>
        <w:t>Chondrometers.</w:t>
      </w:r>
    </w:p>
    <w:p>
      <w:pPr>
        <w:pStyle w:val="MiscellaneousBody"/>
        <w:spacing w:before="0"/>
        <w:ind w:left="2127"/>
        <w:rPr>
          <w:snapToGrid w:val="0"/>
        </w:rPr>
      </w:pPr>
      <w:r>
        <w:rPr>
          <w:snapToGrid w:val="0"/>
        </w:rPr>
        <w:t>Fabric measuring machines.</w:t>
      </w:r>
    </w:p>
    <w:p>
      <w:pPr>
        <w:pStyle w:val="MiscellaneousBody"/>
        <w:spacing w:before="0"/>
        <w:ind w:left="2127"/>
        <w:rPr>
          <w:snapToGrid w:val="0"/>
        </w:rPr>
      </w:pPr>
      <w:r>
        <w:rPr>
          <w:snapToGrid w:val="0"/>
        </w:rPr>
        <w:t>Leather measuring machines.</w:t>
      </w:r>
    </w:p>
    <w:p>
      <w:pPr>
        <w:pStyle w:val="Footnotesection"/>
      </w:pPr>
      <w:r>
        <w:tab/>
        <w:t xml:space="preserve">[Regulation 122 amended in Gazette 9 Sep 1968 p. 2744; 31 Aug 1984 p. 2829.] </w:t>
      </w:r>
    </w:p>
    <w:p>
      <w:pPr>
        <w:pStyle w:val="Heading5"/>
        <w:rPr>
          <w:snapToGrid w:val="0"/>
        </w:rPr>
      </w:pPr>
      <w:bookmarkStart w:id="157" w:name="_Toc390077182"/>
      <w:r>
        <w:rPr>
          <w:rStyle w:val="CharSectno"/>
        </w:rPr>
        <w:t>123</w:t>
      </w:r>
      <w:r>
        <w:rPr>
          <w:snapToGrid w:val="0"/>
        </w:rPr>
        <w:t>.</w:t>
      </w:r>
      <w:r>
        <w:rPr>
          <w:snapToGrid w:val="0"/>
        </w:rPr>
        <w:tab/>
        <w:t>Verification of weighbridges and fixed instruments</w:t>
      </w:r>
      <w:bookmarkEnd w:id="157"/>
    </w:p>
    <w:p>
      <w:pPr>
        <w:pStyle w:val="Subsection"/>
        <w:spacing w:before="140"/>
        <w:rPr>
          <w:snapToGrid w:val="0"/>
        </w:rPr>
      </w:pPr>
      <w:r>
        <w:rPr>
          <w:snapToGrid w:val="0"/>
        </w:rPr>
        <w:tab/>
      </w:r>
      <w:r>
        <w:rPr>
          <w:snapToGrid w:val="0"/>
        </w:rPr>
        <w:tab/>
        <w:t>Weighbridges and other fixed weighing instruments and fixed measuring instruments and portable weighing instruments of a capacity of 2,000 lb. or more shall, on application by the owner, user or agent, subject to compliance with regulation 125, and the payment of the mileage fee prescribed by regulation 124, if required, be verified at the premises where used.</w:t>
      </w:r>
    </w:p>
    <w:p>
      <w:pPr>
        <w:pStyle w:val="Heading5"/>
        <w:rPr>
          <w:snapToGrid w:val="0"/>
        </w:rPr>
      </w:pPr>
      <w:bookmarkStart w:id="158" w:name="_Toc390077183"/>
      <w:r>
        <w:rPr>
          <w:rStyle w:val="CharSectno"/>
        </w:rPr>
        <w:t>124</w:t>
      </w:r>
      <w:r>
        <w:rPr>
          <w:snapToGrid w:val="0"/>
        </w:rPr>
        <w:t>.</w:t>
      </w:r>
      <w:r>
        <w:rPr>
          <w:snapToGrid w:val="0"/>
        </w:rPr>
        <w:tab/>
        <w:t>Verification of other weights, measures and instruments</w:t>
      </w:r>
      <w:bookmarkEnd w:id="158"/>
    </w:p>
    <w:p>
      <w:pPr>
        <w:pStyle w:val="Subsection"/>
        <w:spacing w:before="140"/>
        <w:rPr>
          <w:snapToGrid w:val="0"/>
          <w:spacing w:val="-2"/>
        </w:rPr>
      </w:pPr>
      <w:r>
        <w:rPr>
          <w:snapToGrid w:val="0"/>
        </w:rPr>
        <w:tab/>
      </w:r>
      <w:r>
        <w:rPr>
          <w:snapToGrid w:val="0"/>
        </w:rPr>
        <w:tab/>
      </w:r>
      <w:r>
        <w:rPr>
          <w:snapToGrid w:val="0"/>
          <w:spacing w:val="-2"/>
        </w:rPr>
        <w:t>Weights, measures, and instruments other than those specified in regulation 123 shall, unless otherwise arranged by the inspector, be presented for verification purposes at the Inspector’s office.</w:t>
      </w:r>
    </w:p>
    <w:p>
      <w:pPr>
        <w:pStyle w:val="Subsection"/>
        <w:spacing w:before="140"/>
        <w:rPr>
          <w:snapToGrid w:val="0"/>
        </w:rPr>
      </w:pPr>
      <w:r>
        <w:rPr>
          <w:snapToGrid w:val="0"/>
        </w:rPr>
        <w:tab/>
      </w:r>
      <w:r>
        <w:rPr>
          <w:snapToGrid w:val="0"/>
        </w:rPr>
        <w:tab/>
        <w:t>Provided — </w:t>
      </w:r>
    </w:p>
    <w:p>
      <w:pPr>
        <w:pStyle w:val="Indenta"/>
        <w:rPr>
          <w:snapToGrid w:val="0"/>
        </w:rPr>
      </w:pPr>
      <w:r>
        <w:rPr>
          <w:snapToGrid w:val="0"/>
        </w:rPr>
        <w:tab/>
        <w:t>(a)</w:t>
      </w:r>
      <w:r>
        <w:rPr>
          <w:snapToGrid w:val="0"/>
        </w:rPr>
        <w:tab/>
        <w:t>portable weighing or measuring instruments may, on the application of manufacturer, seller, or scale repairer, or the user, be verified at the premises of such person, subject to the following conditions — </w:t>
      </w:r>
    </w:p>
    <w:p>
      <w:pPr>
        <w:pStyle w:val="Indenti"/>
        <w:rPr>
          <w:snapToGrid w:val="0"/>
        </w:rPr>
      </w:pPr>
      <w:r>
        <w:rPr>
          <w:snapToGrid w:val="0"/>
        </w:rPr>
        <w:tab/>
        <w:t>(1)</w:t>
      </w:r>
      <w:r>
        <w:rPr>
          <w:snapToGrid w:val="0"/>
        </w:rPr>
        <w:tab/>
        <w:t>such premises shall be suitable for the purpose of verification;</w:t>
      </w:r>
    </w:p>
    <w:p>
      <w:pPr>
        <w:pStyle w:val="Indenti"/>
        <w:rPr>
          <w:snapToGrid w:val="0"/>
        </w:rPr>
      </w:pPr>
      <w:r>
        <w:rPr>
          <w:snapToGrid w:val="0"/>
        </w:rPr>
        <w:tab/>
        <w:t>(2)</w:t>
      </w:r>
      <w:r>
        <w:rPr>
          <w:snapToGrid w:val="0"/>
        </w:rPr>
        <w:tab/>
        <w:t>regulation 125 of Part IV shall be complied with;</w:t>
      </w:r>
    </w:p>
    <w:p>
      <w:pPr>
        <w:pStyle w:val="Indenti"/>
        <w:rPr>
          <w:snapToGrid w:val="0"/>
        </w:rPr>
      </w:pPr>
      <w:r>
        <w:rPr>
          <w:snapToGrid w:val="0"/>
        </w:rPr>
        <w:tab/>
        <w:t>(3)</w:t>
      </w:r>
      <w:r>
        <w:rPr>
          <w:snapToGrid w:val="0"/>
        </w:rPr>
        <w:tab/>
        <w:t>the mileage fee shall be as prescribed by Table XIIIB;</w:t>
      </w:r>
    </w:p>
    <w:p>
      <w:pPr>
        <w:pStyle w:val="Indenta"/>
        <w:rPr>
          <w:snapToGrid w:val="0"/>
        </w:rPr>
      </w:pPr>
      <w:r>
        <w:rPr>
          <w:snapToGrid w:val="0"/>
        </w:rPr>
        <w:tab/>
        <w:t>(b)</w:t>
      </w:r>
      <w:r>
        <w:rPr>
          <w:snapToGrid w:val="0"/>
        </w:rPr>
        <w:tab/>
        <w:t>fixed measures of length may, on application by the user, be verified on the premises of such person on payment of the mileage fee prescribed in paragraph (a)(3) of this proviso.</w:t>
      </w:r>
    </w:p>
    <w:p>
      <w:pPr>
        <w:pStyle w:val="Subsection"/>
        <w:rPr>
          <w:snapToGrid w:val="0"/>
        </w:rPr>
      </w:pPr>
      <w:r>
        <w:rPr>
          <w:snapToGrid w:val="0"/>
        </w:rPr>
        <w:tab/>
      </w:r>
      <w:r>
        <w:rPr>
          <w:snapToGrid w:val="0"/>
        </w:rPr>
        <w:tab/>
        <w:t>Provided also that the mileage fee may be remitted by the Chief Inspector in his discretion when the means of conveyance are provided by and at the cost of the manufacturer, seller, repairer, owner, or user, as the case may be.</w:t>
      </w:r>
    </w:p>
    <w:p>
      <w:pPr>
        <w:pStyle w:val="Footnotesection"/>
      </w:pPr>
      <w:r>
        <w:tab/>
        <w:t xml:space="preserve">[Regulation 124 amended in Gazette 14 Oct 1927 p. 2349; 4 Mar 1949 p. 416; 9 Apr 1957 p. 1074; 23 May 1960 p. 1405; 9 Sep 1968 p. 2744; 31 Aug 1984 p. 2829.] </w:t>
      </w:r>
    </w:p>
    <w:p>
      <w:pPr>
        <w:pStyle w:val="Heading5"/>
        <w:rPr>
          <w:snapToGrid w:val="0"/>
        </w:rPr>
      </w:pPr>
      <w:bookmarkStart w:id="159" w:name="_Toc390077184"/>
      <w:r>
        <w:rPr>
          <w:rStyle w:val="CharSectno"/>
        </w:rPr>
        <w:t>125</w:t>
      </w:r>
      <w:r>
        <w:rPr>
          <w:snapToGrid w:val="0"/>
        </w:rPr>
        <w:t>.</w:t>
      </w:r>
      <w:r>
        <w:rPr>
          <w:snapToGrid w:val="0"/>
        </w:rPr>
        <w:tab/>
        <w:t>Obligations of applicant</w:t>
      </w:r>
      <w:bookmarkEnd w:id="159"/>
    </w:p>
    <w:p>
      <w:pPr>
        <w:pStyle w:val="Subsection"/>
        <w:rPr>
          <w:snapToGrid w:val="0"/>
        </w:rPr>
      </w:pPr>
      <w:r>
        <w:rPr>
          <w:snapToGrid w:val="0"/>
        </w:rPr>
        <w:tab/>
      </w:r>
      <w:r>
        <w:rPr>
          <w:snapToGrid w:val="0"/>
        </w:rPr>
        <w:tab/>
        <w:t>A person applying for the verification on his premises of any weighing or measuring instrument shall — </w:t>
      </w:r>
    </w:p>
    <w:p>
      <w:pPr>
        <w:pStyle w:val="Indenta"/>
        <w:rPr>
          <w:snapToGrid w:val="0"/>
        </w:rPr>
      </w:pPr>
      <w:r>
        <w:rPr>
          <w:snapToGrid w:val="0"/>
        </w:rPr>
        <w:tab/>
        <w:t>(a)</w:t>
      </w:r>
      <w:r>
        <w:rPr>
          <w:snapToGrid w:val="0"/>
        </w:rPr>
        <w:tab/>
        <w:t>when required by the Inspector convey to such premises from the Inspector’s office or such other place as indicated by such Inspector not being a greater distance than such office such test weights or measures as the Inspector deems necessary;</w:t>
      </w:r>
    </w:p>
    <w:p>
      <w:pPr>
        <w:pStyle w:val="Indenta"/>
        <w:rPr>
          <w:snapToGrid w:val="0"/>
        </w:rPr>
      </w:pPr>
      <w:r>
        <w:rPr>
          <w:snapToGrid w:val="0"/>
        </w:rPr>
        <w:tab/>
        <w:t>(b)</w:t>
      </w:r>
      <w:r>
        <w:rPr>
          <w:snapToGrid w:val="0"/>
        </w:rPr>
        <w:tab/>
        <w:t>provide sufficient labour for the proper and expeditious handling of such weights or measures or any deadweight during verification;</w:t>
      </w:r>
    </w:p>
    <w:p>
      <w:pPr>
        <w:pStyle w:val="Indenta"/>
        <w:rPr>
          <w:snapToGrid w:val="0"/>
        </w:rPr>
      </w:pPr>
      <w:r>
        <w:rPr>
          <w:snapToGrid w:val="0"/>
        </w:rPr>
        <w:tab/>
        <w:t>(c)</w:t>
      </w:r>
      <w:r>
        <w:rPr>
          <w:snapToGrid w:val="0"/>
        </w:rPr>
        <w:tab/>
        <w:t>if sufficient weights are not available provide such deadweight as the Inspector deems necessary:</w:t>
      </w:r>
    </w:p>
    <w:p>
      <w:pPr>
        <w:pStyle w:val="Subsection"/>
        <w:rPr>
          <w:snapToGrid w:val="0"/>
        </w:rPr>
      </w:pPr>
      <w:r>
        <w:rPr>
          <w:snapToGrid w:val="0"/>
        </w:rPr>
        <w:tab/>
      </w:r>
      <w:r>
        <w:rPr>
          <w:snapToGrid w:val="0"/>
        </w:rPr>
        <w:tab/>
        <w:t>Provided that in lieu of conveying test weights or measures as described in clause (a) such person may provide and keep at his premises correct stamped test weights or measures which may, subject to the following conditions, be used by an Inspector for verification — </w:t>
      </w:r>
    </w:p>
    <w:p>
      <w:pPr>
        <w:pStyle w:val="Subsection"/>
        <w:rPr>
          <w:snapToGrid w:val="0"/>
        </w:rPr>
      </w:pPr>
      <w:r>
        <w:rPr>
          <w:snapToGrid w:val="0"/>
        </w:rPr>
        <w:tab/>
      </w:r>
      <w:r>
        <w:rPr>
          <w:snapToGrid w:val="0"/>
        </w:rPr>
        <w:tab/>
        <w:t>Such weights or measures shall — </w:t>
      </w:r>
    </w:p>
    <w:p>
      <w:pPr>
        <w:pStyle w:val="Indenta"/>
        <w:rPr>
          <w:snapToGrid w:val="0"/>
        </w:rPr>
      </w:pPr>
      <w:r>
        <w:rPr>
          <w:snapToGrid w:val="0"/>
        </w:rPr>
        <w:tab/>
        <w:t>(1)</w:t>
      </w:r>
      <w:r>
        <w:rPr>
          <w:snapToGrid w:val="0"/>
        </w:rPr>
        <w:tab/>
        <w:t>be kept in a locked box of which an Inspector shall hold the key;</w:t>
      </w:r>
    </w:p>
    <w:p>
      <w:pPr>
        <w:pStyle w:val="Indenta"/>
        <w:rPr>
          <w:snapToGrid w:val="0"/>
        </w:rPr>
      </w:pPr>
      <w:r>
        <w:rPr>
          <w:snapToGrid w:val="0"/>
        </w:rPr>
        <w:tab/>
        <w:t>(2)</w:t>
      </w:r>
      <w:r>
        <w:rPr>
          <w:snapToGrid w:val="0"/>
        </w:rPr>
        <w:tab/>
        <w:t>be used exclusively by an Inspector;</w:t>
      </w:r>
    </w:p>
    <w:p>
      <w:pPr>
        <w:pStyle w:val="Indenta"/>
        <w:rPr>
          <w:snapToGrid w:val="0"/>
        </w:rPr>
      </w:pPr>
      <w:r>
        <w:rPr>
          <w:snapToGrid w:val="0"/>
        </w:rPr>
        <w:tab/>
        <w:t>(3)</w:t>
      </w:r>
      <w:r>
        <w:rPr>
          <w:snapToGrid w:val="0"/>
        </w:rPr>
        <w:tab/>
        <w:t>be reverified and stamped as the Chief Inspector directs.</w:t>
      </w:r>
    </w:p>
    <w:p>
      <w:pPr>
        <w:pStyle w:val="Footnotesection"/>
      </w:pPr>
      <w:r>
        <w:tab/>
        <w:t xml:space="preserve">[Regulation 125 amended in Gazette 9 Sep 1968 p. 2744; 31 Aug 1984 p. 2829.] </w:t>
      </w:r>
    </w:p>
    <w:p>
      <w:pPr>
        <w:pStyle w:val="Heading5"/>
        <w:rPr>
          <w:snapToGrid w:val="0"/>
        </w:rPr>
      </w:pPr>
      <w:bookmarkStart w:id="160" w:name="_Toc390077185"/>
      <w:r>
        <w:rPr>
          <w:rStyle w:val="CharSectno"/>
        </w:rPr>
        <w:t>126</w:t>
      </w:r>
      <w:r>
        <w:rPr>
          <w:snapToGrid w:val="0"/>
        </w:rPr>
        <w:t>.</w:t>
      </w:r>
      <w:r>
        <w:rPr>
          <w:snapToGrid w:val="0"/>
        </w:rPr>
        <w:tab/>
        <w:t>Further obligations of applicant</w:t>
      </w:r>
      <w:bookmarkEnd w:id="160"/>
    </w:p>
    <w:p>
      <w:pPr>
        <w:pStyle w:val="Subsection"/>
        <w:rPr>
          <w:snapToGrid w:val="0"/>
        </w:rPr>
      </w:pPr>
      <w:r>
        <w:rPr>
          <w:snapToGrid w:val="0"/>
        </w:rPr>
        <w:tab/>
      </w:r>
      <w:r>
        <w:rPr>
          <w:snapToGrid w:val="0"/>
        </w:rPr>
        <w:tab/>
        <w:t>When an Inspector’s weights or measures are conveyed as described in regulation 125(a), the person on whose application such weights or measures are supplied shall — </w:t>
      </w:r>
    </w:p>
    <w:p>
      <w:pPr>
        <w:pStyle w:val="Indenta"/>
        <w:rPr>
          <w:snapToGrid w:val="0"/>
          <w:spacing w:val="-2"/>
        </w:rPr>
      </w:pPr>
      <w:r>
        <w:rPr>
          <w:snapToGrid w:val="0"/>
        </w:rPr>
        <w:tab/>
        <w:t>(a)</w:t>
      </w:r>
      <w:r>
        <w:rPr>
          <w:snapToGrid w:val="0"/>
        </w:rPr>
        <w:tab/>
      </w:r>
      <w:r>
        <w:rPr>
          <w:snapToGrid w:val="0"/>
          <w:spacing w:val="-2"/>
        </w:rPr>
        <w:t>take due care of such weights or measures, and not permit them to become rusted or otherwise injured, or lost;</w:t>
      </w:r>
    </w:p>
    <w:p>
      <w:pPr>
        <w:pStyle w:val="Indenta"/>
        <w:rPr>
          <w:snapToGrid w:val="0"/>
        </w:rPr>
      </w:pPr>
      <w:r>
        <w:rPr>
          <w:snapToGrid w:val="0"/>
        </w:rPr>
        <w:tab/>
        <w:t>(b)</w:t>
      </w:r>
      <w:r>
        <w:rPr>
          <w:snapToGrid w:val="0"/>
        </w:rPr>
        <w:tab/>
        <w:t>if such weights or measures are damaged or lost be liable for the cost of cleaning, adjusting, or replacing as may be necessary;</w:t>
      </w:r>
    </w:p>
    <w:p>
      <w:pPr>
        <w:pStyle w:val="Indenta"/>
        <w:spacing w:before="60"/>
        <w:rPr>
          <w:snapToGrid w:val="0"/>
        </w:rPr>
      </w:pPr>
      <w:r>
        <w:rPr>
          <w:snapToGrid w:val="0"/>
        </w:rPr>
        <w:tab/>
        <w:t>(c)</w:t>
      </w:r>
      <w:r>
        <w:rPr>
          <w:snapToGrid w:val="0"/>
        </w:rPr>
        <w:tab/>
        <w:t>return such weights or measures without delay;</w:t>
      </w:r>
    </w:p>
    <w:p>
      <w:pPr>
        <w:pStyle w:val="Indenta"/>
        <w:spacing w:before="60"/>
        <w:rPr>
          <w:snapToGrid w:val="0"/>
        </w:rPr>
      </w:pPr>
      <w:r>
        <w:rPr>
          <w:snapToGrid w:val="0"/>
        </w:rPr>
        <w:tab/>
        <w:t>(d)</w:t>
      </w:r>
      <w:r>
        <w:rPr>
          <w:snapToGrid w:val="0"/>
        </w:rPr>
        <w:tab/>
        <w:t>be liable to pay a charge not exceeding $2 for each day the return of such weights or measures is unduly delayed.</w:t>
      </w:r>
    </w:p>
    <w:p>
      <w:pPr>
        <w:pStyle w:val="Footnotesection"/>
        <w:spacing w:before="100"/>
        <w:ind w:left="890" w:hanging="890"/>
      </w:pPr>
      <w:r>
        <w:tab/>
        <w:t xml:space="preserve">[Regulation 126 amended by Act No. 113 of 1965 s. 8.] </w:t>
      </w:r>
    </w:p>
    <w:p>
      <w:pPr>
        <w:pStyle w:val="MiscellaneousHeading"/>
        <w:outlineLvl w:val="0"/>
        <w:rPr>
          <w:b/>
          <w:snapToGrid w:val="0"/>
        </w:rPr>
      </w:pPr>
      <w:r>
        <w:rPr>
          <w:b/>
          <w:snapToGrid w:val="0"/>
        </w:rPr>
        <w:t>Exemption from stamping</w:t>
      </w:r>
    </w:p>
    <w:p>
      <w:pPr>
        <w:pStyle w:val="Heading5"/>
        <w:spacing w:before="160"/>
        <w:rPr>
          <w:snapToGrid w:val="0"/>
        </w:rPr>
      </w:pPr>
      <w:bookmarkStart w:id="161" w:name="_Toc390077186"/>
      <w:r>
        <w:rPr>
          <w:rStyle w:val="CharSectno"/>
        </w:rPr>
        <w:t>127</w:t>
      </w:r>
      <w:r>
        <w:rPr>
          <w:snapToGrid w:val="0"/>
        </w:rPr>
        <w:t>.</w:t>
      </w:r>
      <w:r>
        <w:rPr>
          <w:snapToGrid w:val="0"/>
        </w:rPr>
        <w:tab/>
        <w:t>Exemption from stamping</w:t>
      </w:r>
      <w:bookmarkEnd w:id="161"/>
    </w:p>
    <w:p>
      <w:pPr>
        <w:pStyle w:val="Subsection"/>
        <w:spacing w:before="120"/>
        <w:rPr>
          <w:snapToGrid w:val="0"/>
        </w:rPr>
      </w:pPr>
      <w:r>
        <w:rPr>
          <w:snapToGrid w:val="0"/>
        </w:rPr>
        <w:tab/>
      </w:r>
      <w:r>
        <w:rPr>
          <w:snapToGrid w:val="0"/>
        </w:rPr>
        <w:tab/>
        <w:t>The following weights, measures and instruments shall be exempt from stamping —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425"/>
        <w:gridCol w:w="2835"/>
      </w:tblGrid>
      <w:tr>
        <w:trPr>
          <w:cantSplit/>
        </w:trPr>
        <w:tc>
          <w:tcPr>
            <w:tcW w:w="2977" w:type="dxa"/>
            <w:tcBorders>
              <w:top w:val="nil"/>
              <w:left w:val="nil"/>
              <w:bottom w:val="nil"/>
              <w:right w:val="nil"/>
            </w:tcBorders>
          </w:tcPr>
          <w:p>
            <w:pPr>
              <w:pStyle w:val="Table"/>
              <w:rPr>
                <w:snapToGrid w:val="0"/>
              </w:rPr>
            </w:pPr>
            <w:r>
              <w:rPr>
                <w:snapToGrid w:val="0"/>
              </w:rPr>
              <w:t>Apothecaries’ weights.</w:t>
            </w:r>
          </w:p>
          <w:p>
            <w:pPr>
              <w:pStyle w:val="Table"/>
              <w:rPr>
                <w:snapToGrid w:val="0"/>
              </w:rPr>
            </w:pPr>
            <w:r>
              <w:rPr>
                <w:snapToGrid w:val="0"/>
              </w:rPr>
              <w:t>Decimal grain weights.</w:t>
            </w:r>
          </w:p>
          <w:p>
            <w:pPr>
              <w:pStyle w:val="Table"/>
              <w:rPr>
                <w:snapToGrid w:val="0"/>
              </w:rPr>
            </w:pPr>
            <w:r>
              <w:rPr>
                <w:snapToGrid w:val="0"/>
              </w:rPr>
              <w:t>Troy weights.</w:t>
            </w:r>
          </w:p>
          <w:p>
            <w:pPr>
              <w:pStyle w:val="Table"/>
              <w:rPr>
                <w:snapToGrid w:val="0"/>
              </w:rPr>
            </w:pPr>
            <w:r>
              <w:rPr>
                <w:snapToGrid w:val="0"/>
              </w:rPr>
              <w:t>Metric carat weights.</w:t>
            </w:r>
          </w:p>
        </w:tc>
        <w:tc>
          <w:tcPr>
            <w:tcW w:w="425" w:type="dxa"/>
            <w:tcBorders>
              <w:top w:val="nil"/>
              <w:left w:val="nil"/>
              <w:bottom w:val="nil"/>
              <w:right w:val="nil"/>
            </w:tcBorders>
          </w:tcPr>
          <w:p>
            <w:pPr>
              <w:pStyle w:val="Table"/>
              <w:spacing w:before="80"/>
              <w:rPr>
                <w:snapToGrid w:val="0"/>
              </w:rPr>
            </w:pPr>
            <w:r>
              <w:rPr>
                <w:noProof/>
              </w:rPr>
              <w:drawing>
                <wp:inline distT="0" distB="0" distL="0" distR="0">
                  <wp:extent cx="118745" cy="70040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8745" cy="700405"/>
                          </a:xfrm>
                          <a:prstGeom prst="rect">
                            <a:avLst/>
                          </a:prstGeom>
                          <a:noFill/>
                          <a:ln>
                            <a:noFill/>
                          </a:ln>
                        </pic:spPr>
                      </pic:pic>
                    </a:graphicData>
                  </a:graphic>
                </wp:inline>
              </w:drawing>
            </w:r>
          </w:p>
        </w:tc>
        <w:tc>
          <w:tcPr>
            <w:tcW w:w="2835" w:type="dxa"/>
            <w:tcBorders>
              <w:top w:val="nil"/>
              <w:left w:val="nil"/>
              <w:bottom w:val="nil"/>
              <w:right w:val="nil"/>
            </w:tcBorders>
          </w:tcPr>
          <w:p>
            <w:pPr>
              <w:pStyle w:val="Table"/>
              <w:spacing w:before="180"/>
              <w:ind w:left="318" w:hanging="318"/>
              <w:rPr>
                <w:snapToGrid w:val="0"/>
              </w:rPr>
            </w:pPr>
            <w:r>
              <w:rPr>
                <w:snapToGrid w:val="0"/>
              </w:rPr>
              <w:t>Flat shape below one grain.</w:t>
            </w:r>
          </w:p>
          <w:p>
            <w:pPr>
              <w:pStyle w:val="Table"/>
              <w:rPr>
                <w:snapToGrid w:val="0"/>
              </w:rPr>
            </w:pPr>
            <w:r>
              <w:rPr>
                <w:snapToGrid w:val="0"/>
              </w:rPr>
              <w:t>Wire shape.</w:t>
            </w:r>
          </w:p>
          <w:p>
            <w:pPr>
              <w:pStyle w:val="Table"/>
              <w:rPr>
                <w:snapToGrid w:val="0"/>
              </w:rPr>
            </w:pPr>
            <w:r>
              <w:rPr>
                <w:snapToGrid w:val="0"/>
              </w:rPr>
              <w:t>.2 carat and under.</w:t>
            </w:r>
          </w:p>
        </w:tc>
      </w:tr>
    </w:tbl>
    <w:p>
      <w:pPr>
        <w:pStyle w:val="Subsection"/>
        <w:spacing w:before="120"/>
        <w:rPr>
          <w:snapToGrid w:val="0"/>
        </w:rPr>
      </w:pPr>
      <w:r>
        <w:rPr>
          <w:snapToGrid w:val="0"/>
        </w:rPr>
        <w:tab/>
      </w:r>
      <w:r>
        <w:rPr>
          <w:snapToGrid w:val="0"/>
        </w:rPr>
        <w:tab/>
        <w:t>Any other weight, measure or instrument so small or frail that the stamping thereon of a mark of verification is impracticable.</w:t>
      </w:r>
    </w:p>
    <w:p>
      <w:pPr>
        <w:pStyle w:val="MiscellaneousHeading"/>
        <w:outlineLvl w:val="0"/>
        <w:rPr>
          <w:b/>
          <w:snapToGrid w:val="0"/>
        </w:rPr>
      </w:pPr>
      <w:r>
        <w:rPr>
          <w:b/>
          <w:snapToGrid w:val="0"/>
        </w:rPr>
        <w:t>More frequent reverification of instruments</w:t>
      </w:r>
    </w:p>
    <w:p>
      <w:pPr>
        <w:pStyle w:val="MiscellaneousHeading"/>
        <w:spacing w:before="140"/>
        <w:rPr>
          <w:b/>
          <w:snapToGrid w:val="0"/>
        </w:rPr>
      </w:pPr>
      <w:r>
        <w:rPr>
          <w:b/>
          <w:snapToGrid w:val="0"/>
        </w:rPr>
        <w:t>Weighbridges</w:t>
      </w:r>
    </w:p>
    <w:p>
      <w:pPr>
        <w:pStyle w:val="Heading5"/>
        <w:spacing w:before="160"/>
        <w:rPr>
          <w:snapToGrid w:val="0"/>
        </w:rPr>
      </w:pPr>
      <w:bookmarkStart w:id="162" w:name="_Toc390077187"/>
      <w:r>
        <w:rPr>
          <w:rStyle w:val="CharSectno"/>
        </w:rPr>
        <w:t>128</w:t>
      </w:r>
      <w:r>
        <w:rPr>
          <w:snapToGrid w:val="0"/>
        </w:rPr>
        <w:t>.</w:t>
      </w:r>
      <w:r>
        <w:rPr>
          <w:snapToGrid w:val="0"/>
        </w:rPr>
        <w:tab/>
        <w:t>Weighbridges</w:t>
      </w:r>
      <w:bookmarkEnd w:id="162"/>
    </w:p>
    <w:p>
      <w:pPr>
        <w:pStyle w:val="Subsection"/>
        <w:spacing w:before="120"/>
        <w:rPr>
          <w:snapToGrid w:val="0"/>
        </w:rPr>
      </w:pPr>
      <w:r>
        <w:rPr>
          <w:snapToGrid w:val="0"/>
        </w:rPr>
        <w:tab/>
      </w:r>
      <w:r>
        <w:rPr>
          <w:snapToGrid w:val="0"/>
        </w:rPr>
        <w:tab/>
        <w:t>Weighbridges shall be reverified and stamped once in each 12 months.</w:t>
      </w:r>
    </w:p>
    <w:p>
      <w:pPr>
        <w:pStyle w:val="MiscellaneousHeading"/>
        <w:spacing w:before="200"/>
        <w:outlineLvl w:val="0"/>
        <w:rPr>
          <w:b/>
          <w:snapToGrid w:val="0"/>
        </w:rPr>
      </w:pPr>
      <w:r>
        <w:rPr>
          <w:b/>
          <w:snapToGrid w:val="0"/>
        </w:rPr>
        <w:t xml:space="preserve">Calibrating measures </w:t>
      </w:r>
    </w:p>
    <w:p>
      <w:pPr>
        <w:pStyle w:val="Heading5"/>
        <w:spacing w:before="160"/>
        <w:rPr>
          <w:snapToGrid w:val="0"/>
        </w:rPr>
      </w:pPr>
      <w:bookmarkStart w:id="163" w:name="_Toc390077188"/>
      <w:r>
        <w:rPr>
          <w:rStyle w:val="CharSectno"/>
        </w:rPr>
        <w:t>128A</w:t>
      </w:r>
      <w:r>
        <w:rPr>
          <w:snapToGrid w:val="0"/>
        </w:rPr>
        <w:t>.</w:t>
      </w:r>
      <w:r>
        <w:rPr>
          <w:snapToGrid w:val="0"/>
        </w:rPr>
        <w:tab/>
        <w:t>Calibrating measures</w:t>
      </w:r>
      <w:bookmarkEnd w:id="163"/>
    </w:p>
    <w:p>
      <w:pPr>
        <w:pStyle w:val="Subsection"/>
        <w:spacing w:before="120"/>
        <w:rPr>
          <w:snapToGrid w:val="0"/>
        </w:rPr>
      </w:pPr>
      <w:r>
        <w:rPr>
          <w:snapToGrid w:val="0"/>
        </w:rPr>
        <w:tab/>
      </w:r>
      <w:r>
        <w:rPr>
          <w:snapToGrid w:val="0"/>
        </w:rPr>
        <w:tab/>
        <w:t>Calibrating measures or instruments and wholesale flow meters shall be verified and stamped once in each 12 months.</w:t>
      </w:r>
    </w:p>
    <w:p>
      <w:pPr>
        <w:pStyle w:val="Footnotesection"/>
        <w:spacing w:before="100"/>
        <w:ind w:left="890" w:hanging="890"/>
      </w:pPr>
      <w:r>
        <w:tab/>
        <w:t xml:space="preserve">[Regulation 128A inserted in Gazette 19 Sep 1930 p. 2157; amended in Gazette 24 Feb 1950 p. 329; 23 May 1960 p. 1405.] </w:t>
      </w:r>
    </w:p>
    <w:p>
      <w:pPr>
        <w:pStyle w:val="MiscellaneousHeading"/>
        <w:spacing w:before="240"/>
        <w:outlineLvl w:val="0"/>
        <w:rPr>
          <w:b/>
          <w:snapToGrid w:val="0"/>
        </w:rPr>
      </w:pPr>
      <w:r>
        <w:rPr>
          <w:b/>
          <w:snapToGrid w:val="0"/>
        </w:rPr>
        <w:t>Pit</w:t>
      </w:r>
      <w:r>
        <w:rPr>
          <w:b/>
          <w:snapToGrid w:val="0"/>
        </w:rPr>
        <w:noBreakHyphen/>
        <w:t xml:space="preserve">bank weighing instruments </w:t>
      </w:r>
    </w:p>
    <w:p>
      <w:pPr>
        <w:pStyle w:val="Heading5"/>
        <w:spacing w:before="180"/>
        <w:rPr>
          <w:snapToGrid w:val="0"/>
        </w:rPr>
      </w:pPr>
      <w:bookmarkStart w:id="164" w:name="_Toc390077189"/>
      <w:r>
        <w:rPr>
          <w:rStyle w:val="CharSectno"/>
        </w:rPr>
        <w:t>129</w:t>
      </w:r>
      <w:r>
        <w:rPr>
          <w:snapToGrid w:val="0"/>
        </w:rPr>
        <w:t>.</w:t>
      </w:r>
      <w:r>
        <w:rPr>
          <w:snapToGrid w:val="0"/>
        </w:rPr>
        <w:tab/>
        <w:t>Pit</w:t>
      </w:r>
      <w:r>
        <w:rPr>
          <w:snapToGrid w:val="0"/>
        </w:rPr>
        <w:noBreakHyphen/>
        <w:t>bank weighing instruments</w:t>
      </w:r>
      <w:bookmarkEnd w:id="164"/>
    </w:p>
    <w:p>
      <w:pPr>
        <w:pStyle w:val="Subsection"/>
        <w:spacing w:before="120"/>
        <w:rPr>
          <w:snapToGrid w:val="0"/>
        </w:rPr>
      </w:pPr>
      <w:r>
        <w:rPr>
          <w:snapToGrid w:val="0"/>
        </w:rPr>
        <w:tab/>
      </w:r>
      <w:r>
        <w:rPr>
          <w:snapToGrid w:val="0"/>
        </w:rPr>
        <w:tab/>
        <w:t>Each weighing instrument used in a coal mine for determining the wages payable to any person shall be reverified and stamped once at least in each 6 months.</w:t>
      </w:r>
    </w:p>
    <w:p>
      <w:pPr>
        <w:pStyle w:val="Heading5"/>
        <w:rPr>
          <w:snapToGrid w:val="0"/>
        </w:rPr>
      </w:pPr>
      <w:bookmarkStart w:id="165" w:name="_Toc390077190"/>
      <w:r>
        <w:rPr>
          <w:rStyle w:val="CharSectno"/>
        </w:rPr>
        <w:t>130</w:t>
      </w:r>
      <w:r>
        <w:rPr>
          <w:snapToGrid w:val="0"/>
        </w:rPr>
        <w:t>.</w:t>
      </w:r>
      <w:r>
        <w:rPr>
          <w:snapToGrid w:val="0"/>
        </w:rPr>
        <w:tab/>
        <w:t>Notification to coal mine owners</w:t>
      </w:r>
      <w:bookmarkEnd w:id="165"/>
    </w:p>
    <w:p>
      <w:pPr>
        <w:pStyle w:val="Subsection"/>
        <w:spacing w:before="120"/>
        <w:rPr>
          <w:snapToGrid w:val="0"/>
        </w:rPr>
      </w:pPr>
      <w:r>
        <w:rPr>
          <w:snapToGrid w:val="0"/>
        </w:rPr>
        <w:tab/>
      </w:r>
      <w:r>
        <w:rPr>
          <w:snapToGrid w:val="0"/>
        </w:rPr>
        <w:tab/>
        <w:t>The Chief Inspector, or an Inspector authorised by the Chief Inspector, shall give 7 days’ notice to the owner, manager, secretary, or other person in charge of a coal mine where such weighing instrument is used, of the date such instrument shall be submitted for verification.</w:t>
      </w:r>
    </w:p>
    <w:p>
      <w:pPr>
        <w:pStyle w:val="Footnotesection"/>
        <w:spacing w:before="100"/>
        <w:ind w:left="890" w:hanging="890"/>
      </w:pPr>
      <w:r>
        <w:tab/>
        <w:t xml:space="preserve">[Regulation 130 amended in Gazette 9 Sep 1968 p. 2744; 31 Aug 1984 p. 2829.] </w:t>
      </w:r>
    </w:p>
    <w:p>
      <w:pPr>
        <w:pStyle w:val="Heading5"/>
        <w:rPr>
          <w:snapToGrid w:val="0"/>
        </w:rPr>
      </w:pPr>
      <w:bookmarkStart w:id="166" w:name="_Toc390077191"/>
      <w:r>
        <w:rPr>
          <w:rStyle w:val="CharSectno"/>
        </w:rPr>
        <w:t>131</w:t>
      </w:r>
      <w:r>
        <w:rPr>
          <w:snapToGrid w:val="0"/>
        </w:rPr>
        <w:t>.</w:t>
      </w:r>
      <w:r>
        <w:rPr>
          <w:snapToGrid w:val="0"/>
        </w:rPr>
        <w:tab/>
        <w:t>Obligation of owner etc. of coal mine</w:t>
      </w:r>
      <w:bookmarkEnd w:id="166"/>
    </w:p>
    <w:p>
      <w:pPr>
        <w:pStyle w:val="Subsection"/>
        <w:spacing w:before="120"/>
        <w:rPr>
          <w:snapToGrid w:val="0"/>
          <w:spacing w:val="-2"/>
        </w:rPr>
      </w:pPr>
      <w:r>
        <w:rPr>
          <w:snapToGrid w:val="0"/>
        </w:rPr>
        <w:tab/>
      </w:r>
      <w:r>
        <w:rPr>
          <w:snapToGrid w:val="0"/>
        </w:rPr>
        <w:tab/>
      </w:r>
      <w:r>
        <w:rPr>
          <w:snapToGrid w:val="0"/>
          <w:spacing w:val="-2"/>
        </w:rPr>
        <w:t>The owner, manager, secretary, or other person in charge of a coal mine where a pit bank weighing instrument is used, shall — </w:t>
      </w:r>
    </w:p>
    <w:p>
      <w:pPr>
        <w:pStyle w:val="Indenta"/>
        <w:spacing w:before="60"/>
        <w:rPr>
          <w:snapToGrid w:val="0"/>
        </w:rPr>
      </w:pPr>
      <w:r>
        <w:rPr>
          <w:snapToGrid w:val="0"/>
        </w:rPr>
        <w:tab/>
        <w:t>(a)</w:t>
      </w:r>
      <w:r>
        <w:rPr>
          <w:snapToGrid w:val="0"/>
        </w:rPr>
        <w:tab/>
        <w:t>provide stamped 56 lb. test weights to an amount equal to the greatest weight of coal contained in any skip or other receptacle in which coal is weighed for determining the wages payable to any person;</w:t>
      </w:r>
    </w:p>
    <w:p>
      <w:pPr>
        <w:pStyle w:val="Indenta"/>
        <w:spacing w:before="60"/>
        <w:rPr>
          <w:snapToGrid w:val="0"/>
        </w:rPr>
      </w:pPr>
      <w:r>
        <w:rPr>
          <w:snapToGrid w:val="0"/>
        </w:rPr>
        <w:tab/>
        <w:t>(b)</w:t>
      </w:r>
      <w:r>
        <w:rPr>
          <w:snapToGrid w:val="0"/>
        </w:rPr>
        <w:tab/>
        <w:t>keep such test weights in a convenient position adjacent to the weighing instrument;</w:t>
      </w:r>
    </w:p>
    <w:p>
      <w:pPr>
        <w:pStyle w:val="Indenta"/>
        <w:spacing w:before="60"/>
        <w:rPr>
          <w:snapToGrid w:val="0"/>
        </w:rPr>
      </w:pPr>
      <w:r>
        <w:rPr>
          <w:snapToGrid w:val="0"/>
        </w:rPr>
        <w:tab/>
        <w:t>(c)</w:t>
      </w:r>
      <w:r>
        <w:rPr>
          <w:snapToGrid w:val="0"/>
        </w:rPr>
        <w:tab/>
        <w:t>produce such test weights for use of the Inspector, and have them reverified and stamped as directed by the Chief Inspector;</w:t>
      </w:r>
    </w:p>
    <w:p>
      <w:pPr>
        <w:pStyle w:val="Indenta"/>
        <w:spacing w:before="60"/>
        <w:rPr>
          <w:snapToGrid w:val="0"/>
        </w:rPr>
      </w:pPr>
      <w:r>
        <w:rPr>
          <w:snapToGrid w:val="0"/>
        </w:rPr>
        <w:tab/>
        <w:t>(d)</w:t>
      </w:r>
      <w:r>
        <w:rPr>
          <w:snapToGrid w:val="0"/>
        </w:rPr>
        <w:tab/>
        <w:t>provide sufficient labour for the expeditious handling of such weights in any test of such weighing instrument carried out by an Inspector.</w:t>
      </w:r>
    </w:p>
    <w:p>
      <w:pPr>
        <w:pStyle w:val="Footnotesection"/>
        <w:spacing w:before="100"/>
        <w:ind w:left="890" w:hanging="890"/>
      </w:pPr>
      <w:r>
        <w:tab/>
        <w:t xml:space="preserve">[Regulation 131 amended in Gazette 9 Sep 1968 p. 2744; 31 Aug 1984 p. 2829.] </w:t>
      </w:r>
    </w:p>
    <w:p>
      <w:pPr>
        <w:pStyle w:val="Ednotesection"/>
        <w:spacing w:before="200"/>
        <w:ind w:left="890" w:hanging="890"/>
      </w:pPr>
      <w:r>
        <w:t>[</w:t>
      </w:r>
      <w:r>
        <w:rPr>
          <w:b/>
        </w:rPr>
        <w:t>132-135.</w:t>
      </w:r>
      <w:r>
        <w:t xml:space="preserve">  Repealed in Gazette 23 May 1960 p. 1405.] </w:t>
      </w:r>
    </w:p>
    <w:p>
      <w:pPr>
        <w:pStyle w:val="Heading2"/>
      </w:pPr>
      <w:bookmarkStart w:id="167" w:name="_Toc390077192"/>
      <w:r>
        <w:rPr>
          <w:rStyle w:val="CharPartNo"/>
        </w:rPr>
        <w:t>Part V</w:t>
      </w:r>
      <w:bookmarkEnd w:id="167"/>
    </w:p>
    <w:p>
      <w:pPr>
        <w:pStyle w:val="MiscellaneousHeading"/>
        <w:rPr>
          <w:b/>
          <w:snapToGrid w:val="0"/>
        </w:rPr>
      </w:pPr>
      <w:r>
        <w:rPr>
          <w:b/>
          <w:snapToGrid w:val="0"/>
        </w:rPr>
        <w:t>Use, etc., of weights, measures, and weighing and measuring instruments</w:t>
      </w:r>
    </w:p>
    <w:p>
      <w:pPr>
        <w:pStyle w:val="Heading5"/>
        <w:rPr>
          <w:snapToGrid w:val="0"/>
        </w:rPr>
      </w:pPr>
      <w:bookmarkStart w:id="168" w:name="_Toc390077193"/>
      <w:r>
        <w:rPr>
          <w:rStyle w:val="CharSectno"/>
        </w:rPr>
        <w:t>1</w:t>
      </w:r>
      <w:r>
        <w:rPr>
          <w:snapToGrid w:val="0"/>
        </w:rPr>
        <w:t>.</w:t>
      </w:r>
      <w:r>
        <w:rPr>
          <w:snapToGrid w:val="0"/>
        </w:rPr>
        <w:tab/>
        <w:t>Use of weights etc. other than for intended purpose</w:t>
      </w:r>
      <w:bookmarkEnd w:id="168"/>
    </w:p>
    <w:p>
      <w:pPr>
        <w:pStyle w:val="Subsection"/>
        <w:rPr>
          <w:snapToGrid w:val="0"/>
        </w:rPr>
      </w:pPr>
      <w:r>
        <w:rPr>
          <w:snapToGrid w:val="0"/>
        </w:rPr>
        <w:tab/>
      </w:r>
      <w:r>
        <w:rPr>
          <w:snapToGrid w:val="0"/>
        </w:rPr>
        <w:tab/>
        <w:t>No person shall use for trade — </w:t>
      </w:r>
    </w:p>
    <w:p>
      <w:pPr>
        <w:pStyle w:val="Indenta"/>
        <w:rPr>
          <w:snapToGrid w:val="0"/>
        </w:rPr>
      </w:pPr>
      <w:r>
        <w:rPr>
          <w:snapToGrid w:val="0"/>
        </w:rPr>
        <w:tab/>
        <w:t>(a)</w:t>
      </w:r>
      <w:r>
        <w:rPr>
          <w:snapToGrid w:val="0"/>
        </w:rPr>
        <w:tab/>
        <w:t>any liquid measure for measuring any article other than a liquid;</w:t>
      </w:r>
    </w:p>
    <w:p>
      <w:pPr>
        <w:pStyle w:val="Indenta"/>
        <w:rPr>
          <w:snapToGrid w:val="0"/>
        </w:rPr>
      </w:pPr>
      <w:r>
        <w:rPr>
          <w:snapToGrid w:val="0"/>
        </w:rPr>
        <w:tab/>
        <w:t>(b)</w:t>
      </w:r>
      <w:r>
        <w:rPr>
          <w:snapToGrid w:val="0"/>
        </w:rPr>
        <w:tab/>
        <w:t>any dry measure for measuring a liquid;</w:t>
      </w:r>
    </w:p>
    <w:p>
      <w:pPr>
        <w:pStyle w:val="Indenta"/>
        <w:rPr>
          <w:snapToGrid w:val="0"/>
        </w:rPr>
      </w:pPr>
      <w:r>
        <w:rPr>
          <w:snapToGrid w:val="0"/>
        </w:rPr>
        <w:tab/>
        <w:t>(c)</w:t>
      </w:r>
      <w:r>
        <w:rPr>
          <w:snapToGrid w:val="0"/>
        </w:rPr>
        <w:tab/>
        <w:t>any beam</w:t>
      </w:r>
      <w:r>
        <w:rPr>
          <w:snapToGrid w:val="0"/>
        </w:rPr>
        <w:noBreakHyphen/>
        <w:t>scale by suspension in the hand;</w:t>
      </w:r>
    </w:p>
    <w:p>
      <w:pPr>
        <w:pStyle w:val="Indenta"/>
        <w:rPr>
          <w:snapToGrid w:val="0"/>
        </w:rPr>
      </w:pPr>
      <w:r>
        <w:rPr>
          <w:snapToGrid w:val="0"/>
        </w:rPr>
        <w:tab/>
        <w:t>(d)</w:t>
      </w:r>
      <w:r>
        <w:rPr>
          <w:snapToGrid w:val="0"/>
        </w:rPr>
        <w:tab/>
        <w:t>any spring balance marked “For use by itinerant vendors only” or “hawker’s scale only” other than for the purpose indicated by such marking or on and after 1 January 1960 any spring scale of a maximum capacity of 30 lb. or less which is not equipped with a thermostatic control or other device to control variations caused in the weighing indications by temperature changes, for the weighing of any article or commodity except agricultural products (including wheat, maize, oats, potatoes), fruit, and vegetables;</w:t>
      </w:r>
    </w:p>
    <w:p>
      <w:pPr>
        <w:pStyle w:val="Indenta"/>
        <w:rPr>
          <w:snapToGrid w:val="0"/>
        </w:rPr>
      </w:pPr>
      <w:r>
        <w:rPr>
          <w:snapToGrid w:val="0"/>
        </w:rPr>
        <w:tab/>
        <w:t>(e)</w:t>
      </w:r>
      <w:r>
        <w:rPr>
          <w:snapToGrid w:val="0"/>
        </w:rPr>
        <w:tab/>
        <w:t>any platform weighing machine or steelyard marked “Coal” or “Coal only” other than for the weighing of coal or firewood;</w:t>
      </w:r>
    </w:p>
    <w:p>
      <w:pPr>
        <w:pStyle w:val="Indenta"/>
        <w:rPr>
          <w:snapToGrid w:val="0"/>
        </w:rPr>
      </w:pPr>
      <w:r>
        <w:rPr>
          <w:snapToGrid w:val="0"/>
        </w:rPr>
        <w:tab/>
        <w:t>(f)</w:t>
      </w:r>
      <w:r>
        <w:rPr>
          <w:snapToGrid w:val="0"/>
        </w:rPr>
        <w:tab/>
        <w:t>on any weighing instrument proportional weights other than those which were verified for use with such instrument at last verification;</w:t>
      </w:r>
    </w:p>
    <w:p>
      <w:pPr>
        <w:pStyle w:val="Indenta"/>
        <w:rPr>
          <w:snapToGrid w:val="0"/>
        </w:rPr>
      </w:pPr>
      <w:r>
        <w:rPr>
          <w:snapToGrid w:val="0"/>
        </w:rPr>
        <w:tab/>
        <w:t>(g)</w:t>
      </w:r>
      <w:r>
        <w:rPr>
          <w:snapToGrid w:val="0"/>
        </w:rPr>
        <w:tab/>
        <w:t>any hydraulic crane weighing machine in which to get a correct weight indication it is necessary to twist the load hook, unless a prominent notice to such effect is permanently affixed to such machine;</w:t>
      </w:r>
    </w:p>
    <w:p>
      <w:pPr>
        <w:pStyle w:val="Indenta"/>
        <w:rPr>
          <w:snapToGrid w:val="0"/>
        </w:rPr>
      </w:pPr>
      <w:r>
        <w:rPr>
          <w:snapToGrid w:val="0"/>
        </w:rPr>
        <w:tab/>
        <w:t>(h)</w:t>
      </w:r>
      <w:r>
        <w:rPr>
          <w:snapToGrid w:val="0"/>
        </w:rPr>
        <w:tab/>
        <w:t>in any portion of a retail premises open to or in view of a purchaser, a self</w:t>
      </w:r>
      <w:r>
        <w:rPr>
          <w:snapToGrid w:val="0"/>
        </w:rPr>
        <w:noBreakHyphen/>
        <w:t>indicating counter machine having a sliding or tare weight, unless of a type approved by the Chief Inspector;</w:t>
      </w:r>
    </w:p>
    <w:p>
      <w:pPr>
        <w:pStyle w:val="Indenta"/>
        <w:rPr>
          <w:snapToGrid w:val="0"/>
        </w:rPr>
      </w:pPr>
      <w:r>
        <w:rPr>
          <w:snapToGrid w:val="0"/>
        </w:rPr>
        <w:tab/>
        <w:t>(i)</w:t>
      </w:r>
      <w:r>
        <w:rPr>
          <w:snapToGrid w:val="0"/>
        </w:rPr>
        <w:tab/>
        <w:t>any weighing instrument for weighing quantities greater than the capacity of such instrument;</w:t>
      </w:r>
    </w:p>
    <w:p>
      <w:pPr>
        <w:pStyle w:val="Indenta"/>
        <w:rPr>
          <w:snapToGrid w:val="0"/>
        </w:rPr>
      </w:pPr>
      <w:r>
        <w:rPr>
          <w:snapToGrid w:val="0"/>
        </w:rPr>
        <w:tab/>
        <w:t>(j)</w:t>
      </w:r>
      <w:r>
        <w:rPr>
          <w:snapToGrid w:val="0"/>
        </w:rPr>
        <w:tab/>
        <w:t>a weighing instrument with a tare</w:t>
      </w:r>
      <w:r>
        <w:rPr>
          <w:snapToGrid w:val="0"/>
        </w:rPr>
        <w:noBreakHyphen/>
        <w:t>weight poise so placed that to determine the correct net weight of any article weighed thereon it is necessary to add to, or subtract from, the net weight indicated by such instrument;</w:t>
      </w:r>
    </w:p>
    <w:p>
      <w:pPr>
        <w:pStyle w:val="Indenta"/>
        <w:rPr>
          <w:snapToGrid w:val="0"/>
        </w:rPr>
      </w:pPr>
      <w:r>
        <w:rPr>
          <w:snapToGrid w:val="0"/>
        </w:rPr>
        <w:tab/>
        <w:t>(k)</w:t>
      </w:r>
      <w:r>
        <w:rPr>
          <w:snapToGrid w:val="0"/>
        </w:rPr>
        <w:tab/>
        <w:t>or have in his possession for such use — </w:t>
      </w:r>
    </w:p>
    <w:p>
      <w:pPr>
        <w:pStyle w:val="Indenti"/>
        <w:rPr>
          <w:snapToGrid w:val="0"/>
        </w:rPr>
      </w:pPr>
      <w:r>
        <w:rPr>
          <w:snapToGrid w:val="0"/>
        </w:rPr>
        <w:tab/>
        <w:t>(1)</w:t>
      </w:r>
      <w:r>
        <w:rPr>
          <w:snapToGrid w:val="0"/>
        </w:rPr>
        <w:tab/>
        <w:t>any weight, measure, or instrument the stamp upon which has been obliterated by an Inspector in accordance with regulation 1 of Part III;</w:t>
      </w:r>
    </w:p>
    <w:p>
      <w:pPr>
        <w:pStyle w:val="Indenti"/>
        <w:rPr>
          <w:snapToGrid w:val="0"/>
        </w:rPr>
      </w:pPr>
      <w:r>
        <w:rPr>
          <w:snapToGrid w:val="0"/>
        </w:rPr>
        <w:tab/>
        <w:t>(2)</w:t>
      </w:r>
      <w:r>
        <w:rPr>
          <w:snapToGrid w:val="0"/>
        </w:rPr>
        <w:tab/>
        <w:t>any instrument specified in regulations 128 or 129 of Part IV, which is not stamped as required by such regulations;</w:t>
      </w:r>
    </w:p>
    <w:p>
      <w:pPr>
        <w:pStyle w:val="Indenti"/>
        <w:rPr>
          <w:snapToGrid w:val="0"/>
        </w:rPr>
      </w:pPr>
      <w:r>
        <w:rPr>
          <w:snapToGrid w:val="0"/>
        </w:rPr>
        <w:tab/>
        <w:t>(3)</w:t>
      </w:r>
      <w:r>
        <w:rPr>
          <w:snapToGrid w:val="0"/>
        </w:rPr>
        <w:tab/>
        <w:t>any weighing instrument the zero adjusting mechanism of which is provided with a set screw or other locking device, and such adjusting mechanism is not securely locked in such a manner that it cannot be manipulated by the hand;</w:t>
      </w:r>
    </w:p>
    <w:p>
      <w:pPr>
        <w:pStyle w:val="Indenti"/>
        <w:rPr>
          <w:snapToGrid w:val="0"/>
        </w:rPr>
      </w:pPr>
      <w:r>
        <w:rPr>
          <w:snapToGrid w:val="0"/>
        </w:rPr>
        <w:tab/>
        <w:t>(4)</w:t>
      </w:r>
      <w:r>
        <w:rPr>
          <w:snapToGrid w:val="0"/>
        </w:rPr>
        <w:tab/>
        <w:t>with any farm milk tank, dipstick, or surface gauge rod, other than that which at the last verification was verified for use therewith.</w:t>
      </w:r>
    </w:p>
    <w:p>
      <w:pPr>
        <w:pStyle w:val="Footnotesection"/>
      </w:pPr>
      <w:r>
        <w:tab/>
        <w:t xml:space="preserve">[Regulation 1 amended in Gazette 23 May 1960 p. 1405; 9 Sep 1968 p. 2744.] </w:t>
      </w:r>
    </w:p>
    <w:p>
      <w:pPr>
        <w:pStyle w:val="Heading5"/>
        <w:rPr>
          <w:snapToGrid w:val="0"/>
        </w:rPr>
      </w:pPr>
      <w:bookmarkStart w:id="169" w:name="_Toc390077194"/>
      <w:r>
        <w:rPr>
          <w:rStyle w:val="CharSectno"/>
        </w:rPr>
        <w:t>2</w:t>
      </w:r>
      <w:r>
        <w:rPr>
          <w:snapToGrid w:val="0"/>
        </w:rPr>
        <w:t>.</w:t>
      </w:r>
      <w:r>
        <w:rPr>
          <w:snapToGrid w:val="0"/>
        </w:rPr>
        <w:tab/>
        <w:t>Measuring liquid for sale</w:t>
      </w:r>
      <w:bookmarkEnd w:id="169"/>
    </w:p>
    <w:p>
      <w:pPr>
        <w:pStyle w:val="Subsection"/>
        <w:rPr>
          <w:snapToGrid w:val="0"/>
        </w:rPr>
      </w:pPr>
      <w:r>
        <w:rPr>
          <w:snapToGrid w:val="0"/>
        </w:rPr>
        <w:tab/>
      </w:r>
      <w:r>
        <w:rPr>
          <w:snapToGrid w:val="0"/>
        </w:rPr>
        <w:tab/>
        <w:t>A person using a measuring instrument for the purpose of measuring liquid for sale shall — </w:t>
      </w:r>
    </w:p>
    <w:p>
      <w:pPr>
        <w:pStyle w:val="Indenta"/>
        <w:rPr>
          <w:snapToGrid w:val="0"/>
        </w:rPr>
      </w:pPr>
      <w:r>
        <w:rPr>
          <w:snapToGrid w:val="0"/>
        </w:rPr>
        <w:tab/>
        <w:t>(a)</w:t>
      </w:r>
      <w:r>
        <w:rPr>
          <w:snapToGrid w:val="0"/>
        </w:rPr>
        <w:tab/>
        <w:t>if such instrument is so constructed that measurement is determined by an overflow, fill the measuring chamber of such instrument until the graduation strip or line representing the quantity ordered by, or measured for a purchaser is submerged by at least ¼ in;</w:t>
      </w:r>
    </w:p>
    <w:p>
      <w:pPr>
        <w:pStyle w:val="Indenta"/>
        <w:spacing w:before="70"/>
        <w:rPr>
          <w:snapToGrid w:val="0"/>
        </w:rPr>
      </w:pPr>
      <w:r>
        <w:rPr>
          <w:snapToGrid w:val="0"/>
        </w:rPr>
        <w:tab/>
        <w:t>(b)</w:t>
      </w:r>
      <w:r>
        <w:rPr>
          <w:snapToGrid w:val="0"/>
        </w:rPr>
        <w:tab/>
        <w:t>if such instrument is so constructed that measurement is determined by the breaking of the liquid at a graduation line or strip and not governed by an overflow, fill the measuring chamber of such instrument until the liquid breaks at the line or strip representing the quantity to be measured;</w:t>
      </w:r>
    </w:p>
    <w:p>
      <w:pPr>
        <w:pStyle w:val="Indenta"/>
        <w:spacing w:before="70"/>
        <w:rPr>
          <w:snapToGrid w:val="0"/>
        </w:rPr>
      </w:pPr>
      <w:r>
        <w:rPr>
          <w:snapToGrid w:val="0"/>
        </w:rPr>
        <w:tab/>
        <w:t>(c)</w:t>
      </w:r>
      <w:r>
        <w:rPr>
          <w:snapToGrid w:val="0"/>
        </w:rPr>
        <w:tab/>
        <w:t>in discharging liquid therefrom to a purchaser, completely drain the measuring chamber and hose, if any, into the purchaser’s receptacle;</w:t>
      </w:r>
    </w:p>
    <w:p>
      <w:pPr>
        <w:pStyle w:val="Indenta"/>
        <w:spacing w:before="70"/>
        <w:rPr>
          <w:snapToGrid w:val="0"/>
        </w:rPr>
      </w:pPr>
      <w:r>
        <w:rPr>
          <w:snapToGrid w:val="0"/>
        </w:rPr>
        <w:tab/>
        <w:t>(d)</w:t>
      </w:r>
      <w:r>
        <w:rPr>
          <w:snapToGrid w:val="0"/>
        </w:rPr>
        <w:tab/>
        <w:t>cause such instrument to be suitably illuminated during any operation of measuring between sunset and sunrise, or at any other time when artificial light is necessary for the proper observation of the operation of measuring.</w:t>
      </w:r>
    </w:p>
    <w:p>
      <w:pPr>
        <w:pStyle w:val="Heading5"/>
        <w:rPr>
          <w:snapToGrid w:val="0"/>
        </w:rPr>
      </w:pPr>
      <w:bookmarkStart w:id="170" w:name="_Toc390077195"/>
      <w:r>
        <w:rPr>
          <w:rStyle w:val="CharSectno"/>
        </w:rPr>
        <w:t>3</w:t>
      </w:r>
      <w:r>
        <w:rPr>
          <w:snapToGrid w:val="0"/>
        </w:rPr>
        <w:t>.</w:t>
      </w:r>
      <w:r>
        <w:rPr>
          <w:snapToGrid w:val="0"/>
        </w:rPr>
        <w:tab/>
        <w:t>Limitations on use of weights, measures and instruments</w:t>
      </w:r>
      <w:bookmarkEnd w:id="170"/>
    </w:p>
    <w:p>
      <w:pPr>
        <w:pStyle w:val="Subsection"/>
        <w:spacing w:before="140"/>
        <w:rPr>
          <w:snapToGrid w:val="0"/>
        </w:rPr>
      </w:pPr>
      <w:r>
        <w:rPr>
          <w:snapToGrid w:val="0"/>
        </w:rPr>
        <w:tab/>
      </w:r>
      <w:r>
        <w:rPr>
          <w:snapToGrid w:val="0"/>
        </w:rPr>
        <w:tab/>
        <w:t>No person shall — </w:t>
      </w:r>
    </w:p>
    <w:p>
      <w:pPr>
        <w:pStyle w:val="Indenta"/>
        <w:spacing w:before="70"/>
        <w:rPr>
          <w:snapToGrid w:val="0"/>
        </w:rPr>
      </w:pPr>
      <w:r>
        <w:rPr>
          <w:snapToGrid w:val="0"/>
        </w:rPr>
        <w:tab/>
        <w:t>(a)</w:t>
      </w:r>
      <w:r>
        <w:rPr>
          <w:snapToGrid w:val="0"/>
        </w:rPr>
        <w:tab/>
        <w:t>subdivide any stamped measure unless he first defaces such stamp;</w:t>
      </w:r>
    </w:p>
    <w:p>
      <w:pPr>
        <w:pStyle w:val="Indenta"/>
        <w:spacing w:before="70"/>
        <w:rPr>
          <w:snapToGrid w:val="0"/>
        </w:rPr>
      </w:pPr>
      <w:r>
        <w:rPr>
          <w:snapToGrid w:val="0"/>
        </w:rPr>
        <w:tab/>
        <w:t>(b)</w:t>
      </w:r>
      <w:r>
        <w:rPr>
          <w:snapToGrid w:val="0"/>
        </w:rPr>
        <w:tab/>
        <w:t>use for trade any measure which has been subdivided and has not been restamped;</w:t>
      </w:r>
    </w:p>
    <w:p>
      <w:pPr>
        <w:pStyle w:val="Indenta"/>
        <w:spacing w:before="70"/>
        <w:rPr>
          <w:snapToGrid w:val="0"/>
        </w:rPr>
      </w:pPr>
      <w:r>
        <w:rPr>
          <w:snapToGrid w:val="0"/>
        </w:rPr>
        <w:tab/>
        <w:t>(c)</w:t>
      </w:r>
      <w:r>
        <w:rPr>
          <w:snapToGrid w:val="0"/>
        </w:rPr>
        <w:tab/>
        <w:t>weigh for trade diamonds or other precious stones on any weighing instrument other than a Class A beam</w:t>
      </w:r>
      <w:r>
        <w:rPr>
          <w:snapToGrid w:val="0"/>
        </w:rPr>
        <w:noBreakHyphen/>
        <w:t>scale;</w:t>
      </w:r>
    </w:p>
    <w:p>
      <w:pPr>
        <w:pStyle w:val="Indenta"/>
        <w:spacing w:before="70"/>
        <w:rPr>
          <w:snapToGrid w:val="0"/>
        </w:rPr>
      </w:pPr>
      <w:r>
        <w:rPr>
          <w:snapToGrid w:val="0"/>
        </w:rPr>
        <w:tab/>
        <w:t>(d)</w:t>
      </w:r>
      <w:r>
        <w:rPr>
          <w:snapToGrid w:val="0"/>
        </w:rPr>
        <w:tab/>
        <w:t>weigh for trade gold, silver, or other precious metal, or articles made thereof, on any weighing instrument other than a Class A or Class B beam</w:t>
      </w:r>
      <w:r>
        <w:rPr>
          <w:snapToGrid w:val="0"/>
        </w:rPr>
        <w:noBreakHyphen/>
        <w:t>scale;</w:t>
      </w:r>
    </w:p>
    <w:p>
      <w:pPr>
        <w:pStyle w:val="Indenta"/>
        <w:spacing w:before="70"/>
        <w:rPr>
          <w:snapToGrid w:val="0"/>
        </w:rPr>
      </w:pPr>
      <w:r>
        <w:rPr>
          <w:snapToGrid w:val="0"/>
        </w:rPr>
        <w:tab/>
        <w:t>(e)</w:t>
      </w:r>
      <w:r>
        <w:rPr>
          <w:snapToGrid w:val="0"/>
        </w:rPr>
        <w:tab/>
        <w:t>sell by measure of capacity any of the undermentioned goods — </w:t>
      </w:r>
    </w:p>
    <w:p>
      <w:pPr>
        <w:pStyle w:val="Indenti"/>
        <w:spacing w:before="60"/>
        <w:rPr>
          <w:snapToGrid w:val="0"/>
        </w:rPr>
      </w:pPr>
      <w:r>
        <w:rPr>
          <w:snapToGrid w:val="0"/>
        </w:rPr>
        <w:tab/>
      </w:r>
      <w:r>
        <w:rPr>
          <w:snapToGrid w:val="0"/>
        </w:rPr>
        <w:tab/>
        <w:t>Beans in the pod,</w:t>
      </w:r>
    </w:p>
    <w:p>
      <w:pPr>
        <w:pStyle w:val="Indenti"/>
        <w:spacing w:before="60"/>
        <w:rPr>
          <w:snapToGrid w:val="0"/>
        </w:rPr>
      </w:pPr>
      <w:r>
        <w:rPr>
          <w:snapToGrid w:val="0"/>
        </w:rPr>
        <w:tab/>
      </w:r>
      <w:r>
        <w:rPr>
          <w:snapToGrid w:val="0"/>
        </w:rPr>
        <w:tab/>
        <w:t>Peas in the pod,</w:t>
      </w:r>
    </w:p>
    <w:p>
      <w:pPr>
        <w:pStyle w:val="Indenti"/>
        <w:spacing w:before="60"/>
        <w:rPr>
          <w:snapToGrid w:val="0"/>
        </w:rPr>
      </w:pPr>
      <w:r>
        <w:rPr>
          <w:snapToGrid w:val="0"/>
        </w:rPr>
        <w:tab/>
      </w:r>
      <w:r>
        <w:rPr>
          <w:snapToGrid w:val="0"/>
        </w:rPr>
        <w:tab/>
        <w:t>Prawns;</w:t>
      </w:r>
    </w:p>
    <w:p>
      <w:pPr>
        <w:pStyle w:val="Indenta"/>
        <w:rPr>
          <w:snapToGrid w:val="0"/>
        </w:rPr>
      </w:pPr>
      <w:r>
        <w:rPr>
          <w:snapToGrid w:val="0"/>
        </w:rPr>
        <w:tab/>
        <w:t>(e1)</w:t>
      </w:r>
      <w:r>
        <w:rPr>
          <w:snapToGrid w:val="0"/>
        </w:rPr>
        <w:tab/>
        <w:t>use the measuring chamber of a petrol measuring instrument for the storage of petrol prior to, or in anticipation of sale, or permit petrol to remain in such chamber longer than is necessary for the measuring and discharge of such petrol;</w:t>
      </w:r>
    </w:p>
    <w:p>
      <w:pPr>
        <w:pStyle w:val="Indenta"/>
        <w:spacing w:before="100"/>
        <w:rPr>
          <w:snapToGrid w:val="0"/>
        </w:rPr>
      </w:pPr>
      <w:r>
        <w:rPr>
          <w:snapToGrid w:val="0"/>
        </w:rPr>
        <w:tab/>
        <w:t>(e2)</w:t>
      </w:r>
      <w:r>
        <w:rPr>
          <w:snapToGrid w:val="0"/>
        </w:rPr>
        <w:tab/>
        <w:t>in any hide store or salt store use for trade any weighing machine having an iron steelyard or iron proportional weights unless such steelyard or weights are galvanised or nickelled or otherwise suitably protected against rust;</w:t>
      </w:r>
    </w:p>
    <w:p>
      <w:pPr>
        <w:pStyle w:val="Indenta"/>
        <w:spacing w:before="100"/>
        <w:rPr>
          <w:snapToGrid w:val="0"/>
        </w:rPr>
      </w:pPr>
      <w:r>
        <w:rPr>
          <w:snapToGrid w:val="0"/>
        </w:rPr>
        <w:tab/>
        <w:t>(f)</w:t>
      </w:r>
      <w:r>
        <w:rPr>
          <w:snapToGrid w:val="0"/>
        </w:rPr>
        <w:tab/>
        <w:t>when a certificate issued under regulation 5 of Part IV limits the trades or purposes in which a weight, measure, or instrument of a specified type may be used, use a weight, measure, or instrument of such type for a trade or purpose other than as specified in such certificate;</w:t>
      </w:r>
    </w:p>
    <w:p>
      <w:pPr>
        <w:pStyle w:val="Indenta"/>
        <w:spacing w:before="100"/>
        <w:rPr>
          <w:snapToGrid w:val="0"/>
        </w:rPr>
      </w:pPr>
      <w:r>
        <w:rPr>
          <w:snapToGrid w:val="0"/>
        </w:rPr>
        <w:tab/>
        <w:t>(g)</w:t>
      </w:r>
      <w:r>
        <w:rPr>
          <w:snapToGrid w:val="0"/>
        </w:rPr>
        <w:tab/>
        <w:t>make, exhibit, publish, or distribute any print or document which purports to be a copy of any certificate issued under the Act or regulations unless such copy is identical in every respect with the original;</w:t>
      </w:r>
    </w:p>
    <w:p>
      <w:pPr>
        <w:pStyle w:val="Indenta"/>
        <w:spacing w:before="100"/>
        <w:rPr>
          <w:snapToGrid w:val="0"/>
        </w:rPr>
      </w:pPr>
      <w:r>
        <w:rPr>
          <w:snapToGrid w:val="0"/>
        </w:rPr>
        <w:tab/>
        <w:t>(h)</w:t>
      </w:r>
      <w:r>
        <w:rPr>
          <w:snapToGrid w:val="0"/>
        </w:rPr>
        <w:tab/>
        <w:t>use for purposes other than trade an unstamped weighing or measuring instrument on trade premises, where other stamped weighing or measuring instruments are used for trade purposes, unless such instrument is clearly and indelibly marked “Not for trade use”.</w:t>
      </w:r>
    </w:p>
    <w:p>
      <w:pPr>
        <w:pStyle w:val="Footnotesection"/>
      </w:pPr>
      <w:r>
        <w:tab/>
        <w:t xml:space="preserve">[Regulation 3 amended in Gazette 23 May 1960 p. 1406.] </w:t>
      </w:r>
    </w:p>
    <w:p>
      <w:pPr>
        <w:pStyle w:val="Heading5"/>
        <w:spacing w:before="260"/>
        <w:rPr>
          <w:snapToGrid w:val="0"/>
        </w:rPr>
      </w:pPr>
      <w:bookmarkStart w:id="171" w:name="_Toc390077196"/>
      <w:r>
        <w:rPr>
          <w:rStyle w:val="CharSectno"/>
        </w:rPr>
        <w:t>4</w:t>
      </w:r>
      <w:r>
        <w:rPr>
          <w:snapToGrid w:val="0"/>
        </w:rPr>
        <w:t>.</w:t>
      </w:r>
      <w:r>
        <w:rPr>
          <w:snapToGrid w:val="0"/>
        </w:rPr>
        <w:tab/>
        <w:t>Spillage to be prevented when delivering liquid</w:t>
      </w:r>
      <w:bookmarkEnd w:id="171"/>
    </w:p>
    <w:p>
      <w:pPr>
        <w:pStyle w:val="Subsection"/>
        <w:rPr>
          <w:snapToGrid w:val="0"/>
        </w:rPr>
      </w:pPr>
      <w:r>
        <w:rPr>
          <w:snapToGrid w:val="0"/>
        </w:rPr>
        <w:tab/>
      </w:r>
      <w:r>
        <w:rPr>
          <w:snapToGrid w:val="0"/>
        </w:rPr>
        <w:tab/>
        <w:t>No person shall deliver, other than at the premises of the seller, or carry for delivery, any milk or other liquid in a measure not provided with a lip or retaining edge, or some other means to prevent spilling.</w:t>
      </w:r>
    </w:p>
    <w:p>
      <w:pPr>
        <w:pStyle w:val="Heading5"/>
        <w:rPr>
          <w:snapToGrid w:val="0"/>
        </w:rPr>
      </w:pPr>
      <w:bookmarkStart w:id="172" w:name="_Toc390077197"/>
      <w:r>
        <w:rPr>
          <w:rStyle w:val="CharSectno"/>
        </w:rPr>
        <w:t>5</w:t>
      </w:r>
      <w:r>
        <w:rPr>
          <w:snapToGrid w:val="0"/>
        </w:rPr>
        <w:t>.</w:t>
      </w:r>
      <w:r>
        <w:rPr>
          <w:snapToGrid w:val="0"/>
        </w:rPr>
        <w:tab/>
        <w:t>Instruments to be identified if 2 or more on same premises</w:t>
      </w:r>
      <w:bookmarkEnd w:id="172"/>
    </w:p>
    <w:p>
      <w:pPr>
        <w:pStyle w:val="Subsection"/>
        <w:keepNext/>
        <w:rPr>
          <w:snapToGrid w:val="0"/>
        </w:rPr>
      </w:pPr>
      <w:r>
        <w:rPr>
          <w:snapToGrid w:val="0"/>
        </w:rPr>
        <w:tab/>
      </w:r>
      <w:r>
        <w:rPr>
          <w:snapToGrid w:val="0"/>
        </w:rPr>
        <w:tab/>
        <w:t>The owner, or person in possession, on the same premises, of more than one instrument, shall — </w:t>
      </w:r>
    </w:p>
    <w:p>
      <w:pPr>
        <w:pStyle w:val="Indenta"/>
        <w:rPr>
          <w:snapToGrid w:val="0"/>
        </w:rPr>
      </w:pPr>
      <w:r>
        <w:rPr>
          <w:snapToGrid w:val="0"/>
        </w:rPr>
        <w:tab/>
        <w:t>(a)</w:t>
      </w:r>
      <w:r>
        <w:rPr>
          <w:snapToGrid w:val="0"/>
        </w:rPr>
        <w:tab/>
        <w:t>if such instruments are of the same capacity or similar general type, have marked thereon for identification a clear and legible distinguishing number;</w:t>
      </w:r>
    </w:p>
    <w:p>
      <w:pPr>
        <w:pStyle w:val="Indenta"/>
        <w:rPr>
          <w:snapToGrid w:val="0"/>
        </w:rPr>
      </w:pPr>
      <w:r>
        <w:rPr>
          <w:snapToGrid w:val="0"/>
        </w:rPr>
        <w:tab/>
        <w:t>(b)</w:t>
      </w:r>
      <w:r>
        <w:rPr>
          <w:snapToGrid w:val="0"/>
        </w:rPr>
        <w:tab/>
        <w:t>if such instruments have loose proportional weights, have such weights marked in such a manner that they may be readily identified with the instruments to which they belong.</w:t>
      </w:r>
    </w:p>
    <w:p>
      <w:pPr>
        <w:pStyle w:val="Heading5"/>
        <w:rPr>
          <w:snapToGrid w:val="0"/>
        </w:rPr>
      </w:pPr>
      <w:bookmarkStart w:id="173" w:name="_Toc390077198"/>
      <w:r>
        <w:rPr>
          <w:rStyle w:val="CharSectno"/>
        </w:rPr>
        <w:t>6</w:t>
      </w:r>
      <w:r>
        <w:rPr>
          <w:snapToGrid w:val="0"/>
        </w:rPr>
        <w:t>.</w:t>
      </w:r>
      <w:r>
        <w:rPr>
          <w:snapToGrid w:val="0"/>
        </w:rPr>
        <w:tab/>
        <w:t>Change of ownership of weighing machine or instrument</w:t>
      </w:r>
      <w:bookmarkEnd w:id="173"/>
    </w:p>
    <w:p>
      <w:pPr>
        <w:pStyle w:val="Subsection"/>
        <w:rPr>
          <w:snapToGrid w:val="0"/>
        </w:rPr>
      </w:pPr>
      <w:r>
        <w:rPr>
          <w:snapToGrid w:val="0"/>
        </w:rPr>
        <w:tab/>
      </w:r>
      <w:r>
        <w:rPr>
          <w:snapToGrid w:val="0"/>
        </w:rPr>
        <w:tab/>
        <w:t>Whenever the owner of a weighing machine or measuring instrument parts with his ownership to a new owner, he shall within 30 days thereof notify the Chief Inspector in writing of such change of ownership, and of the name and address of the new owner.</w:t>
      </w:r>
    </w:p>
    <w:p>
      <w:pPr>
        <w:pStyle w:val="Footnotesection"/>
      </w:pPr>
      <w:r>
        <w:tab/>
        <w:t xml:space="preserve">[Regulation 6 inserted in Gazette 22 Feb 1929 p. 608.] </w:t>
      </w:r>
    </w:p>
    <w:p>
      <w:pPr>
        <w:pStyle w:val="Heading5"/>
        <w:rPr>
          <w:snapToGrid w:val="0"/>
        </w:rPr>
      </w:pPr>
      <w:bookmarkStart w:id="174" w:name="_Toc390077199"/>
      <w:r>
        <w:rPr>
          <w:rStyle w:val="CharSectno"/>
        </w:rPr>
        <w:t>7</w:t>
      </w:r>
      <w:r>
        <w:rPr>
          <w:snapToGrid w:val="0"/>
        </w:rPr>
        <w:t>.</w:t>
      </w:r>
      <w:r>
        <w:rPr>
          <w:snapToGrid w:val="0"/>
        </w:rPr>
        <w:tab/>
        <w:t>Notification of sale by manufacturer or trader</w:t>
      </w:r>
      <w:bookmarkEnd w:id="174"/>
    </w:p>
    <w:p>
      <w:pPr>
        <w:pStyle w:val="Subsection"/>
        <w:rPr>
          <w:snapToGrid w:val="0"/>
        </w:rPr>
      </w:pPr>
      <w:r>
        <w:rPr>
          <w:snapToGrid w:val="0"/>
        </w:rPr>
        <w:tab/>
      </w:r>
      <w:r>
        <w:rPr>
          <w:snapToGrid w:val="0"/>
        </w:rPr>
        <w:tab/>
        <w:t>Every manufacturer and trader shall notify the Chief Inspector in writing of the sale by him of new or second</w:t>
      </w:r>
      <w:r>
        <w:rPr>
          <w:snapToGrid w:val="0"/>
        </w:rPr>
        <w:noBreakHyphen/>
        <w:t>hand weighing or measuring instruments within 30 days thereof, and such notice shall state the name and address of the purchaser.</w:t>
      </w:r>
    </w:p>
    <w:p>
      <w:pPr>
        <w:pStyle w:val="Footnotesection"/>
      </w:pPr>
      <w:r>
        <w:tab/>
        <w:t xml:space="preserve">[Regulation 7 inserted in Gazette 22 Feb 1929 p. 608.] </w:t>
      </w:r>
    </w:p>
    <w:p>
      <w:pPr>
        <w:pStyle w:val="Ednotepart"/>
      </w:pPr>
      <w:r>
        <w:t xml:space="preserve">[Parts VI, VII and VIII repealed in Gazette 24 Jul 1970 p. 2206.] </w:t>
      </w:r>
    </w:p>
    <w:p>
      <w:pPr>
        <w:pStyle w:val="Heading2"/>
      </w:pPr>
      <w:bookmarkStart w:id="175" w:name="_Toc390077200"/>
      <w:r>
        <w:rPr>
          <w:rStyle w:val="CharPartNo"/>
        </w:rPr>
        <w:t>Part IX</w:t>
      </w:r>
      <w:bookmarkEnd w:id="175"/>
    </w:p>
    <w:p>
      <w:pPr>
        <w:pStyle w:val="MiscellaneousHeading"/>
        <w:rPr>
          <w:b/>
          <w:snapToGrid w:val="0"/>
        </w:rPr>
      </w:pPr>
      <w:r>
        <w:rPr>
          <w:b/>
          <w:snapToGrid w:val="0"/>
        </w:rPr>
        <w:t>Sale of coal and firewood</w:t>
      </w:r>
    </w:p>
    <w:p>
      <w:pPr>
        <w:pStyle w:val="Heading5"/>
        <w:rPr>
          <w:snapToGrid w:val="0"/>
        </w:rPr>
      </w:pPr>
      <w:bookmarkStart w:id="176" w:name="_Toc390077201"/>
      <w:r>
        <w:rPr>
          <w:rStyle w:val="CharSectno"/>
        </w:rPr>
        <w:t>1</w:t>
      </w:r>
      <w:r>
        <w:rPr>
          <w:snapToGrid w:val="0"/>
        </w:rPr>
        <w:t>.</w:t>
      </w:r>
      <w:r>
        <w:rPr>
          <w:snapToGrid w:val="0"/>
        </w:rPr>
        <w:tab/>
        <w:t>Interpretation</w:t>
      </w:r>
      <w:bookmarkEnd w:id="176"/>
    </w:p>
    <w:p>
      <w:pPr>
        <w:pStyle w:val="Subsection"/>
        <w:rPr>
          <w:snapToGrid w:val="0"/>
        </w:rPr>
      </w:pPr>
      <w:r>
        <w:rPr>
          <w:snapToGrid w:val="0"/>
        </w:rPr>
        <w:tab/>
      </w:r>
      <w:r>
        <w:rPr>
          <w:snapToGrid w:val="0"/>
        </w:rPr>
        <w:tab/>
        <w:t>In the following regulations under this Part — </w:t>
      </w:r>
    </w:p>
    <w:p>
      <w:pPr>
        <w:pStyle w:val="Indenta"/>
        <w:rPr>
          <w:snapToGrid w:val="0"/>
        </w:rPr>
      </w:pPr>
      <w:r>
        <w:rPr>
          <w:snapToGrid w:val="0"/>
        </w:rPr>
        <w:tab/>
        <w:t>(a)</w:t>
      </w:r>
      <w:r>
        <w:rPr>
          <w:snapToGrid w:val="0"/>
        </w:rPr>
        <w:tab/>
      </w:r>
      <w:r>
        <w:rPr>
          <w:b/>
          <w:snapToGrid w:val="0"/>
        </w:rPr>
        <w:t>“</w:t>
      </w:r>
      <w:r>
        <w:rPr>
          <w:rStyle w:val="CharDefText"/>
        </w:rPr>
        <w:t>Coal</w:t>
      </w:r>
      <w:r>
        <w:rPr>
          <w:b/>
          <w:snapToGrid w:val="0"/>
        </w:rPr>
        <w:t>”</w:t>
      </w:r>
      <w:r>
        <w:rPr>
          <w:snapToGrid w:val="0"/>
        </w:rPr>
        <w:t xml:space="preserve"> shall not include coke.</w:t>
      </w:r>
    </w:p>
    <w:p>
      <w:pPr>
        <w:pStyle w:val="Indenta"/>
        <w:rPr>
          <w:snapToGrid w:val="0"/>
        </w:rPr>
      </w:pPr>
      <w:r>
        <w:rPr>
          <w:snapToGrid w:val="0"/>
        </w:rPr>
        <w:tab/>
        <w:t>(b)</w:t>
      </w:r>
      <w:r>
        <w:rPr>
          <w:snapToGrid w:val="0"/>
        </w:rPr>
        <w:tab/>
      </w:r>
      <w:r>
        <w:rPr>
          <w:b/>
          <w:snapToGrid w:val="0"/>
        </w:rPr>
        <w:t>“</w:t>
      </w:r>
      <w:r>
        <w:rPr>
          <w:rStyle w:val="CharDefText"/>
        </w:rPr>
        <w:t>Firewood</w:t>
      </w:r>
      <w:r>
        <w:rPr>
          <w:b/>
          <w:snapToGrid w:val="0"/>
        </w:rPr>
        <w:t>”</w:t>
      </w:r>
      <w:r>
        <w:rPr>
          <w:snapToGrid w:val="0"/>
        </w:rPr>
        <w:t xml:space="preserve"> means any firewood in billets or in lengths not exceeding 8 feet.</w:t>
      </w:r>
    </w:p>
    <w:p>
      <w:pPr>
        <w:pStyle w:val="Indenta"/>
        <w:rPr>
          <w:snapToGrid w:val="0"/>
        </w:rPr>
      </w:pPr>
      <w:r>
        <w:rPr>
          <w:snapToGrid w:val="0"/>
        </w:rPr>
        <w:tab/>
        <w:t>(c)</w:t>
      </w:r>
      <w:r>
        <w:rPr>
          <w:snapToGrid w:val="0"/>
        </w:rPr>
        <w:tab/>
      </w:r>
      <w:r>
        <w:rPr>
          <w:b/>
          <w:snapToGrid w:val="0"/>
        </w:rPr>
        <w:t>“</w:t>
      </w:r>
      <w:r>
        <w:rPr>
          <w:rStyle w:val="CharDefText"/>
        </w:rPr>
        <w:t>Vehicle</w:t>
      </w:r>
      <w:r>
        <w:rPr>
          <w:b/>
          <w:snapToGrid w:val="0"/>
        </w:rPr>
        <w:t>”</w:t>
      </w:r>
      <w:r>
        <w:rPr>
          <w:snapToGrid w:val="0"/>
        </w:rPr>
        <w:t xml:space="preserve"> shall not include any truck used on any railway or tramway, or any vehicle provided by the purchaser of any coal, coke, or firewood carried thereon and driven by such purchaser or other person on his behalf.</w:t>
      </w:r>
    </w:p>
    <w:p>
      <w:pPr>
        <w:pStyle w:val="Footnotesection"/>
      </w:pPr>
      <w:r>
        <w:tab/>
        <w:t xml:space="preserve">[Regulation 1 amended in Gazette 23 May 1960 p. 1406.] </w:t>
      </w:r>
    </w:p>
    <w:p>
      <w:pPr>
        <w:pStyle w:val="Heading5"/>
        <w:rPr>
          <w:snapToGrid w:val="0"/>
        </w:rPr>
      </w:pPr>
      <w:bookmarkStart w:id="177" w:name="_Toc390077202"/>
      <w:r>
        <w:rPr>
          <w:rStyle w:val="CharSectno"/>
        </w:rPr>
        <w:t>2</w:t>
      </w:r>
      <w:r>
        <w:rPr>
          <w:snapToGrid w:val="0"/>
        </w:rPr>
        <w:t>.</w:t>
      </w:r>
      <w:r>
        <w:rPr>
          <w:snapToGrid w:val="0"/>
        </w:rPr>
        <w:tab/>
        <w:t>Application of Part IX</w:t>
      </w:r>
      <w:bookmarkEnd w:id="177"/>
    </w:p>
    <w:p>
      <w:pPr>
        <w:pStyle w:val="Subsection"/>
        <w:rPr>
          <w:snapToGrid w:val="0"/>
        </w:rPr>
      </w:pPr>
      <w:r>
        <w:rPr>
          <w:snapToGrid w:val="0"/>
        </w:rPr>
        <w:tab/>
      </w:r>
      <w:r>
        <w:rPr>
          <w:snapToGrid w:val="0"/>
        </w:rPr>
        <w:tab/>
        <w:t>Regulations under this Part shall apply only in those municipal districts, townsites, or other places which are situated within the area having a radius of 20 miles from the General Post Office, Perth.</w:t>
      </w:r>
    </w:p>
    <w:p>
      <w:pPr>
        <w:pStyle w:val="Footnotesection"/>
      </w:pPr>
      <w:r>
        <w:tab/>
        <w:t>[Regulation 2 amended in Gazette 23 May 1960 p. 1406</w:t>
      </w:r>
      <w:r>
        <w:noBreakHyphen/>
        <w:t xml:space="preserve">7.] </w:t>
      </w:r>
    </w:p>
    <w:p>
      <w:pPr>
        <w:pStyle w:val="Heading5"/>
        <w:rPr>
          <w:snapToGrid w:val="0"/>
        </w:rPr>
      </w:pPr>
      <w:bookmarkStart w:id="178" w:name="_Toc390077203"/>
      <w:r>
        <w:rPr>
          <w:rStyle w:val="CharSectno"/>
        </w:rPr>
        <w:t>3</w:t>
      </w:r>
      <w:r>
        <w:rPr>
          <w:snapToGrid w:val="0"/>
        </w:rPr>
        <w:t>.</w:t>
      </w:r>
      <w:r>
        <w:rPr>
          <w:snapToGrid w:val="0"/>
        </w:rPr>
        <w:tab/>
        <w:t>Retail seller to provide weighing instrument</w:t>
      </w:r>
      <w:bookmarkEnd w:id="178"/>
    </w:p>
    <w:p>
      <w:pPr>
        <w:pStyle w:val="Subsection"/>
        <w:rPr>
          <w:snapToGrid w:val="0"/>
        </w:rPr>
      </w:pPr>
      <w:r>
        <w:rPr>
          <w:snapToGrid w:val="0"/>
        </w:rPr>
        <w:tab/>
      </w:r>
      <w:r>
        <w:rPr>
          <w:snapToGrid w:val="0"/>
        </w:rPr>
        <w:tab/>
        <w:t>Each retail seller shall provide on his premises a correct stamped weighing instrument suitable for weighing coal, coke, or firewood.</w:t>
      </w:r>
    </w:p>
    <w:p>
      <w:pPr>
        <w:pStyle w:val="Footnotesection"/>
      </w:pPr>
      <w:r>
        <w:tab/>
        <w:t xml:space="preserve">[Regulation 3 amended in Gazette 3 Nov 1950 p. 2462.] </w:t>
      </w:r>
    </w:p>
    <w:p>
      <w:pPr>
        <w:pStyle w:val="Heading5"/>
        <w:rPr>
          <w:snapToGrid w:val="0"/>
        </w:rPr>
      </w:pPr>
      <w:bookmarkStart w:id="179" w:name="_Toc390077204"/>
      <w:r>
        <w:rPr>
          <w:rStyle w:val="CharSectno"/>
        </w:rPr>
        <w:t>4</w:t>
      </w:r>
      <w:r>
        <w:rPr>
          <w:snapToGrid w:val="0"/>
        </w:rPr>
        <w:t>.</w:t>
      </w:r>
      <w:r>
        <w:rPr>
          <w:snapToGrid w:val="0"/>
        </w:rPr>
        <w:tab/>
        <w:t>Hawking of coal or firewood</w:t>
      </w:r>
      <w:bookmarkEnd w:id="179"/>
    </w:p>
    <w:p>
      <w:pPr>
        <w:pStyle w:val="Subsection"/>
        <w:rPr>
          <w:snapToGrid w:val="0"/>
        </w:rPr>
      </w:pPr>
      <w:r>
        <w:rPr>
          <w:snapToGrid w:val="0"/>
        </w:rPr>
        <w:tab/>
      </w:r>
      <w:r>
        <w:rPr>
          <w:snapToGrid w:val="0"/>
        </w:rPr>
        <w:tab/>
        <w:t>Coal or firewood hawked shall be in sacks each containing 1 cwt., 56, 28, or 14 lb.</w:t>
      </w:r>
    </w:p>
    <w:p>
      <w:pPr>
        <w:pStyle w:val="Heading5"/>
        <w:rPr>
          <w:snapToGrid w:val="0"/>
        </w:rPr>
      </w:pPr>
      <w:bookmarkStart w:id="180" w:name="_Toc390077205"/>
      <w:r>
        <w:rPr>
          <w:rStyle w:val="CharSectno"/>
        </w:rPr>
        <w:t>5</w:t>
      </w:r>
      <w:r>
        <w:rPr>
          <w:snapToGrid w:val="0"/>
        </w:rPr>
        <w:t>.</w:t>
      </w:r>
      <w:r>
        <w:rPr>
          <w:snapToGrid w:val="0"/>
        </w:rPr>
        <w:tab/>
        <w:t>Hawking of coke</w:t>
      </w:r>
      <w:bookmarkEnd w:id="180"/>
    </w:p>
    <w:p>
      <w:pPr>
        <w:pStyle w:val="Subsection"/>
        <w:spacing w:before="140"/>
        <w:rPr>
          <w:snapToGrid w:val="0"/>
        </w:rPr>
      </w:pPr>
      <w:r>
        <w:rPr>
          <w:snapToGrid w:val="0"/>
        </w:rPr>
        <w:tab/>
      </w:r>
      <w:r>
        <w:rPr>
          <w:snapToGrid w:val="0"/>
        </w:rPr>
        <w:tab/>
        <w:t>Coke hawked shall be in sacks.</w:t>
      </w:r>
    </w:p>
    <w:p>
      <w:pPr>
        <w:pStyle w:val="Heading5"/>
        <w:spacing w:before="200"/>
        <w:rPr>
          <w:snapToGrid w:val="0"/>
        </w:rPr>
      </w:pPr>
      <w:bookmarkStart w:id="181" w:name="_Toc390077206"/>
      <w:r>
        <w:rPr>
          <w:rStyle w:val="CharSectno"/>
        </w:rPr>
        <w:t>6</w:t>
      </w:r>
      <w:r>
        <w:rPr>
          <w:snapToGrid w:val="0"/>
        </w:rPr>
        <w:t>.</w:t>
      </w:r>
      <w:r>
        <w:rPr>
          <w:snapToGrid w:val="0"/>
        </w:rPr>
        <w:tab/>
        <w:t>Sacks to be marked with net weight</w:t>
      </w:r>
      <w:bookmarkEnd w:id="181"/>
    </w:p>
    <w:p>
      <w:pPr>
        <w:pStyle w:val="Subsection"/>
        <w:spacing w:before="140"/>
        <w:rPr>
          <w:snapToGrid w:val="0"/>
        </w:rPr>
      </w:pPr>
      <w:r>
        <w:rPr>
          <w:snapToGrid w:val="0"/>
        </w:rPr>
        <w:tab/>
      </w:r>
      <w:r>
        <w:rPr>
          <w:snapToGrid w:val="0"/>
        </w:rPr>
        <w:tab/>
        <w:t>Each sack containing coal, coke, or firewood hawked shall have affixed thereon in a prominent and suitable position a metal label on which there shall be clearly and legibly marked in figures and letters not less than half inch in height and of proportionate breadth the correct net weight of coal, coke, or firewood in such sack.</w:t>
      </w:r>
    </w:p>
    <w:p>
      <w:pPr>
        <w:pStyle w:val="Heading5"/>
        <w:spacing w:before="200"/>
        <w:rPr>
          <w:snapToGrid w:val="0"/>
        </w:rPr>
      </w:pPr>
      <w:bookmarkStart w:id="182" w:name="_Toc390077207"/>
      <w:r>
        <w:rPr>
          <w:rStyle w:val="CharSectno"/>
        </w:rPr>
        <w:t>7</w:t>
      </w:r>
      <w:r>
        <w:rPr>
          <w:snapToGrid w:val="0"/>
        </w:rPr>
        <w:t>.</w:t>
      </w:r>
      <w:r>
        <w:rPr>
          <w:snapToGrid w:val="0"/>
        </w:rPr>
        <w:tab/>
        <w:t>Coal delivered by vehicle</w:t>
      </w:r>
      <w:bookmarkEnd w:id="182"/>
    </w:p>
    <w:p>
      <w:pPr>
        <w:pStyle w:val="Subsection"/>
        <w:spacing w:before="140"/>
        <w:rPr>
          <w:snapToGrid w:val="0"/>
        </w:rPr>
      </w:pPr>
      <w:r>
        <w:rPr>
          <w:snapToGrid w:val="0"/>
        </w:rPr>
        <w:tab/>
      </w:r>
      <w:r>
        <w:rPr>
          <w:snapToGrid w:val="0"/>
        </w:rPr>
        <w:tab/>
        <w:t>Coal carried on any vehicle for delivery to a purchaser shall be in sacks each containing 1 cwt.</w:t>
      </w:r>
    </w:p>
    <w:p>
      <w:pPr>
        <w:pStyle w:val="Subsection"/>
        <w:spacing w:before="140"/>
        <w:rPr>
          <w:snapToGrid w:val="0"/>
        </w:rPr>
      </w:pPr>
      <w:r>
        <w:rPr>
          <w:snapToGrid w:val="0"/>
        </w:rPr>
        <w:tab/>
      </w:r>
      <w:r>
        <w:rPr>
          <w:snapToGrid w:val="0"/>
        </w:rPr>
        <w:tab/>
        <w:t>Provided that — </w:t>
      </w:r>
    </w:p>
    <w:p>
      <w:pPr>
        <w:pStyle w:val="Indenta"/>
        <w:spacing w:before="60"/>
        <w:rPr>
          <w:snapToGrid w:val="0"/>
        </w:rPr>
      </w:pPr>
      <w:r>
        <w:rPr>
          <w:snapToGrid w:val="0"/>
        </w:rPr>
        <w:tab/>
        <w:t>(a)</w:t>
      </w:r>
      <w:r>
        <w:rPr>
          <w:snapToGrid w:val="0"/>
        </w:rPr>
        <w:tab/>
        <w:t>no liability shall be incurred when the total weight in hundredweights of coal for delivery to each purchaser is equivalent to the number of sacks in which such coal is carried. The exemption provided in this paragraph shall not apply when the sacks containing such coal are labelled as provided in regulation 9;</w:t>
      </w:r>
    </w:p>
    <w:p>
      <w:pPr>
        <w:pStyle w:val="Indenta"/>
        <w:spacing w:before="60"/>
        <w:rPr>
          <w:snapToGrid w:val="0"/>
        </w:rPr>
      </w:pPr>
      <w:r>
        <w:rPr>
          <w:snapToGrid w:val="0"/>
        </w:rPr>
        <w:tab/>
        <w:t>(b)</w:t>
      </w:r>
      <w:r>
        <w:rPr>
          <w:snapToGrid w:val="0"/>
        </w:rPr>
        <w:tab/>
        <w:t>when the quantity carried for any purchaser is less than 1 cwt. it shall be in a sack containing either 56, 28, or 14 lb.;</w:t>
      </w:r>
    </w:p>
    <w:p>
      <w:pPr>
        <w:pStyle w:val="Indenta"/>
        <w:spacing w:before="60"/>
        <w:rPr>
          <w:snapToGrid w:val="0"/>
        </w:rPr>
      </w:pPr>
      <w:r>
        <w:rPr>
          <w:snapToGrid w:val="0"/>
        </w:rPr>
        <w:tab/>
        <w:t>(c)</w:t>
      </w:r>
      <w:r>
        <w:rPr>
          <w:snapToGrid w:val="0"/>
        </w:rPr>
        <w:tab/>
        <w:t>when all coal on any vehicle is for delivery to one purchaser and the quantity is 5 cwt. or over it may be carried in bulk.</w:t>
      </w:r>
    </w:p>
    <w:p>
      <w:pPr>
        <w:pStyle w:val="Heading5"/>
        <w:spacing w:before="200"/>
        <w:rPr>
          <w:snapToGrid w:val="0"/>
        </w:rPr>
      </w:pPr>
      <w:bookmarkStart w:id="183" w:name="_Toc390077208"/>
      <w:r>
        <w:rPr>
          <w:rStyle w:val="CharSectno"/>
        </w:rPr>
        <w:t>8</w:t>
      </w:r>
      <w:r>
        <w:rPr>
          <w:snapToGrid w:val="0"/>
        </w:rPr>
        <w:t>.</w:t>
      </w:r>
      <w:r>
        <w:rPr>
          <w:snapToGrid w:val="0"/>
        </w:rPr>
        <w:tab/>
        <w:t>Coke delivered by vehicle</w:t>
      </w:r>
      <w:bookmarkEnd w:id="183"/>
    </w:p>
    <w:p>
      <w:pPr>
        <w:pStyle w:val="Subsection"/>
        <w:spacing w:before="140"/>
        <w:rPr>
          <w:snapToGrid w:val="0"/>
        </w:rPr>
      </w:pPr>
      <w:r>
        <w:rPr>
          <w:snapToGrid w:val="0"/>
        </w:rPr>
        <w:tab/>
      </w:r>
      <w:r>
        <w:rPr>
          <w:snapToGrid w:val="0"/>
        </w:rPr>
        <w:tab/>
        <w:t>Coke carried on any vehicle for delivery to a purchaser shall be in sacks:</w:t>
      </w:r>
    </w:p>
    <w:p>
      <w:pPr>
        <w:pStyle w:val="Subsection"/>
        <w:spacing w:before="140"/>
        <w:rPr>
          <w:snapToGrid w:val="0"/>
        </w:rPr>
      </w:pPr>
      <w:r>
        <w:rPr>
          <w:snapToGrid w:val="0"/>
        </w:rPr>
        <w:tab/>
      </w:r>
      <w:r>
        <w:rPr>
          <w:snapToGrid w:val="0"/>
        </w:rPr>
        <w:tab/>
        <w:t xml:space="preserve">Provided that when all coke on any vehicle is for delivery to one purchaser and the quantity is 5 cwt. or over it may be carried in bulk. </w:t>
      </w:r>
    </w:p>
    <w:p>
      <w:pPr>
        <w:pStyle w:val="Heading5"/>
        <w:rPr>
          <w:snapToGrid w:val="0"/>
        </w:rPr>
      </w:pPr>
      <w:bookmarkStart w:id="184" w:name="_Toc390077209"/>
      <w:r>
        <w:rPr>
          <w:rStyle w:val="CharSectno"/>
        </w:rPr>
        <w:t>9</w:t>
      </w:r>
      <w:r>
        <w:rPr>
          <w:snapToGrid w:val="0"/>
        </w:rPr>
        <w:t>.</w:t>
      </w:r>
      <w:r>
        <w:rPr>
          <w:snapToGrid w:val="0"/>
        </w:rPr>
        <w:tab/>
        <w:t>Labelling of sacks</w:t>
      </w:r>
      <w:bookmarkEnd w:id="184"/>
    </w:p>
    <w:p>
      <w:pPr>
        <w:pStyle w:val="Subsection"/>
        <w:rPr>
          <w:snapToGrid w:val="0"/>
        </w:rPr>
      </w:pPr>
      <w:r>
        <w:rPr>
          <w:snapToGrid w:val="0"/>
        </w:rPr>
        <w:tab/>
      </w:r>
      <w:r>
        <w:rPr>
          <w:snapToGrid w:val="0"/>
        </w:rPr>
        <w:tab/>
        <w:t>Where sacks are labelled, the labelling shall be in accordance with the following: Each sack shall have securely fixed thereon in a prominent and suitable position a metal label on which there shall be clearly and legibly marked in figures and letters not less than half inch in height and of proportionate breadth the net weight of coal, coke, or firewood in each sack.</w:t>
      </w:r>
    </w:p>
    <w:p>
      <w:pPr>
        <w:pStyle w:val="Heading5"/>
        <w:rPr>
          <w:snapToGrid w:val="0"/>
        </w:rPr>
      </w:pPr>
      <w:bookmarkStart w:id="185" w:name="_Toc390077210"/>
      <w:r>
        <w:rPr>
          <w:rStyle w:val="CharSectno"/>
        </w:rPr>
        <w:t>10</w:t>
      </w:r>
      <w:r>
        <w:rPr>
          <w:snapToGrid w:val="0"/>
        </w:rPr>
        <w:t>.</w:t>
      </w:r>
      <w:r>
        <w:rPr>
          <w:snapToGrid w:val="0"/>
        </w:rPr>
        <w:tab/>
        <w:t>Delivery note for coal etc. in sacks</w:t>
      </w:r>
      <w:bookmarkEnd w:id="185"/>
    </w:p>
    <w:p>
      <w:pPr>
        <w:pStyle w:val="Subsection"/>
        <w:rPr>
          <w:snapToGrid w:val="0"/>
        </w:rPr>
      </w:pPr>
      <w:r>
        <w:rPr>
          <w:snapToGrid w:val="0"/>
        </w:rPr>
        <w:tab/>
      </w:r>
      <w:r>
        <w:rPr>
          <w:snapToGrid w:val="0"/>
        </w:rPr>
        <w:tab/>
        <w:t>When coal, coke, or firewood is carried in sacks on any vehicle for delivery to a purchaser the seller shall provide a correctly completed ticket in the form of Schedule A to this Part, and the driver shall carry and produce such ticket on demand by an Inspector, and deliver same to the purchaser or his representative before any of such coal, coke, or firewood is removed from such sacks:</w:t>
      </w:r>
    </w:p>
    <w:p>
      <w:pPr>
        <w:pStyle w:val="Subsection"/>
        <w:rPr>
          <w:snapToGrid w:val="0"/>
        </w:rPr>
      </w:pPr>
      <w:r>
        <w:rPr>
          <w:snapToGrid w:val="0"/>
        </w:rPr>
        <w:tab/>
      </w:r>
      <w:r>
        <w:rPr>
          <w:snapToGrid w:val="0"/>
        </w:rPr>
        <w:tab/>
        <w:t>Provided that when all coal, coke, or firewood on such vehicle is for delivery to one purchaser a ticket in the form of Schedule B to this Part may be substituted for a ticket in the form of Schedule A:</w:t>
      </w:r>
    </w:p>
    <w:p>
      <w:pPr>
        <w:pStyle w:val="Subsection"/>
        <w:rPr>
          <w:snapToGrid w:val="0"/>
        </w:rPr>
      </w:pPr>
      <w:r>
        <w:rPr>
          <w:snapToGrid w:val="0"/>
        </w:rPr>
        <w:tab/>
      </w:r>
      <w:r>
        <w:rPr>
          <w:snapToGrid w:val="0"/>
        </w:rPr>
        <w:tab/>
        <w:t xml:space="preserve">Provided further that this regulation shall not apply if each sack bears a label as prescribed by regulation 9. </w:t>
      </w:r>
    </w:p>
    <w:p>
      <w:pPr>
        <w:pStyle w:val="Heading5"/>
        <w:rPr>
          <w:snapToGrid w:val="0"/>
        </w:rPr>
      </w:pPr>
      <w:bookmarkStart w:id="186" w:name="_Toc390077211"/>
      <w:r>
        <w:rPr>
          <w:rStyle w:val="CharSectno"/>
        </w:rPr>
        <w:t>11</w:t>
      </w:r>
      <w:r>
        <w:rPr>
          <w:snapToGrid w:val="0"/>
        </w:rPr>
        <w:t>.</w:t>
      </w:r>
      <w:r>
        <w:rPr>
          <w:snapToGrid w:val="0"/>
        </w:rPr>
        <w:tab/>
        <w:t>Sacks to be allocated to purchasers</w:t>
      </w:r>
      <w:bookmarkEnd w:id="186"/>
    </w:p>
    <w:p>
      <w:pPr>
        <w:pStyle w:val="Subsection"/>
        <w:rPr>
          <w:snapToGrid w:val="0"/>
        </w:rPr>
      </w:pPr>
      <w:r>
        <w:rPr>
          <w:snapToGrid w:val="0"/>
        </w:rPr>
        <w:tab/>
      </w:r>
      <w:r>
        <w:rPr>
          <w:snapToGrid w:val="0"/>
        </w:rPr>
        <w:tab/>
        <w:t>When coal, coke, or firewood is carried on any vehicle in sacks for delivery to more than one purchaser, the driver of such vehicle shall, on demand by an Inspector, indicate the particular sack or sacks for delivery to each such purchaser.</w:t>
      </w:r>
    </w:p>
    <w:p>
      <w:pPr>
        <w:pStyle w:val="Heading5"/>
        <w:rPr>
          <w:snapToGrid w:val="0"/>
        </w:rPr>
      </w:pPr>
      <w:bookmarkStart w:id="187" w:name="_Toc390077212"/>
      <w:r>
        <w:rPr>
          <w:rStyle w:val="CharSectno"/>
        </w:rPr>
        <w:t>12</w:t>
      </w:r>
      <w:r>
        <w:rPr>
          <w:snapToGrid w:val="0"/>
        </w:rPr>
        <w:t>.</w:t>
      </w:r>
      <w:r>
        <w:rPr>
          <w:snapToGrid w:val="0"/>
        </w:rPr>
        <w:tab/>
        <w:t>Delivery note for bulk coal or coke</w:t>
      </w:r>
      <w:bookmarkEnd w:id="187"/>
    </w:p>
    <w:p>
      <w:pPr>
        <w:pStyle w:val="Subsection"/>
        <w:rPr>
          <w:snapToGrid w:val="0"/>
        </w:rPr>
      </w:pPr>
      <w:r>
        <w:rPr>
          <w:snapToGrid w:val="0"/>
        </w:rPr>
        <w:tab/>
      </w:r>
      <w:r>
        <w:rPr>
          <w:snapToGrid w:val="0"/>
        </w:rPr>
        <w:tab/>
        <w:t>When coal or coke is carried in bulk on any vehicle for delivery to a purchaser the seller shall provide a correctly completed ticket in the form of Schedule B to this Part, and the driver shall carry and produce such ticket on demand by an Inspector, and deliver same to the purchaser or his representative before any of such coal or coke is unloaded.</w:t>
      </w:r>
    </w:p>
    <w:p>
      <w:pPr>
        <w:pStyle w:val="Heading5"/>
        <w:rPr>
          <w:snapToGrid w:val="0"/>
        </w:rPr>
      </w:pPr>
      <w:bookmarkStart w:id="188" w:name="_Toc390077213"/>
      <w:r>
        <w:rPr>
          <w:rStyle w:val="CharSectno"/>
        </w:rPr>
        <w:t>13</w:t>
      </w:r>
      <w:r>
        <w:rPr>
          <w:snapToGrid w:val="0"/>
        </w:rPr>
        <w:t>.</w:t>
      </w:r>
      <w:r>
        <w:rPr>
          <w:snapToGrid w:val="0"/>
        </w:rPr>
        <w:tab/>
        <w:t>Delivery note for bulk firewood</w:t>
      </w:r>
      <w:bookmarkEnd w:id="188"/>
    </w:p>
    <w:p>
      <w:pPr>
        <w:pStyle w:val="Subsection"/>
        <w:rPr>
          <w:snapToGrid w:val="0"/>
        </w:rPr>
      </w:pPr>
      <w:r>
        <w:rPr>
          <w:snapToGrid w:val="0"/>
        </w:rPr>
        <w:tab/>
      </w:r>
      <w:r>
        <w:rPr>
          <w:snapToGrid w:val="0"/>
        </w:rPr>
        <w:tab/>
        <w:t>When firewood is carried in bulk on any vehicle for delivery to a purchaser the seller shall provide a correctly completed ticket in the form of Schedule A to this Part, and the driver shall carry and produce such ticket on demand by an Inspector, and deliver same to the purchaser or his representative before any of such firewood is unloaded:</w:t>
      </w:r>
    </w:p>
    <w:p>
      <w:pPr>
        <w:pStyle w:val="Subsection"/>
        <w:rPr>
          <w:snapToGrid w:val="0"/>
        </w:rPr>
      </w:pPr>
      <w:r>
        <w:rPr>
          <w:snapToGrid w:val="0"/>
        </w:rPr>
        <w:tab/>
      </w:r>
      <w:r>
        <w:rPr>
          <w:snapToGrid w:val="0"/>
        </w:rPr>
        <w:tab/>
        <w:t xml:space="preserve">Provided that when all the firewood carried is for delivery to one purchaser a ticket in the form of Schedule B to this Part may be substituted for a ticket in the form of Schedule A. </w:t>
      </w:r>
    </w:p>
    <w:p>
      <w:pPr>
        <w:pStyle w:val="Heading5"/>
        <w:rPr>
          <w:snapToGrid w:val="0"/>
        </w:rPr>
      </w:pPr>
      <w:bookmarkStart w:id="189" w:name="_Toc390077214"/>
      <w:r>
        <w:rPr>
          <w:rStyle w:val="CharSectno"/>
        </w:rPr>
        <w:t>14</w:t>
      </w:r>
      <w:r>
        <w:rPr>
          <w:snapToGrid w:val="0"/>
        </w:rPr>
        <w:t>.</w:t>
      </w:r>
      <w:r>
        <w:rPr>
          <w:snapToGrid w:val="0"/>
        </w:rPr>
        <w:tab/>
        <w:t>Bulk coal or coke for different purchasers to be carried on separate vehicles</w:t>
      </w:r>
      <w:bookmarkEnd w:id="189"/>
    </w:p>
    <w:p>
      <w:pPr>
        <w:pStyle w:val="Subsection"/>
        <w:rPr>
          <w:snapToGrid w:val="0"/>
        </w:rPr>
      </w:pPr>
      <w:r>
        <w:rPr>
          <w:snapToGrid w:val="0"/>
        </w:rPr>
        <w:tab/>
      </w:r>
      <w:r>
        <w:rPr>
          <w:snapToGrid w:val="0"/>
        </w:rPr>
        <w:tab/>
        <w:t>Coal or coke in bulk for delivery to different purchasers shall not at the same time be carried on any vehicle.</w:t>
      </w:r>
    </w:p>
    <w:p>
      <w:pPr>
        <w:pStyle w:val="Heading5"/>
        <w:rPr>
          <w:snapToGrid w:val="0"/>
        </w:rPr>
      </w:pPr>
      <w:bookmarkStart w:id="190" w:name="_Toc390077215"/>
      <w:r>
        <w:rPr>
          <w:rStyle w:val="CharSectno"/>
        </w:rPr>
        <w:t>15</w:t>
      </w:r>
      <w:r>
        <w:rPr>
          <w:snapToGrid w:val="0"/>
        </w:rPr>
        <w:t>.</w:t>
      </w:r>
      <w:r>
        <w:rPr>
          <w:snapToGrid w:val="0"/>
        </w:rPr>
        <w:tab/>
        <w:t>Inspector may require coal or coke to be bagged</w:t>
      </w:r>
      <w:bookmarkEnd w:id="190"/>
    </w:p>
    <w:p>
      <w:pPr>
        <w:pStyle w:val="Subsection"/>
        <w:rPr>
          <w:snapToGrid w:val="0"/>
        </w:rPr>
      </w:pPr>
      <w:r>
        <w:rPr>
          <w:snapToGrid w:val="0"/>
        </w:rPr>
        <w:tab/>
      </w:r>
      <w:r>
        <w:rPr>
          <w:snapToGrid w:val="0"/>
        </w:rPr>
        <w:tab/>
        <w:t>When coal or coke in bulk in quantities of less than 1 ton is carried on any vehicle for delivery to a purchaser the driver shall, on demand by an Inspector, bag such coal or coke for the purpose of weighing by such Inspector.</w:t>
      </w:r>
    </w:p>
    <w:p>
      <w:pPr>
        <w:pStyle w:val="Heading5"/>
        <w:rPr>
          <w:snapToGrid w:val="0"/>
        </w:rPr>
      </w:pPr>
      <w:bookmarkStart w:id="191" w:name="_Toc390077216"/>
      <w:r>
        <w:rPr>
          <w:rStyle w:val="CharSectno"/>
        </w:rPr>
        <w:t>16</w:t>
      </w:r>
      <w:r>
        <w:rPr>
          <w:snapToGrid w:val="0"/>
        </w:rPr>
        <w:t>.</w:t>
      </w:r>
      <w:r>
        <w:rPr>
          <w:snapToGrid w:val="0"/>
        </w:rPr>
        <w:tab/>
        <w:t>Bulk firewood for different purchasers to be kept separate</w:t>
      </w:r>
      <w:bookmarkEnd w:id="191"/>
    </w:p>
    <w:p>
      <w:pPr>
        <w:pStyle w:val="Subsection"/>
        <w:rPr>
          <w:snapToGrid w:val="0"/>
        </w:rPr>
      </w:pPr>
      <w:r>
        <w:rPr>
          <w:snapToGrid w:val="0"/>
        </w:rPr>
        <w:tab/>
      </w:r>
      <w:r>
        <w:rPr>
          <w:snapToGrid w:val="0"/>
        </w:rPr>
        <w:tab/>
        <w:t>When firewood in bulk is at the same time carried on any vehicle for delivery to different purchasers, the firewood for each such purchaser shall be definitely separated by boards or other suitable method, and on demand by an Inspector the driver of the vehicle shall indicate the firewood for delivery to each such purchaser.</w:t>
      </w:r>
    </w:p>
    <w:p>
      <w:pPr>
        <w:pStyle w:val="Heading5"/>
        <w:rPr>
          <w:snapToGrid w:val="0"/>
        </w:rPr>
      </w:pPr>
      <w:bookmarkStart w:id="192" w:name="_Toc390077217"/>
      <w:r>
        <w:rPr>
          <w:rStyle w:val="CharSectno"/>
        </w:rPr>
        <w:t>17</w:t>
      </w:r>
      <w:r>
        <w:rPr>
          <w:snapToGrid w:val="0"/>
        </w:rPr>
        <w:t>.</w:t>
      </w:r>
      <w:r>
        <w:rPr>
          <w:snapToGrid w:val="0"/>
        </w:rPr>
        <w:tab/>
        <w:t>Powers of inspectors</w:t>
      </w:r>
      <w:bookmarkEnd w:id="192"/>
    </w:p>
    <w:p>
      <w:pPr>
        <w:pStyle w:val="Subsection"/>
        <w:rPr>
          <w:snapToGrid w:val="0"/>
        </w:rPr>
      </w:pPr>
      <w:r>
        <w:rPr>
          <w:snapToGrid w:val="0"/>
        </w:rPr>
        <w:tab/>
      </w:r>
      <w:r>
        <w:rPr>
          <w:snapToGrid w:val="0"/>
        </w:rPr>
        <w:tab/>
        <w:t>The driver of a vehicle on which coal, coke, or firewood is being hawked or carried for delivery to a purchaser or from which coal, coke, or firewood has recently been sold or delivered shall, on demand, by an Inspector — </w:t>
      </w:r>
    </w:p>
    <w:p>
      <w:pPr>
        <w:pStyle w:val="Indenta"/>
        <w:rPr>
          <w:snapToGrid w:val="0"/>
        </w:rPr>
      </w:pPr>
      <w:r>
        <w:rPr>
          <w:snapToGrid w:val="0"/>
        </w:rPr>
        <w:tab/>
        <w:t>(a)</w:t>
      </w:r>
      <w:r>
        <w:rPr>
          <w:snapToGrid w:val="0"/>
        </w:rPr>
        <w:tab/>
        <w:t>drive such vehicle for the purpose of weighing a distance not exceeding 5 miles to any street, premises or place selected by such Inspector; and</w:t>
      </w:r>
    </w:p>
    <w:p>
      <w:pPr>
        <w:pStyle w:val="Indenta"/>
        <w:rPr>
          <w:snapToGrid w:val="0"/>
        </w:rPr>
      </w:pPr>
      <w:r>
        <w:rPr>
          <w:snapToGrid w:val="0"/>
        </w:rPr>
        <w:tab/>
        <w:t>(b)</w:t>
      </w:r>
      <w:r>
        <w:rPr>
          <w:snapToGrid w:val="0"/>
        </w:rPr>
        <w:tab/>
        <w:t>permit such Inspector to weigh such vehicle and any or all of such coal, coke, or firewood thereon; and</w:t>
      </w:r>
    </w:p>
    <w:p>
      <w:pPr>
        <w:pStyle w:val="Indenta"/>
        <w:rPr>
          <w:snapToGrid w:val="0"/>
        </w:rPr>
      </w:pPr>
      <w:r>
        <w:rPr>
          <w:snapToGrid w:val="0"/>
        </w:rPr>
        <w:tab/>
        <w:t>(c)</w:t>
      </w:r>
      <w:r>
        <w:rPr>
          <w:snapToGrid w:val="0"/>
        </w:rPr>
        <w:tab/>
        <w:t>render prompt and efficient assistance in such weighing and any loading or unloading necessary therefor and consequent thereon.</w:t>
      </w:r>
    </w:p>
    <w:p>
      <w:pPr>
        <w:pStyle w:val="Footnotesection"/>
      </w:pPr>
      <w:r>
        <w:tab/>
        <w:t xml:space="preserve">[Regulation 17 amended in Gazette 3 Nov 1950 p. 2462; 23 May 1960 p. 1407.] </w:t>
      </w:r>
    </w:p>
    <w:p>
      <w:pPr>
        <w:pStyle w:val="Heading5"/>
        <w:rPr>
          <w:snapToGrid w:val="0"/>
        </w:rPr>
      </w:pPr>
      <w:bookmarkStart w:id="193" w:name="_Toc390077218"/>
      <w:r>
        <w:rPr>
          <w:rStyle w:val="CharSectno"/>
        </w:rPr>
        <w:t>18</w:t>
      </w:r>
      <w:r>
        <w:rPr>
          <w:snapToGrid w:val="0"/>
        </w:rPr>
        <w:t>.</w:t>
      </w:r>
      <w:r>
        <w:rPr>
          <w:snapToGrid w:val="0"/>
        </w:rPr>
        <w:tab/>
        <w:t>Sale of underweight sacks an offence</w:t>
      </w:r>
      <w:bookmarkEnd w:id="193"/>
    </w:p>
    <w:p>
      <w:pPr>
        <w:pStyle w:val="Subsection"/>
        <w:rPr>
          <w:snapToGrid w:val="0"/>
        </w:rPr>
      </w:pPr>
      <w:r>
        <w:rPr>
          <w:snapToGrid w:val="0"/>
        </w:rPr>
        <w:tab/>
      </w:r>
      <w:r>
        <w:rPr>
          <w:snapToGrid w:val="0"/>
        </w:rPr>
        <w:tab/>
        <w:t>When the weight of any coal, coke, or firewood hawked or carried for delivery to a purchaser is not in accordance with the labels on the sacks containing such coal, coke, or firewood, or with the weight stated on a weight ticket relating thereto, the seller shall be guilty of a breach of these regulations, provided that if the seller proves to the satisfaction of the Court that he supplied the driver with the specified weight, the driver and not the sellers shall be guilty of such breach.</w:t>
      </w:r>
    </w:p>
    <w:p>
      <w:pPr>
        <w:pStyle w:val="Heading5"/>
        <w:rPr>
          <w:snapToGrid w:val="0"/>
        </w:rPr>
      </w:pPr>
      <w:bookmarkStart w:id="194" w:name="_Toc390077219"/>
      <w:r>
        <w:rPr>
          <w:rStyle w:val="CharSectno"/>
        </w:rPr>
        <w:t>19</w:t>
      </w:r>
      <w:r>
        <w:rPr>
          <w:snapToGrid w:val="0"/>
        </w:rPr>
        <w:t>.</w:t>
      </w:r>
      <w:r>
        <w:rPr>
          <w:snapToGrid w:val="0"/>
        </w:rPr>
        <w:tab/>
        <w:t>Application of the Part to delivery by rail</w:t>
      </w:r>
      <w:bookmarkEnd w:id="194"/>
    </w:p>
    <w:p>
      <w:pPr>
        <w:pStyle w:val="Subsection"/>
        <w:rPr>
          <w:snapToGrid w:val="0"/>
        </w:rPr>
      </w:pPr>
      <w:r>
        <w:rPr>
          <w:snapToGrid w:val="0"/>
        </w:rPr>
        <w:tab/>
      </w:r>
      <w:r>
        <w:rPr>
          <w:snapToGrid w:val="0"/>
        </w:rPr>
        <w:tab/>
        <w:t>This Part shall not apply when coal, coke, or firewood is being delivered in bulk from a railway truck direct to a purchaser if —</w:t>
      </w:r>
    </w:p>
    <w:p>
      <w:pPr>
        <w:pStyle w:val="Indenta"/>
        <w:rPr>
          <w:snapToGrid w:val="0"/>
        </w:rPr>
      </w:pPr>
      <w:r>
        <w:rPr>
          <w:snapToGrid w:val="0"/>
        </w:rPr>
        <w:tab/>
        <w:t>(a)</w:t>
      </w:r>
      <w:r>
        <w:rPr>
          <w:snapToGrid w:val="0"/>
        </w:rPr>
        <w:tab/>
        <w:t>the seller has agreed with the purchaser to determine the weight of such coal, coke, or firewood on a weighing instrument provided by such purchaser.</w:t>
      </w:r>
    </w:p>
    <w:p>
      <w:pPr>
        <w:pStyle w:val="Footnotesection"/>
      </w:pPr>
      <w:r>
        <w:tab/>
        <w:t xml:space="preserve">[Regulation 19 amended in Gazette 3 Nov 1950 p. 2462.] </w:t>
      </w:r>
    </w:p>
    <w:p>
      <w:pPr>
        <w:pStyle w:val="MiscellaneousBody"/>
        <w:spacing w:before="240"/>
        <w:jc w:val="center"/>
        <w:outlineLvl w:val="0"/>
        <w:rPr>
          <w:snapToGrid w:val="0"/>
        </w:rPr>
      </w:pPr>
      <w:r>
        <w:rPr>
          <w:snapToGrid w:val="0"/>
        </w:rPr>
        <w:t>SCHEDULE A</w:t>
      </w:r>
    </w:p>
    <w:p>
      <w:pPr>
        <w:pStyle w:val="MiscellaneousBody"/>
      </w:pPr>
      <w:r>
        <w:t>Seller — </w:t>
      </w:r>
    </w:p>
    <w:p>
      <w:pPr>
        <w:pStyle w:val="MiscellaneousBody"/>
        <w:tabs>
          <w:tab w:val="left" w:pos="567"/>
        </w:tabs>
        <w:rPr>
          <w:i/>
        </w:rPr>
      </w:pPr>
      <w:r>
        <w:rPr>
          <w:i/>
        </w:rPr>
        <w:tab/>
      </w:r>
      <w:r>
        <w:t>[</w:t>
      </w:r>
      <w:r>
        <w:rPr>
          <w:i/>
        </w:rPr>
        <w:t>Name</w:t>
      </w:r>
      <w:r>
        <w:t>]</w:t>
      </w:r>
    </w:p>
    <w:p>
      <w:pPr>
        <w:pStyle w:val="MiscellaneousBody"/>
        <w:tabs>
          <w:tab w:val="left" w:pos="567"/>
        </w:tabs>
        <w:spacing w:before="0"/>
        <w:rPr>
          <w:i/>
        </w:rPr>
      </w:pPr>
      <w:r>
        <w:rPr>
          <w:i/>
        </w:rPr>
        <w:tab/>
      </w:r>
      <w:r>
        <w:t>[</w:t>
      </w:r>
      <w:r>
        <w:rPr>
          <w:i/>
        </w:rPr>
        <w:t>Address</w:t>
      </w:r>
      <w:r>
        <w:t>]</w:t>
      </w:r>
    </w:p>
    <w:p>
      <w:pPr>
        <w:pStyle w:val="MiscellaneousBody"/>
      </w:pPr>
      <w:r>
        <w:t>Purchaser — </w:t>
      </w:r>
    </w:p>
    <w:p>
      <w:pPr>
        <w:pStyle w:val="MiscellaneousBody"/>
        <w:tabs>
          <w:tab w:val="left" w:pos="567"/>
        </w:tabs>
        <w:rPr>
          <w:i/>
        </w:rPr>
      </w:pPr>
      <w:r>
        <w:rPr>
          <w:i/>
        </w:rPr>
        <w:tab/>
      </w:r>
      <w:r>
        <w:t>[</w:t>
      </w:r>
      <w:r>
        <w:rPr>
          <w:i/>
        </w:rPr>
        <w:t>Name</w:t>
      </w:r>
      <w:r>
        <w:t>]</w:t>
      </w:r>
    </w:p>
    <w:p>
      <w:pPr>
        <w:pStyle w:val="MiscellaneousBody"/>
        <w:tabs>
          <w:tab w:val="left" w:pos="567"/>
        </w:tabs>
        <w:spacing w:before="0"/>
        <w:rPr>
          <w:i/>
        </w:rPr>
      </w:pPr>
      <w:r>
        <w:rPr>
          <w:i/>
        </w:rPr>
        <w:tab/>
      </w:r>
      <w:r>
        <w:t>[</w:t>
      </w:r>
      <w:r>
        <w:rPr>
          <w:i/>
        </w:rPr>
        <w:t>Address</w:t>
      </w:r>
      <w:r>
        <w:t>]</w:t>
      </w:r>
    </w:p>
    <w:p>
      <w:pPr>
        <w:pStyle w:val="MiscellaneousBody"/>
        <w:tabs>
          <w:tab w:val="left" w:pos="567"/>
        </w:tabs>
      </w:pPr>
      <w:r>
        <w:tab/>
        <w:t>Please receive herewith      tons       cwt.       qrs.       lb. net weight [</w:t>
      </w:r>
      <w:r>
        <w:rPr>
          <w:i/>
        </w:rPr>
        <w:t>description of coal, coke, or firewood</w:t>
      </w:r>
      <w:r>
        <w:t>] in [</w:t>
      </w:r>
      <w:r>
        <w:rPr>
          <w:i/>
        </w:rPr>
        <w:t>No. of sacks</w:t>
      </w:r>
      <w:r>
        <w:t>] [</w:t>
      </w:r>
      <w:r>
        <w:rPr>
          <w:i/>
        </w:rPr>
        <w:t>bulk</w:t>
      </w:r>
      <w:r>
        <w:t>].</w:t>
      </w:r>
    </w:p>
    <w:p>
      <w:pPr>
        <w:pStyle w:val="MiscellaneousBody"/>
        <w:spacing w:before="240"/>
        <w:jc w:val="center"/>
        <w:outlineLvl w:val="0"/>
        <w:rPr>
          <w:snapToGrid w:val="0"/>
        </w:rPr>
      </w:pPr>
      <w:r>
        <w:rPr>
          <w:snapToGrid w:val="0"/>
        </w:rPr>
        <w:t>SCHEDULE B</w:t>
      </w:r>
    </w:p>
    <w:p>
      <w:pPr>
        <w:pStyle w:val="MiscellaneousBody"/>
      </w:pPr>
      <w:r>
        <w:t>Seller — </w:t>
      </w:r>
    </w:p>
    <w:p>
      <w:pPr>
        <w:pStyle w:val="MiscellaneousBody"/>
        <w:tabs>
          <w:tab w:val="left" w:pos="567"/>
        </w:tabs>
        <w:rPr>
          <w:i/>
        </w:rPr>
      </w:pPr>
      <w:r>
        <w:rPr>
          <w:i/>
        </w:rPr>
        <w:tab/>
      </w:r>
      <w:r>
        <w:t>[</w:t>
      </w:r>
      <w:r>
        <w:rPr>
          <w:i/>
        </w:rPr>
        <w:t>Name</w:t>
      </w:r>
      <w:r>
        <w:t>]</w:t>
      </w:r>
    </w:p>
    <w:p>
      <w:pPr>
        <w:pStyle w:val="MiscellaneousBody"/>
        <w:tabs>
          <w:tab w:val="left" w:pos="567"/>
        </w:tabs>
        <w:spacing w:before="0"/>
        <w:rPr>
          <w:i/>
        </w:rPr>
      </w:pPr>
      <w:r>
        <w:rPr>
          <w:i/>
        </w:rPr>
        <w:tab/>
      </w:r>
      <w:r>
        <w:t>[</w:t>
      </w:r>
      <w:r>
        <w:rPr>
          <w:i/>
        </w:rPr>
        <w:t>Address</w:t>
      </w:r>
      <w:r>
        <w:t>]</w:t>
      </w:r>
    </w:p>
    <w:p>
      <w:pPr>
        <w:pStyle w:val="MiscellaneousBody"/>
      </w:pPr>
      <w:r>
        <w:t>Purchaser — </w:t>
      </w:r>
    </w:p>
    <w:p>
      <w:pPr>
        <w:pStyle w:val="MiscellaneousBody"/>
        <w:tabs>
          <w:tab w:val="left" w:pos="567"/>
        </w:tabs>
        <w:rPr>
          <w:i/>
        </w:rPr>
      </w:pPr>
      <w:r>
        <w:rPr>
          <w:i/>
        </w:rPr>
        <w:tab/>
      </w:r>
      <w:r>
        <w:t>[</w:t>
      </w:r>
      <w:r>
        <w:rPr>
          <w:i/>
        </w:rPr>
        <w:t>Name</w:t>
      </w:r>
      <w:r>
        <w:t>]</w:t>
      </w:r>
    </w:p>
    <w:p>
      <w:pPr>
        <w:pStyle w:val="MiscellaneousBody"/>
        <w:tabs>
          <w:tab w:val="left" w:pos="567"/>
        </w:tabs>
        <w:spacing w:before="0"/>
        <w:rPr>
          <w:i/>
        </w:rPr>
      </w:pPr>
      <w:r>
        <w:rPr>
          <w:i/>
        </w:rPr>
        <w:tab/>
      </w:r>
      <w:r>
        <w:t>[</w:t>
      </w:r>
      <w:r>
        <w:rPr>
          <w:i/>
        </w:rPr>
        <w:t>Address</w:t>
      </w:r>
      <w:r>
        <w:t>]</w:t>
      </w:r>
    </w:p>
    <w:p>
      <w:pPr>
        <w:pStyle w:val="MiscellaneousBody"/>
        <w:tabs>
          <w:tab w:val="left" w:pos="567"/>
        </w:tabs>
      </w:pPr>
      <w:r>
        <w:tab/>
        <w:t>Please receive [</w:t>
      </w:r>
      <w:r>
        <w:rPr>
          <w:i/>
        </w:rPr>
        <w:t>description of coal, coke, or firewood</w:t>
      </w:r>
      <w:r>
        <w:t>], as shown hereunder, in [</w:t>
      </w:r>
      <w:r>
        <w:rPr>
          <w:i/>
        </w:rPr>
        <w:t>No. of sacks</w:t>
      </w:r>
      <w:r>
        <w:t>] [</w:t>
      </w:r>
      <w:r>
        <w:rPr>
          <w:i/>
        </w:rPr>
        <w:t>bulk</w:t>
      </w:r>
      <w:r>
        <w:t>].</w:t>
      </w:r>
    </w:p>
    <w:p>
      <w:pPr>
        <w:pStyle w:val="MiscellaneousBody"/>
        <w:jc w:val="right"/>
      </w:pPr>
      <w:r>
        <w:t>Tons       cwt.       qrs.       lb.</w:t>
      </w:r>
    </w:p>
    <w:p>
      <w:pPr>
        <w:pStyle w:val="MiscellaneousBody"/>
      </w:pPr>
      <w:r>
        <w:t>Gross weight .............................................</w:t>
      </w:r>
    </w:p>
    <w:p>
      <w:pPr>
        <w:pStyle w:val="MiscellaneousBody"/>
        <w:tabs>
          <w:tab w:val="left" w:pos="4536"/>
          <w:tab w:val="left" w:pos="7088"/>
        </w:tabs>
        <w:rPr>
          <w:u w:val="single"/>
        </w:rPr>
      </w:pPr>
      <w:r>
        <w:t>Tare weight ...............................................</w:t>
      </w:r>
      <w:r>
        <w:tab/>
      </w:r>
      <w:r>
        <w:rPr>
          <w:u w:val="single"/>
        </w:rPr>
        <w:tab/>
      </w:r>
    </w:p>
    <w:p>
      <w:pPr>
        <w:pStyle w:val="MiscellaneousBody"/>
        <w:ind w:left="567"/>
      </w:pPr>
      <w:r>
        <w:t xml:space="preserve">Net weight ....................................... </w:t>
      </w:r>
    </w:p>
    <w:p>
      <w:pPr>
        <w:pStyle w:val="Heading2"/>
      </w:pPr>
      <w:bookmarkStart w:id="195" w:name="_Toc390077220"/>
      <w:r>
        <w:rPr>
          <w:rStyle w:val="CharPartNo"/>
        </w:rPr>
        <w:t>Part X</w:t>
      </w:r>
      <w:bookmarkEnd w:id="195"/>
    </w:p>
    <w:p>
      <w:pPr>
        <w:pStyle w:val="MiscellaneousHeading"/>
        <w:rPr>
          <w:b/>
          <w:snapToGrid w:val="0"/>
        </w:rPr>
      </w:pPr>
      <w:r>
        <w:rPr>
          <w:b/>
          <w:snapToGrid w:val="0"/>
        </w:rPr>
        <w:t>Registration of public weighbridges and licensing of weighmen</w:t>
      </w:r>
    </w:p>
    <w:p>
      <w:pPr>
        <w:pStyle w:val="Heading5"/>
        <w:rPr>
          <w:snapToGrid w:val="0"/>
        </w:rPr>
      </w:pPr>
      <w:bookmarkStart w:id="196" w:name="_Toc390077221"/>
      <w:r>
        <w:rPr>
          <w:rStyle w:val="CharSectno"/>
        </w:rPr>
        <w:t>1</w:t>
      </w:r>
      <w:r>
        <w:rPr>
          <w:snapToGrid w:val="0"/>
        </w:rPr>
        <w:t>.</w:t>
      </w:r>
      <w:r>
        <w:rPr>
          <w:snapToGrid w:val="0"/>
        </w:rPr>
        <w:tab/>
        <w:t>Public weighbridges to be registered</w:t>
      </w:r>
      <w:bookmarkEnd w:id="196"/>
    </w:p>
    <w:p>
      <w:pPr>
        <w:pStyle w:val="Subsection"/>
        <w:rPr>
          <w:snapToGrid w:val="0"/>
        </w:rPr>
      </w:pPr>
      <w:r>
        <w:rPr>
          <w:snapToGrid w:val="0"/>
        </w:rPr>
        <w:tab/>
      </w:r>
      <w:r>
        <w:rPr>
          <w:snapToGrid w:val="0"/>
        </w:rPr>
        <w:tab/>
        <w:t>The owner or lessee of a public weighbridge shall register such instrument at the office of the Chief Inspector.</w:t>
      </w:r>
    </w:p>
    <w:p>
      <w:pPr>
        <w:pStyle w:val="Footnotesection"/>
      </w:pPr>
      <w:r>
        <w:tab/>
        <w:t xml:space="preserve">[Regulation 1 amended in Gazette 9 Sep 1968 p. 2744; 31 Aug 1984 p. 2829.] </w:t>
      </w:r>
    </w:p>
    <w:p>
      <w:pPr>
        <w:pStyle w:val="Heading5"/>
        <w:rPr>
          <w:snapToGrid w:val="0"/>
        </w:rPr>
      </w:pPr>
      <w:bookmarkStart w:id="197" w:name="_Toc390077222"/>
      <w:r>
        <w:rPr>
          <w:rStyle w:val="CharSectno"/>
        </w:rPr>
        <w:t>2</w:t>
      </w:r>
      <w:r>
        <w:rPr>
          <w:snapToGrid w:val="0"/>
        </w:rPr>
        <w:t>.</w:t>
      </w:r>
      <w:r>
        <w:rPr>
          <w:snapToGrid w:val="0"/>
        </w:rPr>
        <w:tab/>
        <w:t>Certificate of registration</w:t>
      </w:r>
      <w:bookmarkEnd w:id="197"/>
    </w:p>
    <w:p>
      <w:pPr>
        <w:pStyle w:val="Subsection"/>
        <w:rPr>
          <w:snapToGrid w:val="0"/>
        </w:rPr>
      </w:pPr>
      <w:r>
        <w:rPr>
          <w:snapToGrid w:val="0"/>
        </w:rPr>
        <w:tab/>
      </w:r>
      <w:r>
        <w:rPr>
          <w:snapToGrid w:val="0"/>
        </w:rPr>
        <w:tab/>
        <w:t>The Chief Inspector shall, on application in the form of Schedule C and on payment of the fee prescribed in Table XIIIB for Registered Public Weighbridges by owner or lessee, subject to the requirements of the regulations, issue a certificate of registration as a public weighbridge for any weighbridge which, in his opinion, is suitable in all respects for public weighing.</w:t>
      </w:r>
    </w:p>
    <w:p>
      <w:pPr>
        <w:pStyle w:val="Footnotesection"/>
      </w:pPr>
      <w:r>
        <w:tab/>
        <w:t xml:space="preserve">[Regulation 2 amended in Gazette 9 Apr 1957 p. 1074; 23 May 1960 p. 1407; 9 Sep 1968 p. 2744; 31 Aug 1984 p. 2829.] </w:t>
      </w:r>
    </w:p>
    <w:p>
      <w:pPr>
        <w:pStyle w:val="Heading5"/>
        <w:rPr>
          <w:snapToGrid w:val="0"/>
        </w:rPr>
      </w:pPr>
      <w:bookmarkStart w:id="198" w:name="_Toc390077223"/>
      <w:r>
        <w:rPr>
          <w:rStyle w:val="CharSectno"/>
        </w:rPr>
        <w:t>3</w:t>
      </w:r>
      <w:r>
        <w:rPr>
          <w:snapToGrid w:val="0"/>
        </w:rPr>
        <w:t>.</w:t>
      </w:r>
      <w:r>
        <w:rPr>
          <w:snapToGrid w:val="0"/>
        </w:rPr>
        <w:tab/>
        <w:t>Change of ownership of weighbridge</w:t>
      </w:r>
      <w:bookmarkEnd w:id="198"/>
    </w:p>
    <w:p>
      <w:pPr>
        <w:pStyle w:val="Subsection"/>
        <w:rPr>
          <w:snapToGrid w:val="0"/>
        </w:rPr>
      </w:pPr>
      <w:r>
        <w:rPr>
          <w:snapToGrid w:val="0"/>
        </w:rPr>
        <w:tab/>
      </w:r>
      <w:r>
        <w:rPr>
          <w:snapToGrid w:val="0"/>
        </w:rPr>
        <w:tab/>
        <w:t>If the person in whose name a certificate of registration for a public weighbridge is issued sells or disposes of, or ceases to be the owner or lessee of such instrument, such certificate shall be void, and such person shall within 7 days thereafter give written notice to the Chief Inspector of such sale or disposal or termination of lease, as the case may be.</w:t>
      </w:r>
    </w:p>
    <w:p>
      <w:pPr>
        <w:pStyle w:val="Footnotesection"/>
      </w:pPr>
      <w:r>
        <w:tab/>
        <w:t xml:space="preserve">[Regulation 3 amended in Gazette 9 Sep 1968 p. 2744; 31 Aug 1984 p. 2829.] </w:t>
      </w:r>
    </w:p>
    <w:p>
      <w:pPr>
        <w:pStyle w:val="Heading5"/>
        <w:rPr>
          <w:snapToGrid w:val="0"/>
        </w:rPr>
      </w:pPr>
      <w:bookmarkStart w:id="199" w:name="_Toc390077224"/>
      <w:r>
        <w:rPr>
          <w:rStyle w:val="CharSectno"/>
        </w:rPr>
        <w:t>4</w:t>
      </w:r>
      <w:r>
        <w:rPr>
          <w:snapToGrid w:val="0"/>
        </w:rPr>
        <w:t>.</w:t>
      </w:r>
      <w:r>
        <w:rPr>
          <w:snapToGrid w:val="0"/>
        </w:rPr>
        <w:tab/>
        <w:t>Requirements for registration</w:t>
      </w:r>
      <w:bookmarkEnd w:id="199"/>
    </w:p>
    <w:p>
      <w:pPr>
        <w:pStyle w:val="Subsection"/>
        <w:keepNext/>
        <w:rPr>
          <w:snapToGrid w:val="0"/>
        </w:rPr>
      </w:pPr>
      <w:r>
        <w:rPr>
          <w:snapToGrid w:val="0"/>
        </w:rPr>
        <w:tab/>
      </w:r>
      <w:r>
        <w:rPr>
          <w:snapToGrid w:val="0"/>
        </w:rPr>
        <w:tab/>
        <w:t>A Certificate of Registration as a public weighbridge shall not be issued unless such weighbridge — </w:t>
      </w:r>
    </w:p>
    <w:p>
      <w:pPr>
        <w:pStyle w:val="Indenta"/>
        <w:rPr>
          <w:snapToGrid w:val="0"/>
        </w:rPr>
      </w:pPr>
      <w:r>
        <w:rPr>
          <w:snapToGrid w:val="0"/>
        </w:rPr>
        <w:tab/>
        <w:t>(a)</w:t>
      </w:r>
      <w:r>
        <w:rPr>
          <w:snapToGrid w:val="0"/>
        </w:rPr>
        <w:tab/>
        <w:t>is of a type and strength suitable for public weighing, and is suitably situated;</w:t>
      </w:r>
    </w:p>
    <w:p>
      <w:pPr>
        <w:pStyle w:val="Indenta"/>
        <w:rPr>
          <w:snapToGrid w:val="0"/>
        </w:rPr>
      </w:pPr>
      <w:r>
        <w:rPr>
          <w:snapToGrid w:val="0"/>
        </w:rPr>
        <w:tab/>
        <w:t>(b)</w:t>
      </w:r>
      <w:r>
        <w:rPr>
          <w:snapToGrid w:val="0"/>
        </w:rPr>
        <w:tab/>
        <w:t>is so arranged and constructed that the whole of the platform may be seen by the weighman when weighing.</w:t>
      </w:r>
    </w:p>
    <w:p>
      <w:pPr>
        <w:pStyle w:val="Heading5"/>
        <w:rPr>
          <w:snapToGrid w:val="0"/>
        </w:rPr>
      </w:pPr>
      <w:bookmarkStart w:id="200" w:name="_Toc390077225"/>
      <w:r>
        <w:rPr>
          <w:rStyle w:val="CharSectno"/>
        </w:rPr>
        <w:t>5</w:t>
      </w:r>
      <w:r>
        <w:rPr>
          <w:snapToGrid w:val="0"/>
        </w:rPr>
        <w:t>.</w:t>
      </w:r>
      <w:r>
        <w:rPr>
          <w:snapToGrid w:val="0"/>
        </w:rPr>
        <w:tab/>
        <w:t>Cancellation of registration</w:t>
      </w:r>
      <w:bookmarkEnd w:id="200"/>
    </w:p>
    <w:p>
      <w:pPr>
        <w:pStyle w:val="Subsection"/>
        <w:rPr>
          <w:snapToGrid w:val="0"/>
        </w:rPr>
      </w:pPr>
      <w:r>
        <w:rPr>
          <w:snapToGrid w:val="0"/>
        </w:rPr>
        <w:tab/>
      </w:r>
      <w:r>
        <w:rPr>
          <w:snapToGrid w:val="0"/>
        </w:rPr>
        <w:tab/>
        <w:t>The Chief Inspector may cancel the registration of a public weighbridge which — </w:t>
      </w:r>
    </w:p>
    <w:p>
      <w:pPr>
        <w:pStyle w:val="Indenta"/>
        <w:rPr>
          <w:snapToGrid w:val="0"/>
        </w:rPr>
      </w:pPr>
      <w:r>
        <w:rPr>
          <w:snapToGrid w:val="0"/>
        </w:rPr>
        <w:tab/>
        <w:t>(a)</w:t>
      </w:r>
      <w:r>
        <w:rPr>
          <w:snapToGrid w:val="0"/>
        </w:rPr>
        <w:tab/>
        <w:t>in his opinion is unfit for public use;</w:t>
      </w:r>
    </w:p>
    <w:p>
      <w:pPr>
        <w:pStyle w:val="Indenta"/>
        <w:rPr>
          <w:snapToGrid w:val="0"/>
        </w:rPr>
      </w:pPr>
      <w:r>
        <w:rPr>
          <w:snapToGrid w:val="0"/>
        </w:rPr>
        <w:tab/>
        <w:t>(b)</w:t>
      </w:r>
      <w:r>
        <w:rPr>
          <w:snapToGrid w:val="0"/>
        </w:rPr>
        <w:tab/>
        <w:t>is not in accordance with the regulations;</w:t>
      </w:r>
    </w:p>
    <w:p>
      <w:pPr>
        <w:pStyle w:val="Indenta"/>
        <w:rPr>
          <w:snapToGrid w:val="0"/>
        </w:rPr>
      </w:pPr>
      <w:r>
        <w:rPr>
          <w:snapToGrid w:val="0"/>
        </w:rPr>
        <w:tab/>
        <w:t>(c)</w:t>
      </w:r>
      <w:r>
        <w:rPr>
          <w:snapToGrid w:val="0"/>
        </w:rPr>
        <w:tab/>
        <w:t>has not been verified and stamped as prescribed by regulation 128 of Part IV.</w:t>
      </w:r>
    </w:p>
    <w:p>
      <w:pPr>
        <w:pStyle w:val="Footnotesection"/>
      </w:pPr>
      <w:r>
        <w:tab/>
        <w:t xml:space="preserve">[Regulation 5 amended in Gazette 9 Sep 1968 p. 2744.] </w:t>
      </w:r>
    </w:p>
    <w:p>
      <w:pPr>
        <w:pStyle w:val="Heading5"/>
        <w:rPr>
          <w:snapToGrid w:val="0"/>
        </w:rPr>
      </w:pPr>
      <w:bookmarkStart w:id="201" w:name="_Toc390077226"/>
      <w:r>
        <w:rPr>
          <w:rStyle w:val="CharSectno"/>
        </w:rPr>
        <w:t>6</w:t>
      </w:r>
      <w:r>
        <w:rPr>
          <w:snapToGrid w:val="0"/>
        </w:rPr>
        <w:t>.</w:t>
      </w:r>
      <w:r>
        <w:rPr>
          <w:snapToGrid w:val="0"/>
        </w:rPr>
        <w:tab/>
        <w:t>Closure of weighbridge to public</w:t>
      </w:r>
      <w:bookmarkEnd w:id="201"/>
    </w:p>
    <w:p>
      <w:pPr>
        <w:pStyle w:val="Subsection"/>
        <w:rPr>
          <w:snapToGrid w:val="0"/>
        </w:rPr>
      </w:pPr>
      <w:r>
        <w:rPr>
          <w:snapToGrid w:val="0"/>
        </w:rPr>
        <w:tab/>
      </w:r>
      <w:r>
        <w:rPr>
          <w:snapToGrid w:val="0"/>
        </w:rPr>
        <w:tab/>
        <w:t>The owner or lessee of a public weighbridge shall, on notification by the Chief Inspector that registration of such instrument has been cancelled, forthwith close such instrument to public use.</w:t>
      </w:r>
    </w:p>
    <w:p>
      <w:pPr>
        <w:pStyle w:val="Footnotesection"/>
      </w:pPr>
      <w:r>
        <w:tab/>
        <w:t xml:space="preserve">[Regulation 6 amended in Gazette 9 Sep 1968 p. 2744; 31 Aug 1984 p. 2829.] </w:t>
      </w:r>
    </w:p>
    <w:p>
      <w:pPr>
        <w:pStyle w:val="Heading5"/>
        <w:rPr>
          <w:snapToGrid w:val="0"/>
        </w:rPr>
      </w:pPr>
      <w:bookmarkStart w:id="202" w:name="_Toc390077227"/>
      <w:r>
        <w:rPr>
          <w:rStyle w:val="CharSectno"/>
        </w:rPr>
        <w:t>7</w:t>
      </w:r>
      <w:r>
        <w:rPr>
          <w:snapToGrid w:val="0"/>
        </w:rPr>
        <w:t>.</w:t>
      </w:r>
      <w:r>
        <w:rPr>
          <w:snapToGrid w:val="0"/>
        </w:rPr>
        <w:tab/>
        <w:t>Obligation of owner or lessee</w:t>
      </w:r>
      <w:bookmarkEnd w:id="202"/>
    </w:p>
    <w:p>
      <w:pPr>
        <w:pStyle w:val="Subsection"/>
        <w:rPr>
          <w:snapToGrid w:val="0"/>
        </w:rPr>
      </w:pPr>
      <w:r>
        <w:rPr>
          <w:snapToGrid w:val="0"/>
        </w:rPr>
        <w:tab/>
      </w:r>
      <w:r>
        <w:rPr>
          <w:snapToGrid w:val="0"/>
        </w:rPr>
        <w:tab/>
        <w:t>The owner or lessee of a public weighbridge shall — </w:t>
      </w:r>
    </w:p>
    <w:p>
      <w:pPr>
        <w:pStyle w:val="Indenta"/>
        <w:rPr>
          <w:snapToGrid w:val="0"/>
        </w:rPr>
      </w:pPr>
      <w:r>
        <w:rPr>
          <w:snapToGrid w:val="0"/>
        </w:rPr>
        <w:tab/>
        <w:t>(a)</w:t>
      </w:r>
      <w:r>
        <w:rPr>
          <w:snapToGrid w:val="0"/>
        </w:rPr>
        <w:tab/>
        <w:t>provide and maintain in a prominent position in view of the public a sign with the words “Registered Public Weighbridge, No.                           ”, showing the number of the Certificate of Registration issued for such instrument in letters not less than 4 inches in height and of proportionate breadth, and in clear contrast with their background;</w:t>
      </w:r>
    </w:p>
    <w:p>
      <w:pPr>
        <w:pStyle w:val="Indenta"/>
        <w:rPr>
          <w:snapToGrid w:val="0"/>
        </w:rPr>
      </w:pPr>
      <w:r>
        <w:rPr>
          <w:snapToGrid w:val="0"/>
        </w:rPr>
        <w:tab/>
        <w:t>(b)</w:t>
      </w:r>
      <w:r>
        <w:rPr>
          <w:snapToGrid w:val="0"/>
        </w:rPr>
        <w:tab/>
        <w:t>have the Certificate of Registration and the Certificate of Verification and stamping suitably and securely framed and covered by glass and prominently exhibited in the weighman’s office;</w:t>
      </w:r>
    </w:p>
    <w:p>
      <w:pPr>
        <w:pStyle w:val="Indenta"/>
        <w:rPr>
          <w:snapToGrid w:val="0"/>
        </w:rPr>
      </w:pPr>
      <w:r>
        <w:rPr>
          <w:snapToGrid w:val="0"/>
        </w:rPr>
        <w:tab/>
        <w:t>(b1)</w:t>
      </w:r>
      <w:r>
        <w:rPr>
          <w:snapToGrid w:val="0"/>
        </w:rPr>
        <w:tab/>
        <w:t>provide a tare weight book in the form of Schedule B to this Part;</w:t>
      </w:r>
    </w:p>
    <w:p>
      <w:pPr>
        <w:pStyle w:val="Indenta"/>
        <w:rPr>
          <w:snapToGrid w:val="0"/>
        </w:rPr>
      </w:pPr>
      <w:r>
        <w:rPr>
          <w:snapToGrid w:val="0"/>
        </w:rPr>
        <w:tab/>
        <w:t>(c)</w:t>
      </w:r>
      <w:r>
        <w:rPr>
          <w:snapToGrid w:val="0"/>
        </w:rPr>
        <w:tab/>
        <w:t>provide weight tickets in the form of Schedule A to this Part;</w:t>
      </w:r>
    </w:p>
    <w:p>
      <w:pPr>
        <w:pStyle w:val="Indenta"/>
        <w:rPr>
          <w:i/>
          <w:snapToGrid w:val="0"/>
        </w:rPr>
      </w:pPr>
      <w:r>
        <w:rPr>
          <w:snapToGrid w:val="0"/>
        </w:rPr>
        <w:tab/>
      </w:r>
      <w:r>
        <w:rPr>
          <w:snapToGrid w:val="0"/>
        </w:rPr>
        <w:tab/>
      </w:r>
      <w:r>
        <w:rPr>
          <w:i/>
          <w:snapToGrid w:val="0"/>
        </w:rPr>
        <w:t>(Such tickets shall be printed and bound in books and numbered consecutively, and there shall be at least one duplicate of each number. The first ticket of such number shall have the word “original” and the copies thereof the word “duplicate” printed thereon);</w:t>
      </w:r>
    </w:p>
    <w:p>
      <w:pPr>
        <w:pStyle w:val="Indenta"/>
        <w:rPr>
          <w:snapToGrid w:val="0"/>
        </w:rPr>
      </w:pPr>
      <w:r>
        <w:rPr>
          <w:snapToGrid w:val="0"/>
        </w:rPr>
        <w:tab/>
        <w:t>(d)</w:t>
      </w:r>
      <w:r>
        <w:rPr>
          <w:snapToGrid w:val="0"/>
        </w:rPr>
        <w:tab/>
        <w:t>provide tickets for the issue of copies of previously issued tickets in the form of Schedule A to this Part with the addition of the words “Copy of” before weight ticket No. and the words “Date of issue of copy” on the bottom left hand corner of the ticket;</w:t>
      </w:r>
    </w:p>
    <w:p>
      <w:pPr>
        <w:pStyle w:val="Indenta"/>
        <w:rPr>
          <w:i/>
          <w:snapToGrid w:val="0"/>
        </w:rPr>
      </w:pPr>
      <w:r>
        <w:rPr>
          <w:snapToGrid w:val="0"/>
        </w:rPr>
        <w:tab/>
      </w:r>
      <w:r>
        <w:rPr>
          <w:snapToGrid w:val="0"/>
        </w:rPr>
        <w:tab/>
      </w:r>
      <w:r>
        <w:rPr>
          <w:i/>
          <w:snapToGrid w:val="0"/>
        </w:rPr>
        <w:t>(Such tickets shall not be numbered, but shall be bound in books in duplicate, and have the words “original” and “duplicate” printed thereon, as provided in clause (c));</w:t>
      </w:r>
    </w:p>
    <w:p>
      <w:pPr>
        <w:pStyle w:val="Indenta"/>
        <w:rPr>
          <w:snapToGrid w:val="0"/>
        </w:rPr>
      </w:pPr>
      <w:r>
        <w:rPr>
          <w:snapToGrid w:val="0"/>
        </w:rPr>
        <w:tab/>
        <w:t>(e)</w:t>
      </w:r>
      <w:r>
        <w:rPr>
          <w:snapToGrid w:val="0"/>
        </w:rPr>
        <w:tab/>
        <w:t>retain the original tickets (or the originals of subsequent copies) in the book in which they are bound, keep such tickets legible and undamaged for one year from date of issue, and during that period produce such tickets on demand by an Inspector or any interested person;</w:t>
      </w:r>
    </w:p>
    <w:p>
      <w:pPr>
        <w:pStyle w:val="Indenta"/>
        <w:rPr>
          <w:snapToGrid w:val="0"/>
        </w:rPr>
      </w:pPr>
      <w:r>
        <w:rPr>
          <w:snapToGrid w:val="0"/>
        </w:rPr>
        <w:tab/>
        <w:t>(f)</w:t>
      </w:r>
      <w:r>
        <w:rPr>
          <w:snapToGrid w:val="0"/>
        </w:rPr>
        <w:tab/>
        <w:t>if he knows or has reason to believe such weighbridge is incorrect — </w:t>
      </w:r>
    </w:p>
    <w:p>
      <w:pPr>
        <w:pStyle w:val="Indenti"/>
        <w:rPr>
          <w:snapToGrid w:val="0"/>
        </w:rPr>
      </w:pPr>
      <w:r>
        <w:rPr>
          <w:snapToGrid w:val="0"/>
        </w:rPr>
        <w:tab/>
        <w:t>(1)</w:t>
      </w:r>
      <w:r>
        <w:rPr>
          <w:snapToGrid w:val="0"/>
        </w:rPr>
        <w:tab/>
        <w:t>forthwith inform the Chief Inspector of such knowledge or belief;</w:t>
      </w:r>
    </w:p>
    <w:p>
      <w:pPr>
        <w:pStyle w:val="Indenti"/>
        <w:keepNext/>
        <w:rPr>
          <w:snapToGrid w:val="0"/>
        </w:rPr>
      </w:pPr>
      <w:r>
        <w:rPr>
          <w:snapToGrid w:val="0"/>
        </w:rPr>
        <w:tab/>
        <w:t>(2)</w:t>
      </w:r>
      <w:r>
        <w:rPr>
          <w:snapToGrid w:val="0"/>
        </w:rPr>
        <w:tab/>
        <w:t>not permit such weighbridge to be used;</w:t>
      </w:r>
    </w:p>
    <w:p>
      <w:pPr>
        <w:pStyle w:val="Indenta"/>
        <w:rPr>
          <w:snapToGrid w:val="0"/>
        </w:rPr>
      </w:pPr>
      <w:r>
        <w:rPr>
          <w:snapToGrid w:val="0"/>
        </w:rPr>
        <w:tab/>
        <w:t>(g)</w:t>
      </w:r>
      <w:r>
        <w:rPr>
          <w:snapToGrid w:val="0"/>
        </w:rPr>
        <w:tab/>
        <w:t>inform the Chief Inspector if such weighbridge has been repaired or altered, or removed from the position in which last verified.</w:t>
      </w:r>
    </w:p>
    <w:p>
      <w:pPr>
        <w:pStyle w:val="Footnotesection"/>
      </w:pPr>
      <w:r>
        <w:tab/>
        <w:t xml:space="preserve">[Regulation 7 amended in Gazette 9 Sep 1968 p. 2744; 31 Aug 1984 p. 2829.] </w:t>
      </w:r>
    </w:p>
    <w:p>
      <w:pPr>
        <w:pStyle w:val="Heading5"/>
        <w:rPr>
          <w:snapToGrid w:val="0"/>
        </w:rPr>
      </w:pPr>
      <w:bookmarkStart w:id="203" w:name="_Toc390077228"/>
      <w:r>
        <w:rPr>
          <w:rStyle w:val="CharSectno"/>
        </w:rPr>
        <w:t>7A</w:t>
      </w:r>
      <w:r>
        <w:rPr>
          <w:snapToGrid w:val="0"/>
        </w:rPr>
        <w:t>.</w:t>
      </w:r>
      <w:r>
        <w:rPr>
          <w:snapToGrid w:val="0"/>
        </w:rPr>
        <w:tab/>
        <w:t>Licenced weighmen</w:t>
      </w:r>
      <w:bookmarkEnd w:id="203"/>
    </w:p>
    <w:p>
      <w:pPr>
        <w:pStyle w:val="Subsection"/>
        <w:rPr>
          <w:snapToGrid w:val="0"/>
        </w:rPr>
      </w:pPr>
      <w:r>
        <w:rPr>
          <w:snapToGrid w:val="0"/>
        </w:rPr>
        <w:tab/>
      </w:r>
      <w:r>
        <w:rPr>
          <w:snapToGrid w:val="0"/>
        </w:rPr>
        <w:tab/>
        <w:t>The owner or lessee of a public weighbridge shall not permit any person not licensed as provided by the regulations to act as weighman at such weighbridge.</w:t>
      </w:r>
    </w:p>
    <w:p>
      <w:pPr>
        <w:pStyle w:val="Heading5"/>
        <w:rPr>
          <w:snapToGrid w:val="0"/>
        </w:rPr>
      </w:pPr>
      <w:bookmarkStart w:id="204" w:name="_Toc390077229"/>
      <w:r>
        <w:rPr>
          <w:rStyle w:val="CharSectno"/>
        </w:rPr>
        <w:t>8</w:t>
      </w:r>
      <w:r>
        <w:rPr>
          <w:snapToGrid w:val="0"/>
        </w:rPr>
        <w:t>.</w:t>
      </w:r>
      <w:r>
        <w:rPr>
          <w:snapToGrid w:val="0"/>
        </w:rPr>
        <w:tab/>
        <w:t>Offences relating to public weighbridges</w:t>
      </w:r>
      <w:bookmarkEnd w:id="204"/>
    </w:p>
    <w:p>
      <w:pPr>
        <w:pStyle w:val="Subsection"/>
        <w:rPr>
          <w:snapToGrid w:val="0"/>
        </w:rPr>
      </w:pPr>
      <w:r>
        <w:rPr>
          <w:snapToGrid w:val="0"/>
        </w:rPr>
        <w:tab/>
      </w:r>
      <w:r>
        <w:rPr>
          <w:snapToGrid w:val="0"/>
        </w:rPr>
        <w:tab/>
        <w:t>No person shall — </w:t>
      </w:r>
    </w:p>
    <w:p>
      <w:pPr>
        <w:pStyle w:val="Indenta"/>
        <w:rPr>
          <w:snapToGrid w:val="0"/>
        </w:rPr>
      </w:pPr>
      <w:r>
        <w:rPr>
          <w:snapToGrid w:val="0"/>
        </w:rPr>
        <w:tab/>
        <w:t>(a)</w:t>
      </w:r>
      <w:r>
        <w:rPr>
          <w:snapToGrid w:val="0"/>
        </w:rPr>
        <w:tab/>
        <w:t>deface or alter a Certificate of Registration for a public weighbridge, and any such certificate which has been defaced or altered shall be void;</w:t>
      </w:r>
    </w:p>
    <w:p>
      <w:pPr>
        <w:pStyle w:val="Indenta"/>
        <w:rPr>
          <w:snapToGrid w:val="0"/>
        </w:rPr>
      </w:pPr>
      <w:r>
        <w:rPr>
          <w:snapToGrid w:val="0"/>
        </w:rPr>
        <w:tab/>
        <w:t>(b)</w:t>
      </w:r>
      <w:r>
        <w:rPr>
          <w:snapToGrid w:val="0"/>
        </w:rPr>
        <w:tab/>
        <w:t>use or permit to be used any public weighbridge which is not registered as provided by the regulations;</w:t>
      </w:r>
    </w:p>
    <w:p>
      <w:pPr>
        <w:pStyle w:val="Indenta"/>
        <w:rPr>
          <w:snapToGrid w:val="0"/>
        </w:rPr>
      </w:pPr>
      <w:r>
        <w:rPr>
          <w:snapToGrid w:val="0"/>
        </w:rPr>
        <w:tab/>
        <w:t>(c)</w:t>
      </w:r>
      <w:r>
        <w:rPr>
          <w:snapToGrid w:val="0"/>
        </w:rPr>
        <w:tab/>
        <w:t>act as a weighman at a public weighbridge unless licensed as provided by the regulations.</w:t>
      </w:r>
    </w:p>
    <w:p>
      <w:pPr>
        <w:pStyle w:val="Subsection"/>
        <w:rPr>
          <w:snapToGrid w:val="0"/>
        </w:rPr>
      </w:pPr>
      <w:r>
        <w:rPr>
          <w:snapToGrid w:val="0"/>
        </w:rPr>
        <w:tab/>
      </w:r>
      <w:r>
        <w:rPr>
          <w:snapToGrid w:val="0"/>
        </w:rPr>
        <w:tab/>
        <w:t>Provided that paragraph (c) and regulation 7A shall not apply to the Commissioner of Railways or any person appointed by him as weighman.</w:t>
      </w:r>
    </w:p>
    <w:p>
      <w:pPr>
        <w:pStyle w:val="Subsection"/>
        <w:rPr>
          <w:snapToGrid w:val="0"/>
        </w:rPr>
      </w:pPr>
      <w:r>
        <w:rPr>
          <w:snapToGrid w:val="0"/>
        </w:rPr>
        <w:tab/>
      </w:r>
      <w:r>
        <w:rPr>
          <w:snapToGrid w:val="0"/>
        </w:rPr>
        <w:tab/>
        <w:t>Provided also that the Chief Inspector may in his discretion exempt from the provisions of paragraph (c) or regulation 7A, any owner, lessee, or other person.</w:t>
      </w:r>
    </w:p>
    <w:p>
      <w:pPr>
        <w:pStyle w:val="Footnotesection"/>
      </w:pPr>
      <w:r>
        <w:tab/>
        <w:t>[Regulation 8 amended in Gazette 22 Feb 1929 p. 608</w:t>
      </w:r>
      <w:r>
        <w:noBreakHyphen/>
        <w:t xml:space="preserve">9; 9 Sep 1968 p. 2744; 31 Aug 1984 p. 2829.] </w:t>
      </w:r>
    </w:p>
    <w:p>
      <w:pPr>
        <w:pStyle w:val="Heading5"/>
        <w:rPr>
          <w:snapToGrid w:val="0"/>
        </w:rPr>
      </w:pPr>
      <w:bookmarkStart w:id="205" w:name="_Toc390077230"/>
      <w:r>
        <w:rPr>
          <w:rStyle w:val="CharSectno"/>
        </w:rPr>
        <w:t>9</w:t>
      </w:r>
      <w:r>
        <w:rPr>
          <w:snapToGrid w:val="0"/>
        </w:rPr>
        <w:t>.</w:t>
      </w:r>
      <w:r>
        <w:rPr>
          <w:snapToGrid w:val="0"/>
        </w:rPr>
        <w:tab/>
        <w:t>Weighman’s licence</w:t>
      </w:r>
      <w:bookmarkEnd w:id="205"/>
    </w:p>
    <w:p>
      <w:pPr>
        <w:pStyle w:val="Subsection"/>
        <w:rPr>
          <w:snapToGrid w:val="0"/>
        </w:rPr>
      </w:pPr>
      <w:r>
        <w:rPr>
          <w:snapToGrid w:val="0"/>
        </w:rPr>
        <w:tab/>
      </w:r>
      <w:r>
        <w:rPr>
          <w:snapToGrid w:val="0"/>
        </w:rPr>
        <w:tab/>
        <w:t>The Chief Inspector shall, upon application in the form of Schedule D, issue a weighman’s license to any person over 18 years of age who is of good character, and in his opinion is competent to carry out the duties of a public weighman. The fee for such license is as prescribed in Table XIIIB. Such license shall, be in the form of Schedule E and unless cancelled by the Chief Inspector, be in force for one year from the date of issue.</w:t>
      </w:r>
    </w:p>
    <w:p>
      <w:pPr>
        <w:pStyle w:val="Footnotesection"/>
      </w:pPr>
      <w:r>
        <w:tab/>
        <w:t xml:space="preserve">[Regulation 9 amended in Gazette 4 Mar 1949 p. 416; 9 Apr 1957 p. 1074; 23 May 1960 p. 1407; 9 Sep 1968 p. 2744; 31 Aug 1984 p. 2829.] </w:t>
      </w:r>
    </w:p>
    <w:p>
      <w:pPr>
        <w:pStyle w:val="Heading5"/>
        <w:rPr>
          <w:snapToGrid w:val="0"/>
        </w:rPr>
      </w:pPr>
      <w:bookmarkStart w:id="206" w:name="_Toc390077231"/>
      <w:r>
        <w:rPr>
          <w:rStyle w:val="CharSectno"/>
        </w:rPr>
        <w:t>10</w:t>
      </w:r>
      <w:r>
        <w:rPr>
          <w:snapToGrid w:val="0"/>
        </w:rPr>
        <w:t>.</w:t>
      </w:r>
      <w:r>
        <w:rPr>
          <w:snapToGrid w:val="0"/>
        </w:rPr>
        <w:tab/>
        <w:t>False statements or misrepresentation</w:t>
      </w:r>
      <w:bookmarkEnd w:id="206"/>
    </w:p>
    <w:p>
      <w:pPr>
        <w:pStyle w:val="Subsection"/>
        <w:rPr>
          <w:snapToGrid w:val="0"/>
        </w:rPr>
      </w:pPr>
      <w:r>
        <w:rPr>
          <w:snapToGrid w:val="0"/>
        </w:rPr>
        <w:tab/>
      </w:r>
      <w:r>
        <w:rPr>
          <w:snapToGrid w:val="0"/>
        </w:rPr>
        <w:tab/>
        <w:t>Any person who by a false statement or misrepresentation, obtains or attempts to obtain a license as a public weighman shall be guilty of a breach of the regulations.</w:t>
      </w:r>
    </w:p>
    <w:p>
      <w:pPr>
        <w:pStyle w:val="Heading5"/>
        <w:rPr>
          <w:snapToGrid w:val="0"/>
        </w:rPr>
      </w:pPr>
      <w:bookmarkStart w:id="207" w:name="_Toc390077232"/>
      <w:r>
        <w:rPr>
          <w:rStyle w:val="CharSectno"/>
        </w:rPr>
        <w:t>11</w:t>
      </w:r>
      <w:r>
        <w:rPr>
          <w:snapToGrid w:val="0"/>
        </w:rPr>
        <w:t>.</w:t>
      </w:r>
      <w:r>
        <w:rPr>
          <w:snapToGrid w:val="0"/>
        </w:rPr>
        <w:tab/>
        <w:t>Applicant to appear in person</w:t>
      </w:r>
      <w:bookmarkEnd w:id="207"/>
    </w:p>
    <w:p>
      <w:pPr>
        <w:pStyle w:val="Subsection"/>
        <w:rPr>
          <w:snapToGrid w:val="0"/>
        </w:rPr>
      </w:pPr>
      <w:r>
        <w:rPr>
          <w:snapToGrid w:val="0"/>
        </w:rPr>
        <w:tab/>
      </w:r>
      <w:r>
        <w:rPr>
          <w:snapToGrid w:val="0"/>
        </w:rPr>
        <w:tab/>
        <w:t>An applicant for a weighman’s license shall submit himself for examination at such time and place as the Chief Inspector directs.</w:t>
      </w:r>
    </w:p>
    <w:p>
      <w:pPr>
        <w:pStyle w:val="Footnotesection"/>
      </w:pPr>
      <w:r>
        <w:tab/>
        <w:t xml:space="preserve">[Regulation 11 amended in Gazette 9 Sep 1968 p. 2744; 31 Aug 1984 p. 2829.] </w:t>
      </w:r>
    </w:p>
    <w:p>
      <w:pPr>
        <w:pStyle w:val="Heading5"/>
        <w:rPr>
          <w:snapToGrid w:val="0"/>
        </w:rPr>
      </w:pPr>
      <w:bookmarkStart w:id="208" w:name="_Toc390077233"/>
      <w:r>
        <w:rPr>
          <w:rStyle w:val="CharSectno"/>
        </w:rPr>
        <w:t>12</w:t>
      </w:r>
      <w:r>
        <w:rPr>
          <w:snapToGrid w:val="0"/>
        </w:rPr>
        <w:t>.</w:t>
      </w:r>
      <w:r>
        <w:rPr>
          <w:snapToGrid w:val="0"/>
        </w:rPr>
        <w:tab/>
        <w:t>Suspension or cancellation of weighman’s licence</w:t>
      </w:r>
      <w:bookmarkEnd w:id="208"/>
    </w:p>
    <w:p>
      <w:pPr>
        <w:pStyle w:val="Subsection"/>
        <w:rPr>
          <w:snapToGrid w:val="0"/>
        </w:rPr>
      </w:pPr>
      <w:r>
        <w:rPr>
          <w:snapToGrid w:val="0"/>
        </w:rPr>
        <w:tab/>
      </w:r>
      <w:r>
        <w:rPr>
          <w:snapToGrid w:val="0"/>
        </w:rPr>
        <w:tab/>
        <w:t>The Chief Inspector may, at his discretion, suspend or cancel any such license issued to any person who has been convicted of any offence, or guilty of any misconduct which, in his opinion, indicates him to be unfit to hold such license.</w:t>
      </w:r>
    </w:p>
    <w:p>
      <w:pPr>
        <w:pStyle w:val="Footnotesection"/>
      </w:pPr>
      <w:r>
        <w:tab/>
        <w:t xml:space="preserve">[Regulation 12 amended in Gazette 9 Sep 1968 p. 2744; 31 Aug 1984 p. 2829.] </w:t>
      </w:r>
    </w:p>
    <w:p>
      <w:pPr>
        <w:pStyle w:val="Heading5"/>
        <w:rPr>
          <w:snapToGrid w:val="0"/>
        </w:rPr>
      </w:pPr>
      <w:bookmarkStart w:id="209" w:name="_Toc390077234"/>
      <w:r>
        <w:rPr>
          <w:rStyle w:val="CharSectno"/>
        </w:rPr>
        <w:t>13</w:t>
      </w:r>
      <w:r>
        <w:rPr>
          <w:snapToGrid w:val="0"/>
        </w:rPr>
        <w:t>.</w:t>
      </w:r>
      <w:r>
        <w:rPr>
          <w:snapToGrid w:val="0"/>
        </w:rPr>
        <w:tab/>
        <w:t>Duties of weighmen</w:t>
      </w:r>
      <w:bookmarkEnd w:id="209"/>
    </w:p>
    <w:p>
      <w:pPr>
        <w:pStyle w:val="Subsection"/>
        <w:rPr>
          <w:snapToGrid w:val="0"/>
        </w:rPr>
      </w:pPr>
      <w:r>
        <w:rPr>
          <w:snapToGrid w:val="0"/>
        </w:rPr>
        <w:tab/>
      </w:r>
      <w:r>
        <w:rPr>
          <w:snapToGrid w:val="0"/>
        </w:rPr>
        <w:tab/>
        <w:t>The weighman of a public weighbridge shall — </w:t>
      </w:r>
    </w:p>
    <w:p>
      <w:pPr>
        <w:pStyle w:val="Indenta"/>
        <w:rPr>
          <w:snapToGrid w:val="0"/>
        </w:rPr>
      </w:pPr>
      <w:r>
        <w:rPr>
          <w:snapToGrid w:val="0"/>
        </w:rPr>
        <w:tab/>
        <w:t>(a)</w:t>
      </w:r>
      <w:r>
        <w:rPr>
          <w:snapToGrid w:val="0"/>
        </w:rPr>
        <w:tab/>
        <w:t>keep such instrument truly balanced, the platform clean, and the space between frame and platform free from obstruction;</w:t>
      </w:r>
    </w:p>
    <w:p>
      <w:pPr>
        <w:pStyle w:val="Indenta"/>
        <w:rPr>
          <w:snapToGrid w:val="0"/>
        </w:rPr>
      </w:pPr>
      <w:r>
        <w:rPr>
          <w:snapToGrid w:val="0"/>
        </w:rPr>
        <w:tab/>
        <w:t>(b)</w:t>
      </w:r>
      <w:r>
        <w:rPr>
          <w:snapToGrid w:val="0"/>
        </w:rPr>
        <w:tab/>
        <w:t>weigh any article within the capacity of his instrument, that is brought to him for that purpose, on payment of the appropriate fee;</w:t>
      </w:r>
    </w:p>
    <w:p>
      <w:pPr>
        <w:pStyle w:val="Indenta"/>
        <w:rPr>
          <w:snapToGrid w:val="0"/>
        </w:rPr>
      </w:pPr>
      <w:r>
        <w:rPr>
          <w:snapToGrid w:val="0"/>
        </w:rPr>
        <w:tab/>
        <w:t>(c)</w:t>
      </w:r>
      <w:r>
        <w:rPr>
          <w:snapToGrid w:val="0"/>
        </w:rPr>
        <w:tab/>
        <w:t>when weighing any two</w:t>
      </w:r>
      <w:r>
        <w:rPr>
          <w:snapToGrid w:val="0"/>
        </w:rPr>
        <w:noBreakHyphen/>
        <w:t>wheeled vehicle weigh therewith any animal drawing such vehicle;</w:t>
      </w:r>
    </w:p>
    <w:p>
      <w:pPr>
        <w:pStyle w:val="Indenta"/>
        <w:rPr>
          <w:snapToGrid w:val="0"/>
        </w:rPr>
      </w:pPr>
      <w:r>
        <w:rPr>
          <w:snapToGrid w:val="0"/>
        </w:rPr>
        <w:tab/>
        <w:t>(d)</w:t>
      </w:r>
      <w:r>
        <w:rPr>
          <w:snapToGrid w:val="0"/>
        </w:rPr>
        <w:tab/>
        <w:t>exercise due care in the performance of his duties, to ensure correct weighing and the issue of correct weight tickets;</w:t>
      </w:r>
    </w:p>
    <w:p>
      <w:pPr>
        <w:pStyle w:val="Indenta"/>
        <w:rPr>
          <w:snapToGrid w:val="0"/>
        </w:rPr>
      </w:pPr>
      <w:r>
        <w:rPr>
          <w:snapToGrid w:val="0"/>
        </w:rPr>
        <w:tab/>
        <w:t>(e)</w:t>
      </w:r>
      <w:r>
        <w:rPr>
          <w:snapToGrid w:val="0"/>
        </w:rPr>
        <w:tab/>
        <w:t>on tare weighing any vehicle immediately enter in the tare weight book in the proper consecutive order in which such weighing was made the correct weight and description of such vehicle, and the name of the driver and the date of such weighing;</w:t>
      </w:r>
    </w:p>
    <w:p>
      <w:pPr>
        <w:pStyle w:val="Indenta"/>
        <w:rPr>
          <w:snapToGrid w:val="0"/>
        </w:rPr>
      </w:pPr>
      <w:r>
        <w:rPr>
          <w:snapToGrid w:val="0"/>
        </w:rPr>
        <w:tab/>
        <w:t>(f)</w:t>
      </w:r>
      <w:r>
        <w:rPr>
          <w:snapToGrid w:val="0"/>
        </w:rPr>
        <w:tab/>
        <w:t>on weighing a loaded vehicle the tare weight of which has previously been ascertained immediately issue a weight ticket in the form of Schedule A;</w:t>
      </w:r>
    </w:p>
    <w:p>
      <w:pPr>
        <w:pStyle w:val="Indenta"/>
        <w:rPr>
          <w:snapToGrid w:val="0"/>
        </w:rPr>
      </w:pPr>
      <w:r>
        <w:rPr>
          <w:snapToGrid w:val="0"/>
        </w:rPr>
        <w:tab/>
        <w:t>(g)</w:t>
      </w:r>
      <w:r>
        <w:rPr>
          <w:snapToGrid w:val="0"/>
        </w:rPr>
        <w:tab/>
        <w:t>on weighing a loaded vehicle the tare weight of which has not been previously ascertained, immediately enter the gross weight of such vehicle in the proper consecutive ticket and retain such ticket in the book in which it is bound until such vehicle has been tare weighed:</w:t>
      </w:r>
    </w:p>
    <w:p>
      <w:pPr>
        <w:pStyle w:val="Indenta"/>
        <w:rPr>
          <w:snapToGrid w:val="0"/>
        </w:rPr>
      </w:pPr>
      <w:r>
        <w:rPr>
          <w:snapToGrid w:val="0"/>
        </w:rPr>
        <w:tab/>
      </w:r>
      <w:r>
        <w:rPr>
          <w:snapToGrid w:val="0"/>
        </w:rPr>
        <w:tab/>
        <w:t>Provided this shall not preclude the issue of a ticket showing gross weight only where the conditions prescribed in clause (i) are complied with;</w:t>
      </w:r>
    </w:p>
    <w:p>
      <w:pPr>
        <w:pStyle w:val="Indenta"/>
        <w:rPr>
          <w:snapToGrid w:val="0"/>
        </w:rPr>
      </w:pPr>
      <w:r>
        <w:rPr>
          <w:snapToGrid w:val="0"/>
        </w:rPr>
        <w:tab/>
        <w:t>(h)</w:t>
      </w:r>
      <w:r>
        <w:rPr>
          <w:snapToGrid w:val="0"/>
        </w:rPr>
        <w:tab/>
        <w:t>when issuing a ticket showing tare weight only, strike out the words “gross weight” and “net weight” and stamp plainly and legible across such ticket the words “tare weighing only”, in not less than 20</w:t>
      </w:r>
      <w:r>
        <w:rPr>
          <w:snapToGrid w:val="0"/>
        </w:rPr>
        <w:noBreakHyphen/>
        <w:t>point heavy capital type;</w:t>
      </w:r>
    </w:p>
    <w:p>
      <w:pPr>
        <w:pStyle w:val="Indenta"/>
        <w:rPr>
          <w:snapToGrid w:val="0"/>
        </w:rPr>
      </w:pPr>
      <w:r>
        <w:rPr>
          <w:snapToGrid w:val="0"/>
        </w:rPr>
        <w:tab/>
        <w:t>(i)</w:t>
      </w:r>
      <w:r>
        <w:rPr>
          <w:snapToGrid w:val="0"/>
        </w:rPr>
        <w:tab/>
        <w:t>when issuing a ticket showing gross weight only, strike out the words “tare weight” and “net weight” and stamp plainly and legibly across such ticket the words “gross weighing only”, in not less than 20</w:t>
      </w:r>
      <w:r>
        <w:rPr>
          <w:snapToGrid w:val="0"/>
        </w:rPr>
        <w:noBreakHyphen/>
        <w:t>point heavy capital type;</w:t>
      </w:r>
    </w:p>
    <w:p>
      <w:pPr>
        <w:pStyle w:val="Indenta"/>
        <w:rPr>
          <w:snapToGrid w:val="0"/>
        </w:rPr>
      </w:pPr>
      <w:r>
        <w:rPr>
          <w:snapToGrid w:val="0"/>
        </w:rPr>
        <w:tab/>
        <w:t>(j)</w:t>
      </w:r>
      <w:r>
        <w:rPr>
          <w:snapToGrid w:val="0"/>
        </w:rPr>
        <w:tab/>
        <w:t>except as provided in clause (g), issue each weight ticket or copy thereof consecutively according to its number;</w:t>
      </w:r>
    </w:p>
    <w:p>
      <w:pPr>
        <w:pStyle w:val="Indenta"/>
        <w:rPr>
          <w:snapToGrid w:val="0"/>
        </w:rPr>
      </w:pPr>
      <w:r>
        <w:rPr>
          <w:snapToGrid w:val="0"/>
        </w:rPr>
        <w:tab/>
        <w:t>(k)</w:t>
      </w:r>
      <w:r>
        <w:rPr>
          <w:snapToGrid w:val="0"/>
        </w:rPr>
        <w:tab/>
        <w:t>when writing weight tickets make, by the use of carbon paper, each duplicate a correct copy of the original;</w:t>
      </w:r>
    </w:p>
    <w:p>
      <w:pPr>
        <w:pStyle w:val="Indenta"/>
        <w:rPr>
          <w:snapToGrid w:val="0"/>
          <w:spacing w:val="-2"/>
        </w:rPr>
      </w:pPr>
      <w:r>
        <w:rPr>
          <w:snapToGrid w:val="0"/>
        </w:rPr>
        <w:tab/>
        <w:t>(l)</w:t>
      </w:r>
      <w:r>
        <w:rPr>
          <w:snapToGrid w:val="0"/>
        </w:rPr>
        <w:tab/>
      </w:r>
      <w:r>
        <w:rPr>
          <w:snapToGrid w:val="0"/>
          <w:spacing w:val="-2"/>
        </w:rPr>
        <w:t>when an error is made in writing any weight ticket, cancel such ticket and any duplicates thereof and retain such ticket and duplicates in the book in which they are bound;</w:t>
      </w:r>
    </w:p>
    <w:p>
      <w:pPr>
        <w:pStyle w:val="Indenta"/>
        <w:rPr>
          <w:snapToGrid w:val="0"/>
        </w:rPr>
      </w:pPr>
      <w:r>
        <w:rPr>
          <w:snapToGrid w:val="0"/>
        </w:rPr>
        <w:tab/>
        <w:t>(m)</w:t>
      </w:r>
      <w:r>
        <w:rPr>
          <w:snapToGrid w:val="0"/>
        </w:rPr>
        <w:tab/>
        <w:t>on demand by the buyer or seller or any person interested in any goods weighed on such weighbridge supply a copy of any weight ticket issued in respect of such goods; but that person may be required to pay the appropriate fee for a weighing required by paragraph (b);</w:t>
      </w:r>
    </w:p>
    <w:p>
      <w:pPr>
        <w:pStyle w:val="Indenta"/>
        <w:rPr>
          <w:snapToGrid w:val="0"/>
        </w:rPr>
      </w:pPr>
      <w:r>
        <w:rPr>
          <w:snapToGrid w:val="0"/>
        </w:rPr>
        <w:tab/>
        <w:t>(n)</w:t>
      </w:r>
      <w:r>
        <w:rPr>
          <w:snapToGrid w:val="0"/>
        </w:rPr>
        <w:tab/>
        <w:t>unless such copy is a duplicate made by the carbon process when writing the original ticket, issue same from the book of tickets provided in accordance with regulation 7(d);</w:t>
      </w:r>
    </w:p>
    <w:p>
      <w:pPr>
        <w:pStyle w:val="Indenta"/>
        <w:rPr>
          <w:snapToGrid w:val="0"/>
        </w:rPr>
      </w:pPr>
      <w:r>
        <w:rPr>
          <w:snapToGrid w:val="0"/>
        </w:rPr>
        <w:tab/>
        <w:t>(o)</w:t>
      </w:r>
      <w:r>
        <w:rPr>
          <w:snapToGrid w:val="0"/>
        </w:rPr>
        <w:tab/>
        <w:t>when issuing copies of previously issued tickets comply with the requirements of clauses (k) and (l);</w:t>
      </w:r>
    </w:p>
    <w:p>
      <w:pPr>
        <w:pStyle w:val="Indenta"/>
        <w:rPr>
          <w:snapToGrid w:val="0"/>
        </w:rPr>
      </w:pPr>
      <w:r>
        <w:rPr>
          <w:snapToGrid w:val="0"/>
        </w:rPr>
        <w:tab/>
        <w:t>(p)</w:t>
      </w:r>
      <w:r>
        <w:rPr>
          <w:snapToGrid w:val="0"/>
        </w:rPr>
        <w:tab/>
        <w:t>on demand by an Inspector or any interested person, produce the original ticket or the original of any copy thereof relating to any weighing made at such weighbridge during the year preceding the date of such demand;</w:t>
      </w:r>
    </w:p>
    <w:p>
      <w:pPr>
        <w:pStyle w:val="Indenta"/>
        <w:rPr>
          <w:snapToGrid w:val="0"/>
        </w:rPr>
      </w:pPr>
      <w:r>
        <w:rPr>
          <w:snapToGrid w:val="0"/>
        </w:rPr>
        <w:tab/>
        <w:t>(q)</w:t>
      </w:r>
      <w:r>
        <w:rPr>
          <w:snapToGrid w:val="0"/>
        </w:rPr>
        <w:tab/>
        <w:t>on demand by an Inspector in the execution of his duty under the Act or regulations, and without charge, weigh or reweigh any loaded or unloaded vehicle;</w:t>
      </w:r>
    </w:p>
    <w:p>
      <w:pPr>
        <w:pStyle w:val="Indenta"/>
        <w:rPr>
          <w:snapToGrid w:val="0"/>
        </w:rPr>
      </w:pPr>
      <w:r>
        <w:rPr>
          <w:snapToGrid w:val="0"/>
        </w:rPr>
        <w:tab/>
        <w:t>(r)</w:t>
      </w:r>
      <w:r>
        <w:rPr>
          <w:snapToGrid w:val="0"/>
        </w:rPr>
        <w:tab/>
        <w:t>on demand by an Inspector produce his license;</w:t>
      </w:r>
    </w:p>
    <w:p>
      <w:pPr>
        <w:pStyle w:val="Indenta"/>
        <w:rPr>
          <w:snapToGrid w:val="0"/>
        </w:rPr>
      </w:pPr>
      <w:r>
        <w:rPr>
          <w:snapToGrid w:val="0"/>
        </w:rPr>
        <w:tab/>
        <w:t>(s)</w:t>
      </w:r>
      <w:r>
        <w:rPr>
          <w:snapToGrid w:val="0"/>
        </w:rPr>
        <w:tab/>
        <w:t>if he knows or has reason to believe such weighbridge is incorrect, forthwith inform the Chief Inspector of such knowledge or belief.</w:t>
      </w:r>
    </w:p>
    <w:p>
      <w:pPr>
        <w:pStyle w:val="Footnotesection"/>
      </w:pPr>
      <w:r>
        <w:tab/>
        <w:t>[Regulation 13 amended in Gazette 3 Apr 1947 p. 580; 1 Jun 1951 p. 1516; 23 May 1960 p. 1407; 5 Jul 1967 p. 1758; 9 Sep 1968 p. 2744; 21 Sep 1973 p. 3548; 23 May 1975 p. 1429; 10 Dec 1976 p. 4956; 23 Mar 1978 p. 875</w:t>
      </w:r>
      <w:r>
        <w:noBreakHyphen/>
        <w:t xml:space="preserve">6; 19 Oct 1979 p. 3285; 10 Apr 1981 p. 1259; 2 Jul 1982 p. 2382; 31 Aug 1984 p. 2829.] </w:t>
      </w:r>
    </w:p>
    <w:p>
      <w:pPr>
        <w:pStyle w:val="Heading5"/>
        <w:rPr>
          <w:snapToGrid w:val="0"/>
        </w:rPr>
      </w:pPr>
      <w:bookmarkStart w:id="210" w:name="_Toc390077235"/>
      <w:r>
        <w:rPr>
          <w:rStyle w:val="CharSectno"/>
        </w:rPr>
        <w:t>13A</w:t>
      </w:r>
      <w:r>
        <w:rPr>
          <w:snapToGrid w:val="0"/>
        </w:rPr>
        <w:t>.</w:t>
      </w:r>
      <w:r>
        <w:rPr>
          <w:snapToGrid w:val="0"/>
        </w:rPr>
        <w:tab/>
        <w:t>Alteration of weighbridge tickets</w:t>
      </w:r>
      <w:bookmarkEnd w:id="210"/>
    </w:p>
    <w:p>
      <w:pPr>
        <w:pStyle w:val="Subsection"/>
        <w:rPr>
          <w:snapToGrid w:val="0"/>
        </w:rPr>
      </w:pPr>
      <w:r>
        <w:rPr>
          <w:snapToGrid w:val="0"/>
        </w:rPr>
        <w:tab/>
      </w:r>
      <w:r>
        <w:rPr>
          <w:snapToGrid w:val="0"/>
        </w:rPr>
        <w:tab/>
        <w:t>A person shall not in any way alter or vary the words or figures on a weighbridge ticket issued by a licensed weighman or add thereto any words or figures.</w:t>
      </w:r>
    </w:p>
    <w:p>
      <w:pPr>
        <w:pStyle w:val="Footnotesection"/>
      </w:pPr>
      <w:r>
        <w:tab/>
        <w:t xml:space="preserve">[Regulation 13A inserted in Gazette 3 Apr 1947 p. 580.] </w:t>
      </w:r>
    </w:p>
    <w:p>
      <w:pPr>
        <w:pStyle w:val="Heading5"/>
        <w:rPr>
          <w:snapToGrid w:val="0"/>
        </w:rPr>
      </w:pPr>
      <w:bookmarkStart w:id="211" w:name="_Toc390077236"/>
      <w:r>
        <w:rPr>
          <w:rStyle w:val="CharSectno"/>
        </w:rPr>
        <w:t>14</w:t>
      </w:r>
      <w:r>
        <w:rPr>
          <w:snapToGrid w:val="0"/>
        </w:rPr>
        <w:t>.</w:t>
      </w:r>
      <w:r>
        <w:rPr>
          <w:snapToGrid w:val="0"/>
        </w:rPr>
        <w:tab/>
        <w:t>Obligations of weighmen</w:t>
      </w:r>
      <w:bookmarkEnd w:id="211"/>
    </w:p>
    <w:p>
      <w:pPr>
        <w:pStyle w:val="Subsection"/>
        <w:rPr>
          <w:snapToGrid w:val="0"/>
        </w:rPr>
      </w:pPr>
      <w:r>
        <w:rPr>
          <w:snapToGrid w:val="0"/>
        </w:rPr>
        <w:tab/>
      </w:r>
      <w:r>
        <w:rPr>
          <w:snapToGrid w:val="0"/>
        </w:rPr>
        <w:tab/>
        <w:t>The weighman of a public weighbridge shall not — </w:t>
      </w:r>
    </w:p>
    <w:p>
      <w:pPr>
        <w:pStyle w:val="Indenta"/>
        <w:rPr>
          <w:snapToGrid w:val="0"/>
        </w:rPr>
      </w:pPr>
      <w:r>
        <w:rPr>
          <w:snapToGrid w:val="0"/>
        </w:rPr>
        <w:tab/>
        <w:t>(a)</w:t>
      </w:r>
      <w:r>
        <w:rPr>
          <w:snapToGrid w:val="0"/>
        </w:rPr>
        <w:tab/>
        <w:t>permit any person other than a licensed weighman to act as a weighman at such weighbridge;</w:t>
      </w:r>
    </w:p>
    <w:p>
      <w:pPr>
        <w:pStyle w:val="Indenta"/>
        <w:rPr>
          <w:snapToGrid w:val="0"/>
        </w:rPr>
      </w:pPr>
      <w:r>
        <w:rPr>
          <w:snapToGrid w:val="0"/>
        </w:rPr>
        <w:tab/>
        <w:t>(b)</w:t>
      </w:r>
      <w:r>
        <w:rPr>
          <w:snapToGrid w:val="0"/>
        </w:rPr>
        <w:tab/>
      </w:r>
      <w:r>
        <w:rPr>
          <w:snapToGrid w:val="0"/>
          <w:spacing w:val="-2"/>
        </w:rPr>
        <w:t>issue any weight ticket otherwise than as provided by the regulations, or on which any particular within the power of such weighman to verify is not correctly stated;</w:t>
      </w:r>
    </w:p>
    <w:p>
      <w:pPr>
        <w:pStyle w:val="Indenta"/>
        <w:rPr>
          <w:snapToGrid w:val="0"/>
        </w:rPr>
      </w:pPr>
      <w:r>
        <w:rPr>
          <w:snapToGrid w:val="0"/>
        </w:rPr>
        <w:tab/>
        <w:t>(c)</w:t>
      </w:r>
      <w:r>
        <w:rPr>
          <w:snapToGrid w:val="0"/>
        </w:rPr>
        <w:tab/>
        <w:t>alter the original of any ticket after a duplicate has been issued;</w:t>
      </w:r>
    </w:p>
    <w:p>
      <w:pPr>
        <w:pStyle w:val="Indenta"/>
        <w:rPr>
          <w:snapToGrid w:val="0"/>
        </w:rPr>
      </w:pPr>
      <w:r>
        <w:rPr>
          <w:snapToGrid w:val="0"/>
        </w:rPr>
        <w:tab/>
        <w:t>(d)</w:t>
      </w:r>
      <w:r>
        <w:rPr>
          <w:snapToGrid w:val="0"/>
        </w:rPr>
        <w:tab/>
        <w:t>issue any ticket which is not a correct copy of the original;</w:t>
      </w:r>
    </w:p>
    <w:p>
      <w:pPr>
        <w:pStyle w:val="Indenta"/>
        <w:rPr>
          <w:snapToGrid w:val="0"/>
        </w:rPr>
      </w:pPr>
      <w:r>
        <w:rPr>
          <w:snapToGrid w:val="0"/>
        </w:rPr>
        <w:tab/>
        <w:t>(e)</w:t>
      </w:r>
      <w:r>
        <w:rPr>
          <w:snapToGrid w:val="0"/>
        </w:rPr>
        <w:tab/>
        <w:t>issue or remove from the book in which it is bound any original ticket;</w:t>
      </w:r>
    </w:p>
    <w:p>
      <w:pPr>
        <w:pStyle w:val="Indenta"/>
        <w:rPr>
          <w:snapToGrid w:val="0"/>
        </w:rPr>
      </w:pPr>
      <w:r>
        <w:rPr>
          <w:snapToGrid w:val="0"/>
        </w:rPr>
        <w:tab/>
        <w:t>(f)</w:t>
      </w:r>
      <w:r>
        <w:rPr>
          <w:snapToGrid w:val="0"/>
        </w:rPr>
        <w:tab/>
        <w:t>remove or permit to be removed from the book in which it is bound any unused ticket;</w:t>
      </w:r>
    </w:p>
    <w:p>
      <w:pPr>
        <w:pStyle w:val="Indenta"/>
        <w:rPr>
          <w:snapToGrid w:val="0"/>
        </w:rPr>
      </w:pPr>
      <w:r>
        <w:rPr>
          <w:snapToGrid w:val="0"/>
        </w:rPr>
        <w:tab/>
        <w:t>(g)</w:t>
      </w:r>
      <w:r>
        <w:rPr>
          <w:snapToGrid w:val="0"/>
        </w:rPr>
        <w:tab/>
        <w:t xml:space="preserve">issue a weight ticket embodying the tare weight of a vehicle unless he has on the same day weighed such vehicle and knows such tare weight to be correct: </w:t>
      </w:r>
    </w:p>
    <w:p>
      <w:pPr>
        <w:pStyle w:val="Indenta"/>
        <w:rPr>
          <w:snapToGrid w:val="0"/>
        </w:rPr>
      </w:pPr>
      <w:r>
        <w:rPr>
          <w:snapToGrid w:val="0"/>
        </w:rPr>
        <w:tab/>
      </w:r>
      <w:r>
        <w:rPr>
          <w:snapToGrid w:val="0"/>
        </w:rPr>
        <w:tab/>
        <w:t>Provided that he may copy such tare weight from a tare weight ticket issued on the same day by the weighman of a public weighbridge situated on the same premises;</w:t>
      </w:r>
    </w:p>
    <w:p>
      <w:pPr>
        <w:pStyle w:val="Indenta"/>
        <w:rPr>
          <w:snapToGrid w:val="0"/>
        </w:rPr>
      </w:pPr>
      <w:r>
        <w:rPr>
          <w:snapToGrid w:val="0"/>
        </w:rPr>
        <w:tab/>
        <w:t>(g1)</w:t>
      </w:r>
      <w:r>
        <w:rPr>
          <w:snapToGrid w:val="0"/>
        </w:rPr>
        <w:tab/>
        <w:t>issue a weight ticket for any loaded vehicle unless he has immediately before such issue personally weighed such vehicle:</w:t>
      </w:r>
    </w:p>
    <w:p>
      <w:pPr>
        <w:pStyle w:val="Indenta"/>
        <w:rPr>
          <w:snapToGrid w:val="0"/>
        </w:rPr>
      </w:pPr>
      <w:r>
        <w:rPr>
          <w:snapToGrid w:val="0"/>
        </w:rPr>
        <w:tab/>
      </w:r>
      <w:r>
        <w:rPr>
          <w:snapToGrid w:val="0"/>
        </w:rPr>
        <w:tab/>
        <w:t>Provided that clauses (g) and (g1) shall not apply to the issue of copies of ticket supplied in accordance with clause (m) of regulation 13.</w:t>
      </w:r>
    </w:p>
    <w:p>
      <w:pPr>
        <w:pStyle w:val="Indenta"/>
        <w:rPr>
          <w:snapToGrid w:val="0"/>
        </w:rPr>
      </w:pPr>
      <w:r>
        <w:rPr>
          <w:snapToGrid w:val="0"/>
        </w:rPr>
        <w:tab/>
        <w:t>(h)</w:t>
      </w:r>
      <w:r>
        <w:rPr>
          <w:snapToGrid w:val="0"/>
        </w:rPr>
        <w:tab/>
        <w:t>issue a weight ticket embodying the weight of any vehicle ascertained by end and end weighing unless he stamps across such ticket in not less than 20</w:t>
      </w:r>
      <w:r>
        <w:rPr>
          <w:snapToGrid w:val="0"/>
        </w:rPr>
        <w:noBreakHyphen/>
        <w:t>point heavy capital type the words “End and end weighing — weight not guaranteed”;</w:t>
      </w:r>
    </w:p>
    <w:p>
      <w:pPr>
        <w:pStyle w:val="Indenta"/>
        <w:rPr>
          <w:snapToGrid w:val="0"/>
        </w:rPr>
      </w:pPr>
      <w:r>
        <w:rPr>
          <w:snapToGrid w:val="0"/>
        </w:rPr>
        <w:tab/>
        <w:t>(i)</w:t>
      </w:r>
      <w:r>
        <w:rPr>
          <w:snapToGrid w:val="0"/>
        </w:rPr>
        <w:tab/>
        <w:t>weigh any loaded or unloaded vehicle on a weighbridge which he knows or has reason to believe is incorrect.</w:t>
      </w:r>
    </w:p>
    <w:p>
      <w:pPr>
        <w:pStyle w:val="Footnotesection"/>
      </w:pPr>
      <w:r>
        <w:tab/>
        <w:t xml:space="preserve">[Regulation 14 amended in Gazette 23 May 1960 p. 1407.] </w:t>
      </w:r>
    </w:p>
    <w:p>
      <w:pPr>
        <w:pStyle w:val="Heading5"/>
        <w:rPr>
          <w:snapToGrid w:val="0"/>
        </w:rPr>
      </w:pPr>
      <w:bookmarkStart w:id="212" w:name="_Toc390077237"/>
      <w:r>
        <w:rPr>
          <w:rStyle w:val="CharSectno"/>
        </w:rPr>
        <w:t>15</w:t>
      </w:r>
      <w:r>
        <w:rPr>
          <w:snapToGrid w:val="0"/>
        </w:rPr>
        <w:t>.</w:t>
      </w:r>
      <w:r>
        <w:rPr>
          <w:snapToGrid w:val="0"/>
        </w:rPr>
        <w:tab/>
        <w:t>Offences by weighmen</w:t>
      </w:r>
      <w:bookmarkEnd w:id="212"/>
    </w:p>
    <w:p>
      <w:pPr>
        <w:pStyle w:val="Subsection"/>
        <w:rPr>
          <w:snapToGrid w:val="0"/>
        </w:rPr>
      </w:pPr>
      <w:r>
        <w:rPr>
          <w:snapToGrid w:val="0"/>
        </w:rPr>
        <w:tab/>
      </w:r>
      <w:r>
        <w:rPr>
          <w:snapToGrid w:val="0"/>
        </w:rPr>
        <w:tab/>
        <w:t>Any weighman of a public weighbridge who — </w:t>
      </w:r>
    </w:p>
    <w:p>
      <w:pPr>
        <w:pStyle w:val="Indenta"/>
        <w:rPr>
          <w:snapToGrid w:val="0"/>
        </w:rPr>
      </w:pPr>
      <w:r>
        <w:rPr>
          <w:snapToGrid w:val="0"/>
        </w:rPr>
        <w:tab/>
        <w:t>(a)</w:t>
      </w:r>
      <w:r>
        <w:rPr>
          <w:snapToGrid w:val="0"/>
        </w:rPr>
        <w:tab/>
        <w:t>knowingly permits, assists in, or connives at any fraud in connection with the weight or weighing of any loaded or unloaded vehicle, or the issue of any weight ticket, or makes or connives at making any false representation in regard to the weight or loading on any vehicle; or</w:t>
      </w:r>
    </w:p>
    <w:p>
      <w:pPr>
        <w:pStyle w:val="Indenta"/>
        <w:rPr>
          <w:snapToGrid w:val="0"/>
        </w:rPr>
      </w:pPr>
      <w:r>
        <w:rPr>
          <w:snapToGrid w:val="0"/>
        </w:rPr>
        <w:tab/>
        <w:t>(b)</w:t>
      </w:r>
      <w:r>
        <w:rPr>
          <w:snapToGrid w:val="0"/>
        </w:rPr>
        <w:tab/>
        <w:t>having a knowledge of any fraudulent proceeding in connection with the weight or weighing of any vehicle, or the loading thereon, does not forthwith inform an Inspector;</w:t>
      </w:r>
    </w:p>
    <w:p>
      <w:pPr>
        <w:pStyle w:val="Subsection"/>
        <w:rPr>
          <w:snapToGrid w:val="0"/>
        </w:rPr>
      </w:pPr>
      <w:r>
        <w:rPr>
          <w:snapToGrid w:val="0"/>
        </w:rPr>
        <w:tab/>
      </w:r>
      <w:r>
        <w:rPr>
          <w:snapToGrid w:val="0"/>
        </w:rPr>
        <w:tab/>
        <w:t>shall be guilty of a breach of the regulations.</w:t>
      </w:r>
    </w:p>
    <w:p>
      <w:pPr>
        <w:pStyle w:val="MiscellaneousHeading"/>
        <w:outlineLvl w:val="0"/>
        <w:rPr>
          <w:snapToGrid w:val="0"/>
        </w:rPr>
      </w:pPr>
      <w:r>
        <w:rPr>
          <w:snapToGrid w:val="0"/>
        </w:rPr>
        <w:t>Schedule A</w:t>
      </w:r>
    </w:p>
    <w:p>
      <w:pPr>
        <w:pStyle w:val="MiscellaneousBody"/>
        <w:jc w:val="center"/>
        <w:rPr>
          <w:i/>
          <w:snapToGrid w:val="0"/>
        </w:rPr>
      </w:pPr>
      <w:r>
        <w:rPr>
          <w:i/>
          <w:snapToGrid w:val="0"/>
        </w:rPr>
        <w:t>[Ticket to be issued by the weighman of a public weighbridge when a loaded vehicle is weighed.]</w:t>
      </w:r>
    </w:p>
    <w:p>
      <w:pPr>
        <w:pStyle w:val="MiscellaneousBody"/>
        <w:ind w:left="4536"/>
        <w:rPr>
          <w:snapToGrid w:val="0"/>
          <w:sz w:val="22"/>
        </w:rPr>
      </w:pPr>
      <w:r>
        <w:rPr>
          <w:snapToGrid w:val="0"/>
          <w:sz w:val="22"/>
        </w:rPr>
        <w:t>Weight Ticket No.</w:t>
      </w:r>
    </w:p>
    <w:p>
      <w:pPr>
        <w:pStyle w:val="MiscellaneousBody"/>
        <w:rPr>
          <w:snapToGrid w:val="0"/>
          <w:sz w:val="22"/>
        </w:rPr>
      </w:pPr>
      <w:r>
        <w:rPr>
          <w:snapToGrid w:val="0"/>
          <w:sz w:val="22"/>
        </w:rPr>
        <w:t>Registered Public Weighbridge No.</w:t>
      </w:r>
    </w:p>
    <w:p>
      <w:pPr>
        <w:pStyle w:val="MiscellaneousBody"/>
        <w:spacing w:before="0"/>
        <w:rPr>
          <w:i/>
          <w:snapToGrid w:val="0"/>
          <w:sz w:val="22"/>
        </w:rPr>
      </w:pPr>
      <w:r>
        <w:rPr>
          <w:i/>
          <w:snapToGrid w:val="0"/>
          <w:sz w:val="22"/>
        </w:rPr>
        <w:t>[Location of instrument]</w:t>
      </w:r>
    </w:p>
    <w:p>
      <w:pPr>
        <w:pStyle w:val="MiscellaneousBody"/>
        <w:tabs>
          <w:tab w:val="left" w:pos="1701"/>
        </w:tabs>
        <w:rPr>
          <w:i/>
          <w:snapToGrid w:val="0"/>
          <w:sz w:val="22"/>
        </w:rPr>
      </w:pPr>
      <w:r>
        <w:rPr>
          <w:snapToGrid w:val="0"/>
          <w:sz w:val="22"/>
        </w:rPr>
        <w:tab/>
      </w:r>
      <w:r>
        <w:rPr>
          <w:i/>
          <w:snapToGrid w:val="0"/>
          <w:sz w:val="22"/>
        </w:rPr>
        <w:t>[Date]</w:t>
      </w:r>
    </w:p>
    <w:p>
      <w:pPr>
        <w:pStyle w:val="MiscellaneousBody"/>
        <w:rPr>
          <w:snapToGrid w:val="0"/>
          <w:sz w:val="22"/>
        </w:rPr>
      </w:pPr>
      <w:r>
        <w:rPr>
          <w:i/>
          <w:snapToGrid w:val="0"/>
          <w:sz w:val="22"/>
        </w:rPr>
        <w:t>[Owner]</w:t>
      </w:r>
      <w:r>
        <w:rPr>
          <w:snapToGrid w:val="0"/>
          <w:sz w:val="22"/>
        </w:rPr>
        <w:t xml:space="preserve"> or </w:t>
      </w:r>
      <w:r>
        <w:rPr>
          <w:i/>
          <w:snapToGrid w:val="0"/>
          <w:sz w:val="22"/>
        </w:rPr>
        <w:t>[lessee]</w:t>
      </w:r>
    </w:p>
    <w:p>
      <w:pPr>
        <w:pStyle w:val="MiscellaneousBody"/>
        <w:rPr>
          <w:snapToGrid w:val="0"/>
          <w:sz w:val="22"/>
        </w:rPr>
      </w:pPr>
      <w:r>
        <w:rPr>
          <w:snapToGrid w:val="0"/>
          <w:sz w:val="22"/>
        </w:rPr>
        <w:t xml:space="preserve">Goods weighed. </w:t>
      </w:r>
      <w:r>
        <w:rPr>
          <w:i/>
          <w:snapToGrid w:val="0"/>
          <w:sz w:val="22"/>
        </w:rPr>
        <w:t>[Description]</w:t>
      </w:r>
    </w:p>
    <w:p>
      <w:pPr>
        <w:pStyle w:val="MiscellaneousBody"/>
        <w:rPr>
          <w:snapToGrid w:val="0"/>
          <w:sz w:val="22"/>
        </w:rPr>
      </w:pPr>
      <w:r>
        <w:rPr>
          <w:snapToGrid w:val="0"/>
          <w:sz w:val="22"/>
        </w:rPr>
        <w:t>Marks and brands.</w:t>
      </w:r>
    </w:p>
    <w:p>
      <w:pPr>
        <w:pStyle w:val="MiscellaneousBody"/>
        <w:rPr>
          <w:snapToGrid w:val="0"/>
          <w:sz w:val="22"/>
        </w:rPr>
      </w:pPr>
      <w:r>
        <w:rPr>
          <w:snapToGrid w:val="0"/>
          <w:sz w:val="22"/>
        </w:rPr>
        <w:t>From — </w:t>
      </w:r>
    </w:p>
    <w:p>
      <w:pPr>
        <w:pStyle w:val="MiscellaneousBody"/>
        <w:spacing w:before="0"/>
        <w:rPr>
          <w:i/>
          <w:snapToGrid w:val="0"/>
          <w:sz w:val="22"/>
        </w:rPr>
      </w:pPr>
      <w:r>
        <w:rPr>
          <w:i/>
          <w:snapToGrid w:val="0"/>
          <w:sz w:val="22"/>
        </w:rPr>
        <w:t>[Persons on whose behalf goods are carried]</w:t>
      </w:r>
    </w:p>
    <w:p>
      <w:pPr>
        <w:pStyle w:val="MiscellaneousBody"/>
        <w:spacing w:before="0"/>
        <w:rPr>
          <w:i/>
          <w:snapToGrid w:val="0"/>
          <w:sz w:val="22"/>
        </w:rPr>
      </w:pPr>
      <w:r>
        <w:rPr>
          <w:i/>
          <w:snapToGrid w:val="0"/>
          <w:sz w:val="22"/>
        </w:rPr>
        <w:t>[Place from which goods were obtained]</w:t>
      </w:r>
    </w:p>
    <w:p>
      <w:pPr>
        <w:pStyle w:val="MiscellaneousBody"/>
        <w:rPr>
          <w:snapToGrid w:val="0"/>
          <w:sz w:val="22"/>
        </w:rPr>
      </w:pPr>
      <w:r>
        <w:rPr>
          <w:snapToGrid w:val="0"/>
          <w:sz w:val="22"/>
        </w:rPr>
        <w:t>To — </w:t>
      </w:r>
    </w:p>
    <w:p>
      <w:pPr>
        <w:pStyle w:val="MiscellaneousBody"/>
        <w:spacing w:before="0"/>
        <w:rPr>
          <w:i/>
          <w:snapToGrid w:val="0"/>
          <w:sz w:val="22"/>
        </w:rPr>
      </w:pPr>
      <w:r>
        <w:rPr>
          <w:i/>
          <w:snapToGrid w:val="0"/>
          <w:sz w:val="22"/>
        </w:rPr>
        <w:t>[Persons to whom goods are to be delivered]</w:t>
      </w:r>
    </w:p>
    <w:p>
      <w:pPr>
        <w:pStyle w:val="MiscellaneousBody"/>
        <w:spacing w:before="0"/>
        <w:rPr>
          <w:i/>
          <w:snapToGrid w:val="0"/>
          <w:sz w:val="22"/>
        </w:rPr>
      </w:pPr>
      <w:r>
        <w:rPr>
          <w:i/>
          <w:snapToGrid w:val="0"/>
          <w:sz w:val="22"/>
        </w:rPr>
        <w:t>[Place where goods are to be delivered]</w:t>
      </w:r>
    </w:p>
    <w:p>
      <w:pPr>
        <w:pStyle w:val="MiscellaneousBody"/>
        <w:rPr>
          <w:snapToGrid w:val="0"/>
          <w:sz w:val="22"/>
        </w:rPr>
      </w:pPr>
      <w:r>
        <w:rPr>
          <w:snapToGrid w:val="0"/>
          <w:sz w:val="22"/>
        </w:rPr>
        <w:t xml:space="preserve">Vehicle </w:t>
      </w:r>
      <w:r>
        <w:rPr>
          <w:i/>
          <w:snapToGrid w:val="0"/>
          <w:sz w:val="22"/>
        </w:rPr>
        <w:t>[description of]</w:t>
      </w:r>
    </w:p>
    <w:p>
      <w:pPr>
        <w:pStyle w:val="MiscellaneousBody"/>
        <w:tabs>
          <w:tab w:val="left" w:pos="4253"/>
        </w:tabs>
        <w:rPr>
          <w:snapToGrid w:val="0"/>
          <w:sz w:val="22"/>
        </w:rPr>
      </w:pPr>
      <w:r>
        <w:rPr>
          <w:snapToGrid w:val="0"/>
          <w:sz w:val="22"/>
        </w:rPr>
        <w:t>Driver</w:t>
      </w:r>
      <w:r>
        <w:rPr>
          <w:snapToGrid w:val="0"/>
          <w:sz w:val="22"/>
        </w:rPr>
        <w:br/>
      </w:r>
      <w:r>
        <w:rPr>
          <w:snapToGrid w:val="0"/>
          <w:sz w:val="22"/>
        </w:rPr>
        <w:tab/>
        <w:t>Tons.      cwt.      qrs.      lb.</w:t>
      </w:r>
    </w:p>
    <w:p>
      <w:pPr>
        <w:pStyle w:val="MiscellaneousBody"/>
        <w:rPr>
          <w:snapToGrid w:val="0"/>
          <w:sz w:val="22"/>
        </w:rPr>
      </w:pPr>
      <w:r>
        <w:rPr>
          <w:snapToGrid w:val="0"/>
          <w:sz w:val="22"/>
        </w:rPr>
        <w:t>Gross weight ........................................</w:t>
      </w:r>
    </w:p>
    <w:p>
      <w:pPr>
        <w:pStyle w:val="MiscellaneousBody"/>
        <w:rPr>
          <w:snapToGrid w:val="0"/>
          <w:sz w:val="22"/>
        </w:rPr>
      </w:pPr>
      <w:r>
        <w:rPr>
          <w:snapToGrid w:val="0"/>
          <w:sz w:val="22"/>
        </w:rPr>
        <w:t>Tare weight ..........................................</w:t>
      </w:r>
    </w:p>
    <w:p>
      <w:pPr>
        <w:pStyle w:val="MiscellaneousBody"/>
        <w:rPr>
          <w:snapToGrid w:val="0"/>
          <w:sz w:val="22"/>
        </w:rPr>
      </w:pPr>
      <w:r>
        <w:rPr>
          <w:snapToGrid w:val="0"/>
          <w:sz w:val="22"/>
        </w:rPr>
        <w:t>Net weight ...........................................</w:t>
      </w:r>
    </w:p>
    <w:p>
      <w:pPr>
        <w:pStyle w:val="MiscellaneousBody"/>
        <w:jc w:val="center"/>
        <w:rPr>
          <w:i/>
          <w:snapToGrid w:val="0"/>
          <w:sz w:val="22"/>
        </w:rPr>
      </w:pPr>
      <w:r>
        <w:rPr>
          <w:i/>
          <w:snapToGrid w:val="0"/>
          <w:sz w:val="22"/>
        </w:rPr>
        <w:t>[Signature of]</w:t>
      </w:r>
    </w:p>
    <w:p>
      <w:pPr>
        <w:pStyle w:val="MiscellaneousBody"/>
        <w:jc w:val="center"/>
        <w:rPr>
          <w:i/>
          <w:snapToGrid w:val="0"/>
          <w:sz w:val="22"/>
        </w:rPr>
      </w:pPr>
      <w:r>
        <w:rPr>
          <w:i/>
          <w:snapToGrid w:val="0"/>
          <w:sz w:val="22"/>
        </w:rPr>
        <w:t>[Weighman]</w:t>
      </w:r>
    </w:p>
    <w:p>
      <w:pPr>
        <w:pStyle w:val="MiscellaneousHeading"/>
        <w:rPr>
          <w:snapToGrid w:val="0"/>
        </w:rPr>
      </w:pPr>
      <w:r>
        <w:rPr>
          <w:snapToGrid w:val="0"/>
        </w:rPr>
        <w:t>Schedule B</w:t>
      </w:r>
    </w:p>
    <w:p>
      <w:pPr>
        <w:pStyle w:val="MiscellaneousBody"/>
        <w:keepNext/>
        <w:spacing w:before="120" w:after="40"/>
        <w:jc w:val="center"/>
        <w:rPr>
          <w:snapToGrid w:val="0"/>
        </w:rPr>
      </w:pPr>
      <w:r>
        <w:rPr>
          <w:snapToGrid w:val="0"/>
        </w:rPr>
        <w:t>Form of Tare Weight Book.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1" w:type="dxa"/>
          <w:right w:w="141" w:type="dxa"/>
        </w:tblCellMar>
        <w:tblLook w:val="0000" w:firstRow="0" w:lastRow="0" w:firstColumn="0" w:lastColumn="0" w:noHBand="0" w:noVBand="0"/>
      </w:tblPr>
      <w:tblGrid>
        <w:gridCol w:w="815"/>
        <w:gridCol w:w="1134"/>
        <w:gridCol w:w="656"/>
        <w:gridCol w:w="992"/>
        <w:gridCol w:w="992"/>
        <w:gridCol w:w="709"/>
        <w:gridCol w:w="709"/>
        <w:gridCol w:w="658"/>
        <w:gridCol w:w="533"/>
      </w:tblGrid>
      <w:tr>
        <w:trPr>
          <w:cantSplit/>
          <w:trHeight w:val="308"/>
          <w:jc w:val="center"/>
        </w:trPr>
        <w:tc>
          <w:tcPr>
            <w:tcW w:w="815" w:type="dxa"/>
            <w:vMerge w:val="restart"/>
            <w:tcBorders>
              <w:left w:val="nil"/>
              <w:bottom w:val="single" w:sz="4" w:space="0" w:color="auto"/>
            </w:tcBorders>
          </w:tcPr>
          <w:p>
            <w:pPr>
              <w:pStyle w:val="Table"/>
              <w:keepNext/>
              <w:spacing w:line="240" w:lineRule="auto"/>
              <w:jc w:val="center"/>
              <w:rPr>
                <w:sz w:val="16"/>
              </w:rPr>
            </w:pPr>
            <w:r>
              <w:rPr>
                <w:sz w:val="16"/>
              </w:rPr>
              <w:t>Date.</w:t>
            </w:r>
          </w:p>
        </w:tc>
        <w:tc>
          <w:tcPr>
            <w:tcW w:w="1134" w:type="dxa"/>
            <w:vMerge w:val="restart"/>
            <w:tcBorders>
              <w:bottom w:val="single" w:sz="4" w:space="0" w:color="auto"/>
            </w:tcBorders>
          </w:tcPr>
          <w:p>
            <w:pPr>
              <w:pStyle w:val="Table"/>
              <w:keepNext/>
              <w:spacing w:line="240" w:lineRule="auto"/>
              <w:jc w:val="center"/>
              <w:rPr>
                <w:sz w:val="16"/>
              </w:rPr>
            </w:pPr>
            <w:r>
              <w:rPr>
                <w:sz w:val="16"/>
              </w:rPr>
              <w:t>Vehicle (description of).</w:t>
            </w:r>
          </w:p>
        </w:tc>
        <w:tc>
          <w:tcPr>
            <w:tcW w:w="656" w:type="dxa"/>
            <w:vMerge w:val="restart"/>
            <w:tcBorders>
              <w:bottom w:val="single" w:sz="4" w:space="0" w:color="auto"/>
            </w:tcBorders>
          </w:tcPr>
          <w:p>
            <w:pPr>
              <w:pStyle w:val="Table"/>
              <w:keepNext/>
              <w:spacing w:line="240" w:lineRule="auto"/>
              <w:jc w:val="center"/>
              <w:rPr>
                <w:sz w:val="16"/>
              </w:rPr>
            </w:pPr>
            <w:r>
              <w:rPr>
                <w:sz w:val="16"/>
              </w:rPr>
              <w:t>No.</w:t>
            </w:r>
          </w:p>
        </w:tc>
        <w:tc>
          <w:tcPr>
            <w:tcW w:w="992" w:type="dxa"/>
            <w:vMerge w:val="restart"/>
            <w:tcBorders>
              <w:bottom w:val="single" w:sz="4" w:space="0" w:color="auto"/>
            </w:tcBorders>
          </w:tcPr>
          <w:p>
            <w:pPr>
              <w:pStyle w:val="Table"/>
              <w:keepNext/>
              <w:spacing w:line="240" w:lineRule="auto"/>
              <w:jc w:val="center"/>
              <w:rPr>
                <w:sz w:val="16"/>
              </w:rPr>
            </w:pPr>
            <w:r>
              <w:rPr>
                <w:sz w:val="16"/>
              </w:rPr>
              <w:t>Owner.</w:t>
            </w:r>
          </w:p>
        </w:tc>
        <w:tc>
          <w:tcPr>
            <w:tcW w:w="992" w:type="dxa"/>
            <w:vMerge w:val="restart"/>
            <w:tcBorders>
              <w:bottom w:val="single" w:sz="4" w:space="0" w:color="auto"/>
            </w:tcBorders>
          </w:tcPr>
          <w:p>
            <w:pPr>
              <w:pStyle w:val="Table"/>
              <w:keepNext/>
              <w:spacing w:line="240" w:lineRule="auto"/>
              <w:jc w:val="center"/>
              <w:rPr>
                <w:sz w:val="16"/>
              </w:rPr>
            </w:pPr>
            <w:r>
              <w:rPr>
                <w:sz w:val="16"/>
              </w:rPr>
              <w:t>Driver.</w:t>
            </w:r>
          </w:p>
        </w:tc>
        <w:tc>
          <w:tcPr>
            <w:tcW w:w="2605" w:type="dxa"/>
            <w:gridSpan w:val="4"/>
            <w:tcBorders>
              <w:bottom w:val="single" w:sz="4" w:space="0" w:color="auto"/>
              <w:right w:val="nil"/>
            </w:tcBorders>
          </w:tcPr>
          <w:p>
            <w:pPr>
              <w:pStyle w:val="Table"/>
              <w:keepNext/>
              <w:spacing w:line="240" w:lineRule="auto"/>
              <w:jc w:val="center"/>
              <w:rPr>
                <w:sz w:val="16"/>
              </w:rPr>
            </w:pPr>
            <w:r>
              <w:rPr>
                <w:sz w:val="16"/>
              </w:rPr>
              <w:t>Tare Weight.</w:t>
            </w:r>
          </w:p>
        </w:tc>
      </w:tr>
      <w:tr>
        <w:trPr>
          <w:cantSplit/>
          <w:trHeight w:val="307"/>
          <w:jc w:val="center"/>
        </w:trPr>
        <w:tc>
          <w:tcPr>
            <w:tcW w:w="815" w:type="dxa"/>
            <w:vMerge/>
            <w:tcBorders>
              <w:left w:val="nil"/>
              <w:bottom w:val="single" w:sz="4" w:space="0" w:color="auto"/>
            </w:tcBorders>
          </w:tcPr>
          <w:p>
            <w:pPr>
              <w:pStyle w:val="Table"/>
              <w:keepNext/>
              <w:spacing w:line="240" w:lineRule="auto"/>
              <w:jc w:val="center"/>
              <w:rPr>
                <w:sz w:val="16"/>
              </w:rPr>
            </w:pPr>
          </w:p>
        </w:tc>
        <w:tc>
          <w:tcPr>
            <w:tcW w:w="1134" w:type="dxa"/>
            <w:vMerge/>
            <w:tcBorders>
              <w:bottom w:val="single" w:sz="4" w:space="0" w:color="auto"/>
            </w:tcBorders>
          </w:tcPr>
          <w:p>
            <w:pPr>
              <w:pStyle w:val="Table"/>
              <w:keepNext/>
              <w:spacing w:line="240" w:lineRule="auto"/>
              <w:jc w:val="center"/>
              <w:rPr>
                <w:sz w:val="16"/>
              </w:rPr>
            </w:pPr>
          </w:p>
        </w:tc>
        <w:tc>
          <w:tcPr>
            <w:tcW w:w="656" w:type="dxa"/>
            <w:vMerge/>
            <w:tcBorders>
              <w:bottom w:val="single" w:sz="4" w:space="0" w:color="auto"/>
            </w:tcBorders>
          </w:tcPr>
          <w:p>
            <w:pPr>
              <w:pStyle w:val="Table"/>
              <w:keepNext/>
              <w:spacing w:line="240" w:lineRule="auto"/>
              <w:jc w:val="center"/>
              <w:rPr>
                <w:sz w:val="16"/>
              </w:rPr>
            </w:pPr>
          </w:p>
        </w:tc>
        <w:tc>
          <w:tcPr>
            <w:tcW w:w="992" w:type="dxa"/>
            <w:vMerge/>
            <w:tcBorders>
              <w:bottom w:val="single" w:sz="4" w:space="0" w:color="auto"/>
            </w:tcBorders>
          </w:tcPr>
          <w:p>
            <w:pPr>
              <w:pStyle w:val="Table"/>
              <w:keepNext/>
              <w:spacing w:line="240" w:lineRule="auto"/>
              <w:jc w:val="center"/>
              <w:rPr>
                <w:sz w:val="16"/>
              </w:rPr>
            </w:pPr>
          </w:p>
        </w:tc>
        <w:tc>
          <w:tcPr>
            <w:tcW w:w="992" w:type="dxa"/>
            <w:vMerge/>
            <w:tcBorders>
              <w:bottom w:val="single" w:sz="4" w:space="0" w:color="auto"/>
            </w:tcBorders>
          </w:tcPr>
          <w:p>
            <w:pPr>
              <w:pStyle w:val="Table"/>
              <w:keepNext/>
              <w:spacing w:line="240" w:lineRule="auto"/>
              <w:jc w:val="center"/>
              <w:rPr>
                <w:sz w:val="16"/>
              </w:rPr>
            </w:pPr>
          </w:p>
        </w:tc>
        <w:tc>
          <w:tcPr>
            <w:tcW w:w="709" w:type="dxa"/>
            <w:tcBorders>
              <w:right w:val="nil"/>
            </w:tcBorders>
          </w:tcPr>
          <w:p>
            <w:pPr>
              <w:pStyle w:val="Table"/>
              <w:keepNext/>
              <w:spacing w:line="240" w:lineRule="auto"/>
              <w:jc w:val="center"/>
              <w:rPr>
                <w:sz w:val="16"/>
              </w:rPr>
            </w:pPr>
            <w:r>
              <w:rPr>
                <w:sz w:val="16"/>
              </w:rPr>
              <w:t>Tons.</w:t>
            </w:r>
          </w:p>
        </w:tc>
        <w:tc>
          <w:tcPr>
            <w:tcW w:w="709" w:type="dxa"/>
            <w:tcBorders>
              <w:right w:val="nil"/>
            </w:tcBorders>
          </w:tcPr>
          <w:p>
            <w:pPr>
              <w:pStyle w:val="Table"/>
              <w:keepNext/>
              <w:spacing w:line="240" w:lineRule="auto"/>
              <w:jc w:val="center"/>
              <w:rPr>
                <w:sz w:val="16"/>
              </w:rPr>
            </w:pPr>
            <w:r>
              <w:rPr>
                <w:sz w:val="16"/>
              </w:rPr>
              <w:t>Cwt.</w:t>
            </w:r>
          </w:p>
        </w:tc>
        <w:tc>
          <w:tcPr>
            <w:tcW w:w="658" w:type="dxa"/>
            <w:tcBorders>
              <w:right w:val="nil"/>
            </w:tcBorders>
          </w:tcPr>
          <w:p>
            <w:pPr>
              <w:pStyle w:val="Table"/>
              <w:keepNext/>
              <w:spacing w:line="240" w:lineRule="auto"/>
              <w:jc w:val="center"/>
              <w:rPr>
                <w:sz w:val="16"/>
              </w:rPr>
            </w:pPr>
            <w:r>
              <w:rPr>
                <w:sz w:val="16"/>
              </w:rPr>
              <w:t>Qrs.</w:t>
            </w:r>
          </w:p>
        </w:tc>
        <w:tc>
          <w:tcPr>
            <w:tcW w:w="533" w:type="dxa"/>
            <w:tcBorders>
              <w:right w:val="nil"/>
            </w:tcBorders>
          </w:tcPr>
          <w:p>
            <w:pPr>
              <w:pStyle w:val="Table"/>
              <w:keepNext/>
              <w:spacing w:line="240" w:lineRule="auto"/>
              <w:jc w:val="center"/>
              <w:rPr>
                <w:sz w:val="16"/>
              </w:rPr>
            </w:pPr>
            <w:r>
              <w:rPr>
                <w:sz w:val="16"/>
              </w:rPr>
              <w:t>lb.</w:t>
            </w:r>
          </w:p>
        </w:tc>
      </w:tr>
      <w:tr>
        <w:trPr>
          <w:jc w:val="center"/>
        </w:trPr>
        <w:tc>
          <w:tcPr>
            <w:tcW w:w="815" w:type="dxa"/>
            <w:tcBorders>
              <w:top w:val="nil"/>
              <w:left w:val="nil"/>
            </w:tcBorders>
          </w:tcPr>
          <w:p>
            <w:pPr>
              <w:pStyle w:val="Table"/>
              <w:spacing w:line="240" w:lineRule="auto"/>
              <w:jc w:val="center"/>
              <w:rPr>
                <w:sz w:val="16"/>
              </w:rPr>
            </w:pPr>
          </w:p>
          <w:p>
            <w:pPr>
              <w:pStyle w:val="Table"/>
              <w:spacing w:before="0" w:line="240" w:lineRule="auto"/>
              <w:jc w:val="center"/>
              <w:rPr>
                <w:sz w:val="16"/>
              </w:rPr>
            </w:pPr>
          </w:p>
          <w:p>
            <w:pPr>
              <w:pStyle w:val="Table"/>
              <w:spacing w:before="0" w:line="240" w:lineRule="auto"/>
              <w:jc w:val="center"/>
              <w:rPr>
                <w:sz w:val="16"/>
              </w:rPr>
            </w:pPr>
          </w:p>
          <w:p>
            <w:pPr>
              <w:pStyle w:val="Table"/>
              <w:spacing w:line="240" w:lineRule="auto"/>
              <w:jc w:val="center"/>
              <w:rPr>
                <w:sz w:val="16"/>
              </w:rPr>
            </w:pPr>
          </w:p>
        </w:tc>
        <w:tc>
          <w:tcPr>
            <w:tcW w:w="1134" w:type="dxa"/>
            <w:tcBorders>
              <w:top w:val="nil"/>
            </w:tcBorders>
          </w:tcPr>
          <w:p>
            <w:pPr>
              <w:pStyle w:val="Table"/>
              <w:spacing w:line="240" w:lineRule="auto"/>
              <w:jc w:val="center"/>
              <w:rPr>
                <w:sz w:val="16"/>
              </w:rPr>
            </w:pPr>
          </w:p>
        </w:tc>
        <w:tc>
          <w:tcPr>
            <w:tcW w:w="656" w:type="dxa"/>
            <w:tcBorders>
              <w:top w:val="nil"/>
            </w:tcBorders>
          </w:tcPr>
          <w:p>
            <w:pPr>
              <w:pStyle w:val="Table"/>
              <w:spacing w:line="240" w:lineRule="auto"/>
              <w:jc w:val="center"/>
              <w:rPr>
                <w:sz w:val="16"/>
              </w:rPr>
            </w:pPr>
          </w:p>
        </w:tc>
        <w:tc>
          <w:tcPr>
            <w:tcW w:w="992" w:type="dxa"/>
            <w:tcBorders>
              <w:top w:val="nil"/>
            </w:tcBorders>
          </w:tcPr>
          <w:p>
            <w:pPr>
              <w:pStyle w:val="Table"/>
              <w:spacing w:line="240" w:lineRule="auto"/>
              <w:jc w:val="center"/>
              <w:rPr>
                <w:sz w:val="16"/>
              </w:rPr>
            </w:pPr>
          </w:p>
        </w:tc>
        <w:tc>
          <w:tcPr>
            <w:tcW w:w="992" w:type="dxa"/>
            <w:tcBorders>
              <w:top w:val="nil"/>
            </w:tcBorders>
          </w:tcPr>
          <w:p>
            <w:pPr>
              <w:pStyle w:val="Table"/>
              <w:spacing w:line="240" w:lineRule="auto"/>
              <w:jc w:val="center"/>
              <w:rPr>
                <w:sz w:val="16"/>
              </w:rPr>
            </w:pPr>
          </w:p>
        </w:tc>
        <w:tc>
          <w:tcPr>
            <w:tcW w:w="709" w:type="dxa"/>
          </w:tcPr>
          <w:p>
            <w:pPr>
              <w:pStyle w:val="Table"/>
              <w:spacing w:line="240" w:lineRule="auto"/>
              <w:jc w:val="center"/>
              <w:rPr>
                <w:sz w:val="16"/>
              </w:rPr>
            </w:pPr>
          </w:p>
        </w:tc>
        <w:tc>
          <w:tcPr>
            <w:tcW w:w="709" w:type="dxa"/>
          </w:tcPr>
          <w:p>
            <w:pPr>
              <w:pStyle w:val="Table"/>
              <w:spacing w:line="240" w:lineRule="auto"/>
              <w:jc w:val="center"/>
              <w:rPr>
                <w:sz w:val="16"/>
              </w:rPr>
            </w:pPr>
          </w:p>
        </w:tc>
        <w:tc>
          <w:tcPr>
            <w:tcW w:w="656" w:type="dxa"/>
          </w:tcPr>
          <w:p>
            <w:pPr>
              <w:pStyle w:val="Table"/>
              <w:spacing w:line="240" w:lineRule="auto"/>
              <w:jc w:val="center"/>
              <w:rPr>
                <w:sz w:val="16"/>
              </w:rPr>
            </w:pPr>
          </w:p>
        </w:tc>
        <w:tc>
          <w:tcPr>
            <w:tcW w:w="531" w:type="dxa"/>
            <w:tcBorders>
              <w:right w:val="nil"/>
            </w:tcBorders>
          </w:tcPr>
          <w:p>
            <w:pPr>
              <w:pStyle w:val="Table"/>
              <w:spacing w:line="240" w:lineRule="auto"/>
              <w:jc w:val="center"/>
              <w:rPr>
                <w:sz w:val="16"/>
              </w:rPr>
            </w:pPr>
          </w:p>
        </w:tc>
      </w:tr>
    </w:tbl>
    <w:p>
      <w:pPr>
        <w:pStyle w:val="MiscellaneousHeading"/>
        <w:spacing w:before="240"/>
        <w:rPr>
          <w:snapToGrid w:val="0"/>
        </w:rPr>
      </w:pPr>
      <w:r>
        <w:rPr>
          <w:snapToGrid w:val="0"/>
        </w:rPr>
        <w:t>Schedule C</w:t>
      </w:r>
    </w:p>
    <w:p>
      <w:pPr>
        <w:pStyle w:val="MiscellaneousBody"/>
        <w:spacing w:before="120"/>
        <w:jc w:val="center"/>
        <w:rPr>
          <w:i/>
          <w:snapToGrid w:val="0"/>
        </w:rPr>
      </w:pPr>
      <w:r>
        <w:rPr>
          <w:i/>
          <w:snapToGrid w:val="0"/>
        </w:rPr>
        <w:t>Weights and Measures Act 1915</w:t>
      </w:r>
    </w:p>
    <w:p>
      <w:pPr>
        <w:pStyle w:val="MiscellaneousBody"/>
        <w:spacing w:before="120"/>
        <w:jc w:val="center"/>
        <w:rPr>
          <w:i/>
          <w:snapToGrid w:val="0"/>
        </w:rPr>
      </w:pPr>
      <w:r>
        <w:rPr>
          <w:i/>
          <w:snapToGrid w:val="0"/>
        </w:rPr>
        <w:t>Requisition for Registration of a Public Weighing Instrument</w:t>
      </w:r>
    </w:p>
    <w:p>
      <w:pPr>
        <w:pStyle w:val="MiscellaneousBody"/>
        <w:spacing w:before="120"/>
        <w:rPr>
          <w:snapToGrid w:val="0"/>
          <w:sz w:val="22"/>
        </w:rPr>
      </w:pPr>
      <w:r>
        <w:rPr>
          <w:snapToGrid w:val="0"/>
          <w:sz w:val="22"/>
        </w:rPr>
        <w:t>To the Chief Inspector Perth.</w:t>
      </w:r>
    </w:p>
    <w:p>
      <w:pPr>
        <w:pStyle w:val="MiscellaneousBody"/>
        <w:tabs>
          <w:tab w:val="left" w:pos="567"/>
        </w:tabs>
        <w:rPr>
          <w:snapToGrid w:val="0"/>
          <w:sz w:val="22"/>
        </w:rPr>
      </w:pPr>
      <w:r>
        <w:rPr>
          <w:snapToGrid w:val="0"/>
          <w:sz w:val="22"/>
        </w:rPr>
        <w:tab/>
        <w:t xml:space="preserve">I </w:t>
      </w:r>
      <w:r>
        <w:rPr>
          <w:i/>
          <w:snapToGrid w:val="0"/>
          <w:sz w:val="22"/>
        </w:rPr>
        <w:t>[full name]</w:t>
      </w:r>
    </w:p>
    <w:p>
      <w:pPr>
        <w:pStyle w:val="MiscellaneousBody"/>
        <w:spacing w:before="0"/>
        <w:rPr>
          <w:i/>
          <w:snapToGrid w:val="0"/>
          <w:sz w:val="22"/>
        </w:rPr>
      </w:pPr>
      <w:r>
        <w:rPr>
          <w:snapToGrid w:val="0"/>
          <w:sz w:val="22"/>
        </w:rPr>
        <w:t xml:space="preserve">of </w:t>
      </w:r>
      <w:r>
        <w:rPr>
          <w:i/>
          <w:snapToGrid w:val="0"/>
          <w:sz w:val="22"/>
        </w:rPr>
        <w:t>[full address]</w:t>
      </w:r>
    </w:p>
    <w:p>
      <w:pPr>
        <w:pStyle w:val="MiscellaneousBody"/>
        <w:spacing w:before="0"/>
        <w:rPr>
          <w:snapToGrid w:val="0"/>
          <w:sz w:val="22"/>
        </w:rPr>
      </w:pPr>
      <w:r>
        <w:rPr>
          <w:snapToGrid w:val="0"/>
          <w:sz w:val="22"/>
        </w:rPr>
        <w:t xml:space="preserve">being the (a) owner (or lessee) of a weighing instrument situate at ..................... </w:t>
      </w:r>
      <w:r>
        <w:rPr>
          <w:snapToGrid w:val="0"/>
          <w:sz w:val="22"/>
        </w:rPr>
        <w:br/>
        <w:t>............................................... and described hereunder, hereby apply to register such instrument as a Public Weighing Instrument.</w:t>
      </w:r>
    </w:p>
    <w:p>
      <w:pPr>
        <w:pStyle w:val="MiscellaneousBody"/>
        <w:keepNext/>
        <w:tabs>
          <w:tab w:val="left" w:pos="567"/>
        </w:tabs>
        <w:rPr>
          <w:snapToGrid w:val="0"/>
          <w:sz w:val="22"/>
        </w:rPr>
      </w:pPr>
      <w:r>
        <w:rPr>
          <w:snapToGrid w:val="0"/>
          <w:sz w:val="22"/>
        </w:rPr>
        <w:tab/>
        <w:t xml:space="preserve">Description </w:t>
      </w:r>
      <w:r>
        <w:rPr>
          <w:i/>
          <w:snapToGrid w:val="0"/>
          <w:sz w:val="22"/>
        </w:rPr>
        <w:t>[Weighbridge]</w:t>
      </w:r>
    </w:p>
    <w:p>
      <w:pPr>
        <w:pStyle w:val="MiscellaneousBody"/>
        <w:tabs>
          <w:tab w:val="left" w:pos="567"/>
        </w:tabs>
        <w:spacing w:before="0"/>
        <w:rPr>
          <w:snapToGrid w:val="0"/>
          <w:sz w:val="22"/>
        </w:rPr>
      </w:pPr>
      <w:r>
        <w:rPr>
          <w:snapToGrid w:val="0"/>
          <w:sz w:val="22"/>
        </w:rPr>
        <w:tab/>
        <w:t>Maker</w:t>
      </w:r>
    </w:p>
    <w:p>
      <w:pPr>
        <w:pStyle w:val="MiscellaneousBody"/>
        <w:tabs>
          <w:tab w:val="left" w:pos="567"/>
        </w:tabs>
        <w:spacing w:before="0"/>
        <w:rPr>
          <w:snapToGrid w:val="0"/>
          <w:sz w:val="22"/>
        </w:rPr>
      </w:pPr>
      <w:r>
        <w:rPr>
          <w:snapToGrid w:val="0"/>
          <w:sz w:val="22"/>
        </w:rPr>
        <w:tab/>
        <w:t>Capacity</w:t>
      </w:r>
    </w:p>
    <w:p>
      <w:pPr>
        <w:pStyle w:val="MiscellaneousBody"/>
        <w:tabs>
          <w:tab w:val="left" w:pos="567"/>
        </w:tabs>
        <w:spacing w:before="0"/>
        <w:rPr>
          <w:snapToGrid w:val="0"/>
          <w:sz w:val="22"/>
        </w:rPr>
      </w:pPr>
      <w:r>
        <w:rPr>
          <w:snapToGrid w:val="0"/>
          <w:sz w:val="22"/>
        </w:rPr>
        <w:tab/>
        <w:t>(b) Type.</w:t>
      </w:r>
    </w:p>
    <w:p>
      <w:pPr>
        <w:pStyle w:val="MiscellaneousBody"/>
        <w:jc w:val="right"/>
        <w:rPr>
          <w:i/>
          <w:snapToGrid w:val="0"/>
          <w:sz w:val="22"/>
        </w:rPr>
      </w:pPr>
      <w:r>
        <w:rPr>
          <w:i/>
          <w:snapToGrid w:val="0"/>
          <w:sz w:val="22"/>
        </w:rPr>
        <w:t>[Signature]</w:t>
      </w:r>
    </w:p>
    <w:p>
      <w:pPr>
        <w:pStyle w:val="MiscellaneousBody"/>
        <w:jc w:val="center"/>
        <w:rPr>
          <w:i/>
          <w:snapToGrid w:val="0"/>
        </w:rPr>
      </w:pPr>
      <w:r>
        <w:rPr>
          <w:i/>
          <w:snapToGrid w:val="0"/>
        </w:rPr>
        <w:t>Certificate of Approval.</w:t>
      </w:r>
    </w:p>
    <w:p>
      <w:pPr>
        <w:pStyle w:val="Subsection"/>
        <w:tabs>
          <w:tab w:val="clear" w:pos="595"/>
          <w:tab w:val="clear" w:pos="879"/>
          <w:tab w:val="left" w:pos="567"/>
        </w:tabs>
        <w:ind w:left="0" w:firstLine="0"/>
        <w:rPr>
          <w:snapToGrid w:val="0"/>
          <w:sz w:val="22"/>
        </w:rPr>
      </w:pPr>
      <w:r>
        <w:rPr>
          <w:snapToGrid w:val="0"/>
          <w:sz w:val="22"/>
        </w:rPr>
        <w:tab/>
        <w:t xml:space="preserve">(c) The instrument described above is of a type and strength suitable for public weighing, is suitably situated, and was verified and found correct </w:t>
      </w:r>
      <w:r>
        <w:rPr>
          <w:snapToGrid w:val="0"/>
          <w:sz w:val="22"/>
        </w:rPr>
        <w:br/>
        <w:t>on                                     , 20       .</w:t>
      </w:r>
    </w:p>
    <w:p>
      <w:pPr>
        <w:pStyle w:val="MiscellaneousBody"/>
        <w:spacing w:before="80"/>
        <w:jc w:val="right"/>
        <w:rPr>
          <w:snapToGrid w:val="0"/>
          <w:sz w:val="22"/>
        </w:rPr>
      </w:pPr>
      <w:r>
        <w:rPr>
          <w:snapToGrid w:val="0"/>
          <w:sz w:val="22"/>
        </w:rPr>
        <w:t>Inspector of Weights and Measures.</w:t>
      </w:r>
    </w:p>
    <w:p>
      <w:pPr>
        <w:pStyle w:val="MiscellaneousBody"/>
        <w:tabs>
          <w:tab w:val="left" w:pos="2835"/>
        </w:tabs>
        <w:spacing w:before="80"/>
        <w:rPr>
          <w:snapToGrid w:val="0"/>
          <w:sz w:val="22"/>
        </w:rPr>
      </w:pPr>
      <w:r>
        <w:rPr>
          <w:snapToGrid w:val="0"/>
          <w:sz w:val="22"/>
        </w:rPr>
        <w:t xml:space="preserve">Issued </w:t>
      </w:r>
      <w:r>
        <w:rPr>
          <w:snapToGrid w:val="0"/>
          <w:sz w:val="22"/>
        </w:rPr>
        <w:tab/>
        <w:t>Registered Certificate No.</w:t>
      </w:r>
    </w:p>
    <w:p>
      <w:pPr>
        <w:pStyle w:val="MiscellaneousBody"/>
        <w:spacing w:before="80"/>
        <w:rPr>
          <w:snapToGrid w:val="0"/>
          <w:sz w:val="22"/>
        </w:rPr>
      </w:pPr>
      <w:r>
        <w:rPr>
          <w:snapToGrid w:val="0"/>
          <w:sz w:val="22"/>
        </w:rPr>
        <w:t>Reference No.</w:t>
      </w:r>
    </w:p>
    <w:p>
      <w:pPr>
        <w:pStyle w:val="MiscellaneousBody"/>
        <w:spacing w:before="80"/>
        <w:jc w:val="right"/>
        <w:rPr>
          <w:snapToGrid w:val="0"/>
          <w:sz w:val="22"/>
        </w:rPr>
      </w:pPr>
      <w:r>
        <w:rPr>
          <w:snapToGrid w:val="0"/>
          <w:sz w:val="22"/>
        </w:rPr>
        <w:t>Chief Inspector.</w:t>
      </w:r>
    </w:p>
    <w:p>
      <w:pPr>
        <w:pStyle w:val="MiscellaneousBody"/>
        <w:tabs>
          <w:tab w:val="left" w:pos="567"/>
          <w:tab w:val="left" w:pos="1134"/>
        </w:tabs>
        <w:spacing w:before="80"/>
        <w:ind w:left="1134" w:hanging="1134"/>
        <w:rPr>
          <w:snapToGrid w:val="0"/>
          <w:sz w:val="22"/>
        </w:rPr>
      </w:pPr>
      <w:r>
        <w:rPr>
          <w:snapToGrid w:val="0"/>
          <w:sz w:val="22"/>
        </w:rPr>
        <w:tab/>
        <w:t>(a)</w:t>
      </w:r>
      <w:r>
        <w:rPr>
          <w:snapToGrid w:val="0"/>
          <w:sz w:val="22"/>
        </w:rPr>
        <w:tab/>
        <w:t>Strike out the portion inapplicable.</w:t>
      </w:r>
    </w:p>
    <w:p>
      <w:pPr>
        <w:pStyle w:val="MiscellaneousBody"/>
        <w:tabs>
          <w:tab w:val="left" w:pos="567"/>
          <w:tab w:val="left" w:pos="1134"/>
        </w:tabs>
        <w:spacing w:before="80"/>
        <w:ind w:left="1134" w:hanging="1134"/>
        <w:rPr>
          <w:snapToGrid w:val="0"/>
          <w:sz w:val="22"/>
        </w:rPr>
      </w:pPr>
      <w:r>
        <w:rPr>
          <w:snapToGrid w:val="0"/>
          <w:sz w:val="22"/>
        </w:rPr>
        <w:tab/>
        <w:t>(b)</w:t>
      </w:r>
      <w:r>
        <w:rPr>
          <w:snapToGrid w:val="0"/>
          <w:sz w:val="22"/>
        </w:rPr>
        <w:tab/>
        <w:t>State whether instrument is of “dial” or “quadrant”, “no loose weight”, or “proportional weight” type; if of latter type state amount represented by proportional weights and amount shown on steelyard; state whether platform is of iron or wood.</w:t>
      </w:r>
    </w:p>
    <w:p>
      <w:pPr>
        <w:pStyle w:val="MiscellaneousBody"/>
        <w:tabs>
          <w:tab w:val="left" w:pos="567"/>
          <w:tab w:val="left" w:pos="1134"/>
        </w:tabs>
        <w:spacing w:before="80"/>
        <w:ind w:left="1134" w:hanging="1134"/>
        <w:rPr>
          <w:snapToGrid w:val="0"/>
          <w:sz w:val="22"/>
        </w:rPr>
      </w:pPr>
      <w:r>
        <w:rPr>
          <w:snapToGrid w:val="0"/>
          <w:sz w:val="22"/>
        </w:rPr>
        <w:tab/>
        <w:t>(c)</w:t>
      </w:r>
      <w:r>
        <w:rPr>
          <w:snapToGrid w:val="0"/>
          <w:sz w:val="22"/>
        </w:rPr>
        <w:tab/>
        <w:t>If inspector does not approve the instrument, he will fully report particulars of his objection on back of requisition.</w:t>
      </w:r>
    </w:p>
    <w:p>
      <w:pPr>
        <w:pStyle w:val="Footnotesection"/>
      </w:pPr>
      <w:r>
        <w:tab/>
        <w:t xml:space="preserve">[Schedule C amended in Gazette 9 Sep 1968 p. 2744; 31 Aug 1984 p. 2829.] </w:t>
      </w:r>
    </w:p>
    <w:p>
      <w:pPr>
        <w:pStyle w:val="MiscellaneousHeading"/>
        <w:pageBreakBefore/>
        <w:rPr>
          <w:snapToGrid w:val="0"/>
        </w:rPr>
      </w:pPr>
      <w:r>
        <w:rPr>
          <w:snapToGrid w:val="0"/>
        </w:rPr>
        <w:t>Schedule D</w:t>
      </w:r>
    </w:p>
    <w:p>
      <w:pPr>
        <w:pStyle w:val="MiscellaneousBody"/>
        <w:jc w:val="center"/>
        <w:rPr>
          <w:i/>
          <w:snapToGrid w:val="0"/>
        </w:rPr>
      </w:pPr>
      <w:r>
        <w:rPr>
          <w:i/>
          <w:snapToGrid w:val="0"/>
        </w:rPr>
        <w:t>Weights and Measures Act 1915</w:t>
      </w:r>
    </w:p>
    <w:p>
      <w:pPr>
        <w:pStyle w:val="MiscellaneousBody"/>
        <w:jc w:val="center"/>
        <w:rPr>
          <w:snapToGrid w:val="0"/>
        </w:rPr>
      </w:pPr>
      <w:r>
        <w:rPr>
          <w:snapToGrid w:val="0"/>
        </w:rPr>
        <w:t>Requisition for License as a Public Weighman</w:t>
      </w:r>
    </w:p>
    <w:p>
      <w:pPr>
        <w:pStyle w:val="MiscellaneousBody"/>
        <w:rPr>
          <w:snapToGrid w:val="0"/>
          <w:sz w:val="22"/>
        </w:rPr>
      </w:pPr>
      <w:r>
        <w:rPr>
          <w:snapToGrid w:val="0"/>
          <w:sz w:val="22"/>
        </w:rPr>
        <w:t>To the Chief Inspector, Perth.</w:t>
      </w:r>
    </w:p>
    <w:p>
      <w:pPr>
        <w:pStyle w:val="MiscellaneousBody"/>
        <w:tabs>
          <w:tab w:val="left" w:pos="3402"/>
        </w:tabs>
        <w:ind w:firstLine="567"/>
        <w:rPr>
          <w:snapToGrid w:val="0"/>
          <w:sz w:val="22"/>
        </w:rPr>
      </w:pPr>
      <w:r>
        <w:rPr>
          <w:snapToGrid w:val="0"/>
          <w:sz w:val="22"/>
        </w:rPr>
        <w:t xml:space="preserve">I </w:t>
      </w:r>
      <w:r>
        <w:rPr>
          <w:i/>
          <w:snapToGrid w:val="0"/>
          <w:sz w:val="22"/>
        </w:rPr>
        <w:t>[Name in full]</w:t>
      </w:r>
      <w:r>
        <w:rPr>
          <w:i/>
          <w:snapToGrid w:val="0"/>
          <w:sz w:val="22"/>
        </w:rPr>
        <w:tab/>
        <w:t>[address]</w:t>
      </w:r>
    </w:p>
    <w:p>
      <w:pPr>
        <w:pStyle w:val="MiscellaneousBody"/>
        <w:spacing w:before="0"/>
        <w:rPr>
          <w:snapToGrid w:val="0"/>
          <w:sz w:val="22"/>
        </w:rPr>
      </w:pPr>
      <w:r>
        <w:rPr>
          <w:snapToGrid w:val="0"/>
          <w:sz w:val="22"/>
        </w:rPr>
        <w:t>hereby apply for a License to act as Weighman at a Public Weighbridge.</w:t>
      </w:r>
    </w:p>
    <w:p>
      <w:pPr>
        <w:pStyle w:val="MiscellaneousBody"/>
        <w:jc w:val="right"/>
        <w:rPr>
          <w:snapToGrid w:val="0"/>
          <w:sz w:val="22"/>
        </w:rPr>
      </w:pPr>
      <w:r>
        <w:rPr>
          <w:snapToGrid w:val="0"/>
          <w:sz w:val="22"/>
        </w:rPr>
        <w:t>.......................................</w:t>
      </w:r>
    </w:p>
    <w:p>
      <w:pPr>
        <w:pStyle w:val="MiscellaneousBody"/>
        <w:spacing w:before="0" w:after="120"/>
        <w:jc w:val="right"/>
        <w:rPr>
          <w:i/>
          <w:snapToGrid w:val="0"/>
          <w:sz w:val="22"/>
        </w:rPr>
      </w:pPr>
      <w:r>
        <w:rPr>
          <w:i/>
          <w:snapToGrid w:val="0"/>
          <w:sz w:val="22"/>
        </w:rPr>
        <w:t>[Signature]</w:t>
      </w:r>
    </w:p>
    <w:tbl>
      <w:tblPr>
        <w:tblW w:w="0" w:type="auto"/>
        <w:tblInd w:w="85" w:type="dxa"/>
        <w:tblBorders>
          <w:top w:val="single" w:sz="4" w:space="0" w:color="auto"/>
          <w:bottom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45"/>
        <w:gridCol w:w="1843"/>
      </w:tblGrid>
      <w:tr>
        <w:trPr>
          <w:tblHeader/>
        </w:trPr>
        <w:tc>
          <w:tcPr>
            <w:tcW w:w="5245" w:type="dxa"/>
          </w:tcPr>
          <w:p>
            <w:pPr>
              <w:pStyle w:val="Table"/>
              <w:jc w:val="center"/>
              <w:rPr>
                <w:sz w:val="18"/>
              </w:rPr>
            </w:pPr>
            <w:r>
              <w:rPr>
                <w:sz w:val="18"/>
              </w:rPr>
              <w:t>Questions applicant is required to answer before issue of license.</w:t>
            </w:r>
          </w:p>
        </w:tc>
        <w:tc>
          <w:tcPr>
            <w:tcW w:w="1843" w:type="dxa"/>
          </w:tcPr>
          <w:p>
            <w:pPr>
              <w:pStyle w:val="Table"/>
              <w:jc w:val="center"/>
              <w:rPr>
                <w:sz w:val="18"/>
              </w:rPr>
            </w:pPr>
            <w:r>
              <w:rPr>
                <w:sz w:val="18"/>
              </w:rPr>
              <w:t>Answers.</w:t>
            </w:r>
          </w:p>
        </w:tc>
      </w:tr>
      <w:tr>
        <w:tc>
          <w:tcPr>
            <w:tcW w:w="5245" w:type="dxa"/>
          </w:tcPr>
          <w:p>
            <w:pPr>
              <w:pStyle w:val="Table"/>
              <w:tabs>
                <w:tab w:val="left" w:pos="567"/>
              </w:tabs>
              <w:ind w:left="567" w:hanging="567"/>
              <w:rPr>
                <w:sz w:val="18"/>
              </w:rPr>
            </w:pPr>
            <w:r>
              <w:rPr>
                <w:sz w:val="18"/>
              </w:rPr>
              <w:t>(1)</w:t>
            </w:r>
            <w:r>
              <w:rPr>
                <w:sz w:val="18"/>
              </w:rPr>
              <w:tab/>
              <w:t>Are your christian name, surname, and address correctly stated?</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(2)</w:t>
            </w:r>
            <w:r>
              <w:rPr>
                <w:sz w:val="18"/>
              </w:rPr>
              <w:tab/>
              <w:t>What is the date and place of your birth?</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(3)</w:t>
            </w:r>
            <w:r>
              <w:rPr>
                <w:sz w:val="18"/>
              </w:rPr>
              <w:tab/>
              <w:t>Have you previously been licensed as a Public Weighman? If yes, when and where.</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(4)</w:t>
            </w:r>
            <w:r>
              <w:rPr>
                <w:sz w:val="18"/>
              </w:rPr>
              <w:tab/>
              <w:t>Have you previously been examined as a Public Weighman? If yes, when and where.</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(5)</w:t>
            </w:r>
            <w:r>
              <w:rPr>
                <w:sz w:val="18"/>
              </w:rPr>
              <w:tab/>
              <w:t>Have you ever been convicted of a criminal offence or offence under the Weights and Measures Act or Regulations? If yes, show particulars.</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(6)</w:t>
            </w:r>
            <w:r>
              <w:rPr>
                <w:sz w:val="18"/>
              </w:rPr>
              <w:tab/>
              <w:t>By whom are you at present employed?</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(7)</w:t>
            </w:r>
            <w:r>
              <w:rPr>
                <w:sz w:val="18"/>
              </w:rPr>
              <w:tab/>
              <w:t>By whom were you last employed?</w:t>
            </w:r>
          </w:p>
        </w:tc>
        <w:tc>
          <w:tcPr>
            <w:tcW w:w="1843" w:type="dxa"/>
          </w:tcPr>
          <w:p>
            <w:pPr>
              <w:pStyle w:val="Table"/>
              <w:rPr>
                <w:sz w:val="18"/>
              </w:rPr>
            </w:pPr>
          </w:p>
        </w:tc>
      </w:tr>
      <w:tr>
        <w:tc>
          <w:tcPr>
            <w:tcW w:w="5245" w:type="dxa"/>
          </w:tcPr>
          <w:p>
            <w:pPr>
              <w:pStyle w:val="Table"/>
              <w:keepNext/>
              <w:keepLines/>
              <w:tabs>
                <w:tab w:val="left" w:pos="567"/>
              </w:tabs>
              <w:ind w:left="567" w:hanging="567"/>
              <w:rPr>
                <w:sz w:val="18"/>
              </w:rPr>
            </w:pPr>
            <w:r>
              <w:rPr>
                <w:sz w:val="18"/>
              </w:rPr>
              <w:t>(8)</w:t>
            </w:r>
            <w:r>
              <w:rPr>
                <w:sz w:val="18"/>
              </w:rPr>
              <w:tab/>
              <w:t>By whom are you to be employed if License as Weighman is granted?</w:t>
            </w:r>
          </w:p>
        </w:tc>
        <w:tc>
          <w:tcPr>
            <w:tcW w:w="1843" w:type="dxa"/>
          </w:tcPr>
          <w:p>
            <w:pPr>
              <w:pStyle w:val="Table"/>
              <w:keepNext/>
              <w:keepLines/>
              <w:rPr>
                <w:sz w:val="18"/>
              </w:rPr>
            </w:pPr>
          </w:p>
        </w:tc>
      </w:tr>
    </w:tbl>
    <w:p>
      <w:pPr>
        <w:pStyle w:val="MiscellaneousBody"/>
        <w:rPr>
          <w:snapToGrid w:val="0"/>
          <w:sz w:val="22"/>
        </w:rPr>
      </w:pPr>
      <w:r>
        <w:rPr>
          <w:snapToGrid w:val="0"/>
          <w:sz w:val="22"/>
        </w:rPr>
        <w:t>The answers to the foregoing questions are correct.</w:t>
      </w:r>
    </w:p>
    <w:p>
      <w:pPr>
        <w:pStyle w:val="MiscellaneousBody"/>
        <w:jc w:val="right"/>
        <w:rPr>
          <w:snapToGrid w:val="0"/>
          <w:sz w:val="22"/>
        </w:rPr>
      </w:pPr>
      <w:r>
        <w:rPr>
          <w:snapToGrid w:val="0"/>
          <w:sz w:val="22"/>
        </w:rPr>
        <w:t xml:space="preserve">........................................................... </w:t>
      </w:r>
    </w:p>
    <w:p>
      <w:pPr>
        <w:pStyle w:val="MiscellaneousBody"/>
        <w:spacing w:before="0"/>
        <w:jc w:val="right"/>
        <w:rPr>
          <w:snapToGrid w:val="0"/>
          <w:sz w:val="22"/>
        </w:rPr>
      </w:pPr>
      <w:r>
        <w:rPr>
          <w:snapToGrid w:val="0"/>
          <w:sz w:val="22"/>
        </w:rPr>
        <w:t>[</w:t>
      </w:r>
      <w:r>
        <w:rPr>
          <w:i/>
          <w:snapToGrid w:val="0"/>
          <w:sz w:val="22"/>
        </w:rPr>
        <w:t>Signature</w:t>
      </w:r>
      <w:r>
        <w:rPr>
          <w:snapToGrid w:val="0"/>
          <w:sz w:val="22"/>
        </w:rPr>
        <w:t xml:space="preserve">] </w:t>
      </w:r>
    </w:p>
    <w:p>
      <w:pPr>
        <w:pStyle w:val="MiscellaneousBody"/>
        <w:rPr>
          <w:snapToGrid w:val="0"/>
          <w:sz w:val="22"/>
        </w:rPr>
      </w:pPr>
      <w:r>
        <w:rPr>
          <w:snapToGrid w:val="0"/>
          <w:sz w:val="22"/>
        </w:rPr>
        <w:t>Witness — .............................................</w:t>
      </w:r>
    </w:p>
    <w:p>
      <w:pPr>
        <w:pStyle w:val="Footnotesection"/>
        <w:tabs>
          <w:tab w:val="clear" w:pos="893"/>
        </w:tabs>
        <w:ind w:left="0" w:firstLine="0"/>
      </w:pPr>
      <w:r>
        <w:t xml:space="preserve">[Schedule D amended in Gazette 9 Sep 1968 p. 2744; 31 Aug 1984 p. 2829.] </w:t>
      </w:r>
    </w:p>
    <w:p>
      <w:pPr>
        <w:pStyle w:val="MiscellaneousHeading"/>
        <w:pageBreakBefore/>
        <w:rPr>
          <w:snapToGrid w:val="0"/>
        </w:rPr>
      </w:pPr>
      <w:r>
        <w:rPr>
          <w:snapToGrid w:val="0"/>
        </w:rPr>
        <w:t>Schedule E</w:t>
      </w:r>
    </w:p>
    <w:p>
      <w:pPr>
        <w:pStyle w:val="MiscellaneousBody"/>
        <w:jc w:val="center"/>
        <w:rPr>
          <w:i/>
          <w:snapToGrid w:val="0"/>
        </w:rPr>
      </w:pPr>
      <w:r>
        <w:rPr>
          <w:i/>
          <w:snapToGrid w:val="0"/>
        </w:rPr>
        <w:t>Weights and Measures Act 1915</w:t>
      </w:r>
    </w:p>
    <w:p>
      <w:pPr>
        <w:pStyle w:val="MiscellaneousBody"/>
        <w:jc w:val="center"/>
        <w:rPr>
          <w:snapToGrid w:val="0"/>
        </w:rPr>
      </w:pPr>
      <w:r>
        <w:rPr>
          <w:snapToGrid w:val="0"/>
        </w:rPr>
        <w:t>PUBLIC WEIGHMAN’S LICENSE</w:t>
      </w:r>
    </w:p>
    <w:p>
      <w:pPr>
        <w:pStyle w:val="MiscellaneousBody"/>
        <w:rPr>
          <w:snapToGrid w:val="0"/>
          <w:sz w:val="22"/>
        </w:rPr>
      </w:pPr>
      <w:r>
        <w:rPr>
          <w:snapToGrid w:val="0"/>
          <w:sz w:val="22"/>
        </w:rPr>
        <w:t>................................., of ......................................., is hereby licensed as a public weighman for the year ending the ..................... day of ....................., 20 ...........</w:t>
      </w:r>
    </w:p>
    <w:p>
      <w:pPr>
        <w:pStyle w:val="MiscellaneousBody"/>
        <w:rPr>
          <w:snapToGrid w:val="0"/>
          <w:sz w:val="22"/>
        </w:rPr>
      </w:pPr>
      <w:r>
        <w:rPr>
          <w:snapToGrid w:val="0"/>
          <w:sz w:val="22"/>
        </w:rPr>
        <w:t>Dated this ..................... day of ....................., 20 .............</w:t>
      </w:r>
    </w:p>
    <w:p>
      <w:pPr>
        <w:pStyle w:val="MiscellaneousBody"/>
        <w:rPr>
          <w:snapToGrid w:val="0"/>
          <w:sz w:val="22"/>
        </w:rPr>
      </w:pPr>
      <w:r>
        <w:rPr>
          <w:snapToGrid w:val="0"/>
          <w:sz w:val="22"/>
        </w:rPr>
        <w:t>Fee ...............................</w:t>
      </w:r>
    </w:p>
    <w:p>
      <w:pPr>
        <w:pStyle w:val="MiscellaneousBody"/>
        <w:jc w:val="right"/>
        <w:rPr>
          <w:snapToGrid w:val="0"/>
          <w:sz w:val="22"/>
        </w:rPr>
      </w:pPr>
      <w:r>
        <w:rPr>
          <w:snapToGrid w:val="0"/>
          <w:sz w:val="22"/>
        </w:rPr>
        <w:t>.............................................</w:t>
      </w:r>
    </w:p>
    <w:p>
      <w:pPr>
        <w:pStyle w:val="MiscellaneousBody"/>
        <w:spacing w:before="0"/>
        <w:jc w:val="right"/>
        <w:outlineLvl w:val="0"/>
        <w:rPr>
          <w:snapToGrid w:val="0"/>
          <w:sz w:val="22"/>
        </w:rPr>
      </w:pPr>
      <w:r>
        <w:rPr>
          <w:snapToGrid w:val="0"/>
          <w:sz w:val="22"/>
        </w:rPr>
        <w:t>Chief Inspector</w:t>
      </w:r>
    </w:p>
    <w:p>
      <w:pPr>
        <w:pStyle w:val="Footnotesection"/>
        <w:tabs>
          <w:tab w:val="clear" w:pos="893"/>
        </w:tabs>
        <w:ind w:left="0" w:firstLine="0"/>
      </w:pPr>
      <w:r>
        <w:t xml:space="preserve">[Schedule E inserted in Gazette 23 May 1960 p. 1407; amended in Gazette 9 Sep 1968 p. 2744; 31 Aug 1984 p. 2829.] </w:t>
      </w:r>
    </w:p>
    <w:p>
      <w:pPr>
        <w:pStyle w:val="Heading2"/>
      </w:pPr>
      <w:bookmarkStart w:id="213" w:name="_Toc390077238"/>
      <w:r>
        <w:rPr>
          <w:rStyle w:val="CharPartNo"/>
        </w:rPr>
        <w:t>Part XA</w:t>
      </w:r>
      <w:r>
        <w:rPr>
          <w:rStyle w:val="CharDivNo"/>
        </w:rPr>
        <w:t> </w:t>
      </w:r>
      <w:r>
        <w:t xml:space="preserve">— </w:t>
      </w:r>
      <w:r>
        <w:rPr>
          <w:rStyle w:val="CharPartText"/>
        </w:rPr>
        <w:t>Sale of earth, sand, etc.</w:t>
      </w:r>
      <w:bookmarkEnd w:id="213"/>
      <w:r>
        <w:rPr>
          <w:rStyle w:val="CharPartText"/>
        </w:rPr>
        <w:t xml:space="preserve"> </w:t>
      </w:r>
    </w:p>
    <w:p>
      <w:pPr>
        <w:pStyle w:val="Heading5"/>
        <w:rPr>
          <w:snapToGrid w:val="0"/>
        </w:rPr>
      </w:pPr>
      <w:bookmarkStart w:id="214" w:name="_Toc390077239"/>
      <w:r>
        <w:rPr>
          <w:rStyle w:val="CharSectno"/>
        </w:rPr>
        <w:t>1</w:t>
      </w:r>
      <w:r>
        <w:rPr>
          <w:snapToGrid w:val="0"/>
        </w:rPr>
        <w:t>.</w:t>
      </w:r>
      <w:r>
        <w:rPr>
          <w:snapToGrid w:val="0"/>
        </w:rPr>
        <w:tab/>
        <w:t>Earth etc. to be measured by weight or volume</w:t>
      </w:r>
      <w:bookmarkEnd w:id="214"/>
    </w:p>
    <w:p>
      <w:pPr>
        <w:pStyle w:val="Subsection"/>
        <w:rPr>
          <w:snapToGrid w:val="0"/>
        </w:rPr>
      </w:pPr>
      <w:r>
        <w:rPr>
          <w:snapToGrid w:val="0"/>
        </w:rPr>
        <w:tab/>
      </w:r>
      <w:r>
        <w:rPr>
          <w:snapToGrid w:val="0"/>
        </w:rPr>
        <w:tab/>
        <w:t>The determination for purposes of trade of quantities of earth, sand, ballast, or manure, shall be in terms of weight or of cubic measure.</w:t>
      </w:r>
    </w:p>
    <w:p>
      <w:pPr>
        <w:pStyle w:val="Footnotesection"/>
      </w:pPr>
      <w:r>
        <w:tab/>
        <w:t xml:space="preserve">[Regulation 1 inserted in Gazette 23 May 1960 p. 1407.] </w:t>
      </w:r>
    </w:p>
    <w:p>
      <w:pPr>
        <w:pStyle w:val="Heading5"/>
        <w:rPr>
          <w:snapToGrid w:val="0"/>
        </w:rPr>
      </w:pPr>
      <w:bookmarkStart w:id="215" w:name="_Toc390077240"/>
      <w:r>
        <w:rPr>
          <w:rStyle w:val="CharSectno"/>
        </w:rPr>
        <w:t>2</w:t>
      </w:r>
      <w:r>
        <w:rPr>
          <w:snapToGrid w:val="0"/>
        </w:rPr>
        <w:t>.</w:t>
      </w:r>
      <w:r>
        <w:rPr>
          <w:snapToGrid w:val="0"/>
        </w:rPr>
        <w:tab/>
        <w:t>Obligations of seller, driver, etc.</w:t>
      </w:r>
      <w:bookmarkEnd w:id="215"/>
    </w:p>
    <w:p>
      <w:pPr>
        <w:pStyle w:val="Subsection"/>
        <w:rPr>
          <w:snapToGrid w:val="0"/>
        </w:rPr>
      </w:pPr>
      <w:r>
        <w:rPr>
          <w:snapToGrid w:val="0"/>
        </w:rPr>
        <w:tab/>
        <w:t>(1)</w:t>
      </w:r>
      <w:r>
        <w:rPr>
          <w:snapToGrid w:val="0"/>
        </w:rPr>
        <w:tab/>
        <w:t>In all instances where earth, sand, ballast, or manure is sold, the seller shall cause the correct weight or measure, as the case may be, to be clearly stated on a ticket bearing the name and address of both the seller and the purchaser and shall cause that ticket to be handled to the purchaser or his representative before any of such earth, sand, ballast or manure is unloaded.</w:t>
      </w:r>
    </w:p>
    <w:p>
      <w:pPr>
        <w:pStyle w:val="Subsection"/>
        <w:rPr>
          <w:snapToGrid w:val="0"/>
        </w:rPr>
      </w:pPr>
      <w:r>
        <w:rPr>
          <w:snapToGrid w:val="0"/>
        </w:rPr>
        <w:tab/>
        <w:t>(2)</w:t>
      </w:r>
      <w:r>
        <w:rPr>
          <w:snapToGrid w:val="0"/>
        </w:rPr>
        <w:tab/>
        <w:t>Unless the earth, sand, ballast or manure is delivered to the purchaser on the premises of the seller, the person in charge of any vehicle on which the earth, sand, ballast or manure is being delivered shall — </w:t>
      </w:r>
    </w:p>
    <w:p>
      <w:pPr>
        <w:pStyle w:val="Indenta"/>
        <w:rPr>
          <w:snapToGrid w:val="0"/>
        </w:rPr>
      </w:pPr>
      <w:r>
        <w:rPr>
          <w:snapToGrid w:val="0"/>
        </w:rPr>
        <w:tab/>
        <w:t>(a)</w:t>
      </w:r>
      <w:r>
        <w:rPr>
          <w:snapToGrid w:val="0"/>
        </w:rPr>
        <w:tab/>
        <w:t>at all times while he is in charge have a ticket on which all the prescribed particulars have been correctly entered;</w:t>
      </w:r>
    </w:p>
    <w:p>
      <w:pPr>
        <w:pStyle w:val="Indenta"/>
        <w:rPr>
          <w:snapToGrid w:val="0"/>
        </w:rPr>
      </w:pPr>
      <w:r>
        <w:rPr>
          <w:snapToGrid w:val="0"/>
        </w:rPr>
        <w:tab/>
        <w:t>(b)</w:t>
      </w:r>
      <w:r>
        <w:rPr>
          <w:snapToGrid w:val="0"/>
        </w:rPr>
        <w:tab/>
        <w:t>deliver that ticket to the purchaser or his representative before any earth, sand, ballast or manure is unloaded; and</w:t>
      </w:r>
    </w:p>
    <w:p>
      <w:pPr>
        <w:pStyle w:val="Indenta"/>
        <w:rPr>
          <w:snapToGrid w:val="0"/>
        </w:rPr>
      </w:pPr>
      <w:r>
        <w:rPr>
          <w:snapToGrid w:val="0"/>
        </w:rPr>
        <w:tab/>
        <w:t>(c)</w:t>
      </w:r>
      <w:r>
        <w:rPr>
          <w:snapToGrid w:val="0"/>
        </w:rPr>
        <w:tab/>
        <w:t>on demand produce the ticket to an inspector and promptly give to the inspector all necessary assistance and facilities for checking the quantity of earth, sand, ballast or manure on the vehicle, but if an inspector finds that the quantity of earth, sand, ballast or manure stated on any ticket is incorrect, he shall retain that ticket.</w:t>
      </w:r>
    </w:p>
    <w:p>
      <w:pPr>
        <w:pStyle w:val="Subsection"/>
        <w:rPr>
          <w:snapToGrid w:val="0"/>
        </w:rPr>
      </w:pPr>
      <w:r>
        <w:rPr>
          <w:snapToGrid w:val="0"/>
        </w:rPr>
        <w:tab/>
        <w:t>(3)</w:t>
      </w:r>
      <w:r>
        <w:rPr>
          <w:snapToGrid w:val="0"/>
        </w:rPr>
        <w:tab/>
        <w:t>Where earth, sand, ballast or manure is delivered or is being delivered to a purchaser it shall be no defence, in any case where it is alleged that measure has been, or is being given short of the quantity purported to be sold or delivered, to prove or allege that the shortage is due to consolidation in transit.</w:t>
      </w:r>
    </w:p>
    <w:p>
      <w:pPr>
        <w:pStyle w:val="Subsection"/>
        <w:tabs>
          <w:tab w:val="clear" w:pos="879"/>
          <w:tab w:val="right" w:pos="1332"/>
          <w:tab w:val="left" w:pos="1616"/>
        </w:tabs>
        <w:ind w:left="1616" w:hanging="1616"/>
        <w:rPr>
          <w:snapToGrid w:val="0"/>
        </w:rPr>
      </w:pPr>
      <w:r>
        <w:rPr>
          <w:snapToGrid w:val="0"/>
        </w:rPr>
        <w:tab/>
        <w:t>(4)</w:t>
      </w:r>
      <w:r>
        <w:rPr>
          <w:snapToGrid w:val="0"/>
        </w:rPr>
        <w:tab/>
        <w:t>(a)</w:t>
      </w:r>
      <w:r>
        <w:rPr>
          <w:snapToGrid w:val="0"/>
        </w:rPr>
        <w:tab/>
        <w:t>The capacity of any receptacle used for ascertaining the quantity of earth, sand, ballast or manure by cubic measurement whether or not fitted to or forming part of any vehicle, shall be ascertained by a method approved by the Chief Inspector in terms of cubic measurement.</w:t>
      </w:r>
    </w:p>
    <w:p>
      <w:pPr>
        <w:pStyle w:val="Indenta"/>
        <w:spacing w:before="160"/>
        <w:rPr>
          <w:snapToGrid w:val="0"/>
        </w:rPr>
      </w:pPr>
      <w:r>
        <w:rPr>
          <w:snapToGrid w:val="0"/>
        </w:rPr>
        <w:tab/>
        <w:t>(b)</w:t>
      </w:r>
      <w:r>
        <w:rPr>
          <w:snapToGrid w:val="0"/>
        </w:rPr>
        <w:tab/>
        <w:t>For the purpose of this subregulation any portion of a receptacle which may be used for such measurement shall be deemed to be a receptacle.</w:t>
      </w:r>
    </w:p>
    <w:p>
      <w:pPr>
        <w:pStyle w:val="Subsection"/>
        <w:rPr>
          <w:snapToGrid w:val="0"/>
        </w:rPr>
      </w:pPr>
      <w:r>
        <w:rPr>
          <w:snapToGrid w:val="0"/>
        </w:rPr>
        <w:tab/>
        <w:t>(5)</w:t>
      </w:r>
      <w:r>
        <w:rPr>
          <w:snapToGrid w:val="0"/>
        </w:rPr>
        <w:tab/>
        <w:t>Where one or more of the commodities described in this regulation is or are carried in bulk on any vehicle for delivery to different purchasers, the commodity or commodities for each purchaser shall be definitely separated by boards or other effective means, and on demand by an inspector the driver of the vehicle shall indicate the commodity or commodities which is or are to be delivered to each purchaser.</w:t>
      </w:r>
    </w:p>
    <w:p>
      <w:pPr>
        <w:pStyle w:val="Subsection"/>
        <w:rPr>
          <w:snapToGrid w:val="0"/>
        </w:rPr>
      </w:pPr>
      <w:r>
        <w:rPr>
          <w:snapToGrid w:val="0"/>
        </w:rPr>
        <w:tab/>
        <w:t>(6)</w:t>
      </w:r>
      <w:r>
        <w:rPr>
          <w:snapToGrid w:val="0"/>
        </w:rPr>
        <w:tab/>
        <w:t>The driver of a vehicle on which a commodity described in this regulation is being hawked or carried for delivery to a purchaser or from which such a commodity has recently been sold or delivered on demand by an inspector — </w:t>
      </w:r>
    </w:p>
    <w:p>
      <w:pPr>
        <w:pStyle w:val="Indenta"/>
        <w:rPr>
          <w:snapToGrid w:val="0"/>
        </w:rPr>
      </w:pPr>
      <w:r>
        <w:rPr>
          <w:snapToGrid w:val="0"/>
        </w:rPr>
        <w:tab/>
        <w:t>(a)</w:t>
      </w:r>
      <w:r>
        <w:rPr>
          <w:snapToGrid w:val="0"/>
        </w:rPr>
        <w:tab/>
        <w:t>shall drive the vehicle for the purpose of weighing the vehicle or all or part of its load a distance of not more than 5 miles to any street, premises, or place selected by the inspector; and</w:t>
      </w:r>
    </w:p>
    <w:p>
      <w:pPr>
        <w:pStyle w:val="Indenta"/>
        <w:rPr>
          <w:snapToGrid w:val="0"/>
        </w:rPr>
      </w:pPr>
      <w:r>
        <w:rPr>
          <w:snapToGrid w:val="0"/>
        </w:rPr>
        <w:tab/>
        <w:t>(b)</w:t>
      </w:r>
      <w:r>
        <w:rPr>
          <w:snapToGrid w:val="0"/>
        </w:rPr>
        <w:tab/>
        <w:t>shall permit the inspector to weigh the vehicle and all or any of the commodity on the vehicle; and</w:t>
      </w:r>
    </w:p>
    <w:p>
      <w:pPr>
        <w:pStyle w:val="Indenta"/>
        <w:rPr>
          <w:snapToGrid w:val="0"/>
        </w:rPr>
      </w:pPr>
      <w:r>
        <w:rPr>
          <w:snapToGrid w:val="0"/>
        </w:rPr>
        <w:tab/>
        <w:t>(c)</w:t>
      </w:r>
      <w:r>
        <w:rPr>
          <w:snapToGrid w:val="0"/>
        </w:rPr>
        <w:tab/>
        <w:t>shall render prompt and efficient assistance in the weighing and unloading and loading necessary or consequent on the weighing.</w:t>
      </w:r>
    </w:p>
    <w:p>
      <w:pPr>
        <w:pStyle w:val="Footnotesection"/>
      </w:pPr>
      <w:r>
        <w:tab/>
        <w:t>[Regulation 2 inserted in Gazette 23 May 1960 p. 1407</w:t>
      </w:r>
      <w:r>
        <w:noBreakHyphen/>
        <w:t xml:space="preserve">8; amended in Gazette 9 Sep 1968 p. 2744; 31 Aug 1984 p. 2829.] </w:t>
      </w:r>
    </w:p>
    <w:p>
      <w:pPr>
        <w:pStyle w:val="Heading2"/>
      </w:pPr>
      <w:bookmarkStart w:id="216" w:name="_Toc390077241"/>
      <w:r>
        <w:rPr>
          <w:rStyle w:val="CharPartNo"/>
        </w:rPr>
        <w:t>Part XB</w:t>
      </w:r>
      <w:r>
        <w:rPr>
          <w:rStyle w:val="CharDivNo"/>
        </w:rPr>
        <w:t> </w:t>
      </w:r>
      <w:r>
        <w:t xml:space="preserve">— </w:t>
      </w:r>
      <w:r>
        <w:rPr>
          <w:rStyle w:val="CharPartText"/>
        </w:rPr>
        <w:t>Metric conversion</w:t>
      </w:r>
      <w:bookmarkEnd w:id="216"/>
      <w:r>
        <w:rPr>
          <w:rStyle w:val="CharPartText"/>
        </w:rPr>
        <w:t xml:space="preserve"> </w:t>
      </w:r>
    </w:p>
    <w:p>
      <w:pPr>
        <w:pStyle w:val="Heading5"/>
        <w:spacing w:before="200"/>
        <w:rPr>
          <w:snapToGrid w:val="0"/>
        </w:rPr>
      </w:pPr>
      <w:bookmarkStart w:id="217" w:name="_Toc390077242"/>
      <w:r>
        <w:rPr>
          <w:rStyle w:val="CharSectno"/>
        </w:rPr>
        <w:t>1</w:t>
      </w:r>
      <w:r>
        <w:rPr>
          <w:snapToGrid w:val="0"/>
        </w:rPr>
        <w:t>.</w:t>
      </w:r>
      <w:r>
        <w:rPr>
          <w:snapToGrid w:val="0"/>
        </w:rPr>
        <w:tab/>
        <w:t>Application of Part</w:t>
      </w:r>
      <w:bookmarkEnd w:id="217"/>
    </w:p>
    <w:p>
      <w:pPr>
        <w:pStyle w:val="Subsection"/>
        <w:spacing w:before="140"/>
        <w:rPr>
          <w:snapToGrid w:val="0"/>
        </w:rPr>
      </w:pPr>
      <w:r>
        <w:rPr>
          <w:snapToGrid w:val="0"/>
        </w:rPr>
        <w:tab/>
      </w:r>
      <w:r>
        <w:rPr>
          <w:snapToGrid w:val="0"/>
        </w:rPr>
        <w:tab/>
        <w:t>This Part does not apply to any article packed and marked in accordance with Part IIIA of the Act and any regulations made under that Part.</w:t>
      </w:r>
    </w:p>
    <w:p>
      <w:pPr>
        <w:pStyle w:val="Footnotesection"/>
      </w:pPr>
      <w:r>
        <w:tab/>
        <w:t>[Regulation 1 inserted in Gazette 24 Dec 1980 p. 4402</w:t>
      </w:r>
      <w:r>
        <w:noBreakHyphen/>
        <w:t xml:space="preserve">3.] </w:t>
      </w:r>
    </w:p>
    <w:p>
      <w:pPr>
        <w:pStyle w:val="Heading5"/>
        <w:spacing w:before="200"/>
        <w:rPr>
          <w:snapToGrid w:val="0"/>
        </w:rPr>
      </w:pPr>
      <w:bookmarkStart w:id="218" w:name="_Toc390077243"/>
      <w:r>
        <w:rPr>
          <w:rStyle w:val="CharSectno"/>
        </w:rPr>
        <w:t>2</w:t>
      </w:r>
      <w:r>
        <w:rPr>
          <w:snapToGrid w:val="0"/>
        </w:rPr>
        <w:t>.</w:t>
      </w:r>
      <w:r>
        <w:rPr>
          <w:snapToGrid w:val="0"/>
        </w:rPr>
        <w:tab/>
        <w:t>Articles to be sold in metric units</w:t>
      </w:r>
      <w:bookmarkEnd w:id="218"/>
    </w:p>
    <w:p>
      <w:pPr>
        <w:pStyle w:val="Subsection"/>
        <w:spacing w:before="140"/>
        <w:rPr>
          <w:snapToGrid w:val="0"/>
        </w:rPr>
      </w:pPr>
      <w:r>
        <w:rPr>
          <w:snapToGrid w:val="0"/>
        </w:rPr>
        <w:tab/>
        <w:t>(1)</w:t>
      </w:r>
      <w:r>
        <w:rPr>
          <w:snapToGrid w:val="0"/>
        </w:rPr>
        <w:tab/>
        <w:t>Where an article is to be sold at a price per unit of measurement of a physical quantity a person shall not sell that article or offer, expose, display or advertise for sale that article except at a price per unit of measurement of a physical quantity expressed in terms of the metric system in accordance with the provisions of subregulation (2).</w:t>
      </w:r>
    </w:p>
    <w:p>
      <w:pPr>
        <w:pStyle w:val="Subsection"/>
        <w:spacing w:before="140"/>
        <w:rPr>
          <w:snapToGrid w:val="0"/>
        </w:rPr>
      </w:pPr>
      <w:r>
        <w:rPr>
          <w:snapToGrid w:val="0"/>
        </w:rPr>
        <w:tab/>
        <w:t>(2)</w:t>
      </w:r>
      <w:r>
        <w:rPr>
          <w:snapToGrid w:val="0"/>
        </w:rPr>
        <w:tab/>
        <w:t>The units of measurement in physical quantities to be expressed in terms of the metric system pursuant to subregulation (1) shall be as follows and not otherwise — </w:t>
      </w:r>
    </w:p>
    <w:p>
      <w:pPr>
        <w:pStyle w:val="Indenta"/>
        <w:spacing w:before="60"/>
        <w:rPr>
          <w:snapToGrid w:val="0"/>
        </w:rPr>
      </w:pPr>
      <w:r>
        <w:rPr>
          <w:snapToGrid w:val="0"/>
        </w:rPr>
        <w:tab/>
        <w:t>(a)</w:t>
      </w:r>
      <w:r>
        <w:rPr>
          <w:snapToGrid w:val="0"/>
        </w:rPr>
        <w:tab/>
        <w:t>in respect of mass — kilogram or tonne;</w:t>
      </w:r>
    </w:p>
    <w:p>
      <w:pPr>
        <w:pStyle w:val="Indenta"/>
        <w:spacing w:before="60"/>
        <w:rPr>
          <w:snapToGrid w:val="0"/>
        </w:rPr>
      </w:pPr>
      <w:r>
        <w:rPr>
          <w:snapToGrid w:val="0"/>
        </w:rPr>
        <w:tab/>
        <w:t>(b)</w:t>
      </w:r>
      <w:r>
        <w:rPr>
          <w:snapToGrid w:val="0"/>
        </w:rPr>
        <w:tab/>
        <w:t>in respect of volume — litre or cubic metre;</w:t>
      </w:r>
    </w:p>
    <w:p>
      <w:pPr>
        <w:pStyle w:val="Indenta"/>
        <w:spacing w:before="60"/>
        <w:rPr>
          <w:snapToGrid w:val="0"/>
        </w:rPr>
      </w:pPr>
      <w:r>
        <w:rPr>
          <w:snapToGrid w:val="0"/>
        </w:rPr>
        <w:tab/>
        <w:t>(c)</w:t>
      </w:r>
      <w:r>
        <w:rPr>
          <w:snapToGrid w:val="0"/>
        </w:rPr>
        <w:tab/>
        <w:t>in respect of length — metre;</w:t>
      </w:r>
    </w:p>
    <w:p>
      <w:pPr>
        <w:pStyle w:val="Indenta"/>
        <w:spacing w:before="60"/>
        <w:rPr>
          <w:snapToGrid w:val="0"/>
        </w:rPr>
      </w:pPr>
      <w:r>
        <w:rPr>
          <w:snapToGrid w:val="0"/>
        </w:rPr>
        <w:tab/>
        <w:t>(d)</w:t>
      </w:r>
      <w:r>
        <w:rPr>
          <w:snapToGrid w:val="0"/>
        </w:rPr>
        <w:tab/>
        <w:t>in respect of area — square metre.</w:t>
      </w:r>
    </w:p>
    <w:p>
      <w:pPr>
        <w:pStyle w:val="Heading5"/>
        <w:spacing w:before="200"/>
        <w:rPr>
          <w:snapToGrid w:val="0"/>
        </w:rPr>
      </w:pPr>
      <w:bookmarkStart w:id="219" w:name="_Toc390077244"/>
      <w:r>
        <w:rPr>
          <w:rStyle w:val="CharSectno"/>
        </w:rPr>
        <w:t>3</w:t>
      </w:r>
      <w:r>
        <w:rPr>
          <w:snapToGrid w:val="0"/>
        </w:rPr>
        <w:t>.</w:t>
      </w:r>
      <w:r>
        <w:rPr>
          <w:snapToGrid w:val="0"/>
        </w:rPr>
        <w:tab/>
        <w:t>Total price of articles sold at a price per unit</w:t>
      </w:r>
      <w:bookmarkEnd w:id="219"/>
    </w:p>
    <w:p>
      <w:pPr>
        <w:pStyle w:val="Subsection"/>
        <w:spacing w:before="140"/>
        <w:rPr>
          <w:snapToGrid w:val="0"/>
        </w:rPr>
      </w:pPr>
      <w:r>
        <w:rPr>
          <w:snapToGrid w:val="0"/>
        </w:rPr>
        <w:tab/>
      </w:r>
      <w:r>
        <w:rPr>
          <w:snapToGrid w:val="0"/>
        </w:rPr>
        <w:tab/>
        <w:t>A person shall not sell an article referred to in regulation 2(1) of this Part at a price higher than the price arrived at by multiplying the mass, volume, length or area of the article, as the case may be, by the price per unit of measurement expressed or displayed in respect of that article.</w:t>
      </w:r>
    </w:p>
    <w:p>
      <w:pPr>
        <w:pStyle w:val="Heading5"/>
        <w:spacing w:before="200"/>
        <w:rPr>
          <w:snapToGrid w:val="0"/>
        </w:rPr>
      </w:pPr>
      <w:bookmarkStart w:id="220" w:name="_Toc390077245"/>
      <w:r>
        <w:rPr>
          <w:rStyle w:val="CharSectno"/>
        </w:rPr>
        <w:t>4</w:t>
      </w:r>
      <w:r>
        <w:rPr>
          <w:snapToGrid w:val="0"/>
        </w:rPr>
        <w:t>.</w:t>
      </w:r>
      <w:r>
        <w:rPr>
          <w:snapToGrid w:val="0"/>
        </w:rPr>
        <w:tab/>
        <w:t>Non</w:t>
      </w:r>
      <w:r>
        <w:rPr>
          <w:snapToGrid w:val="0"/>
        </w:rPr>
        <w:noBreakHyphen/>
        <w:t>metric instruments not to be used for trade</w:t>
      </w:r>
      <w:bookmarkEnd w:id="220"/>
    </w:p>
    <w:p>
      <w:pPr>
        <w:pStyle w:val="Subsection"/>
        <w:spacing w:before="140"/>
        <w:rPr>
          <w:snapToGrid w:val="0"/>
          <w:spacing w:val="-2"/>
        </w:rPr>
      </w:pPr>
      <w:r>
        <w:rPr>
          <w:snapToGrid w:val="0"/>
        </w:rPr>
        <w:tab/>
      </w:r>
      <w:r>
        <w:rPr>
          <w:snapToGrid w:val="0"/>
        </w:rPr>
        <w:tab/>
      </w:r>
      <w:r>
        <w:rPr>
          <w:snapToGrid w:val="0"/>
          <w:spacing w:val="-2"/>
        </w:rPr>
        <w:t>A person shall not use for trade or have in possession for trade any measuring instrument that is not calibrated in terms of Commonwealth legal units of measurement of the metric system.</w:t>
      </w:r>
    </w:p>
    <w:p>
      <w:pPr>
        <w:pStyle w:val="Heading2"/>
      </w:pPr>
      <w:bookmarkStart w:id="221" w:name="_Toc390077246"/>
      <w:r>
        <w:rPr>
          <w:rStyle w:val="CharPartNo"/>
        </w:rPr>
        <w:t>Part XC</w:t>
      </w:r>
      <w:r>
        <w:rPr>
          <w:rStyle w:val="CharDivNo"/>
        </w:rPr>
        <w:t> </w:t>
      </w:r>
      <w:r>
        <w:t>—</w:t>
      </w:r>
      <w:r>
        <w:rPr>
          <w:rStyle w:val="CharDivText"/>
        </w:rPr>
        <w:t> Regulation of sale of fuel by reference to volume</w:t>
      </w:r>
      <w:bookmarkEnd w:id="221"/>
    </w:p>
    <w:p>
      <w:pPr>
        <w:pStyle w:val="Footnoteheading"/>
      </w:pPr>
      <w:r>
        <w:t>[Heading inserted in Gazette 1 Apr 2003 p. 1003.]</w:t>
      </w:r>
    </w:p>
    <w:p>
      <w:pPr>
        <w:pStyle w:val="Heading5"/>
      </w:pPr>
      <w:bookmarkStart w:id="222" w:name="_Toc390077247"/>
      <w:r>
        <w:rPr>
          <w:rStyle w:val="CharSectno"/>
        </w:rPr>
        <w:t>1</w:t>
      </w:r>
      <w:r>
        <w:t>.</w:t>
      </w:r>
      <w:r>
        <w:tab/>
        <w:t>Definitions</w:t>
      </w:r>
      <w:bookmarkEnd w:id="222"/>
    </w:p>
    <w:p>
      <w:pPr>
        <w:pStyle w:val="Subsection"/>
      </w:pPr>
      <w:r>
        <w:tab/>
      </w:r>
      <w:r>
        <w:tab/>
        <w:t xml:space="preserve">In this Part — </w:t>
      </w:r>
    </w:p>
    <w:p>
      <w:pPr>
        <w:pStyle w:val="Defstart"/>
      </w:pPr>
      <w:r>
        <w:rPr>
          <w:b/>
        </w:rPr>
        <w:tab/>
        <w:t>“</w:t>
      </w:r>
      <w:r>
        <w:rPr>
          <w:rStyle w:val="CharDefText"/>
        </w:rPr>
        <w:t>business entity</w:t>
      </w:r>
      <w:r>
        <w:rPr>
          <w:b/>
        </w:rPr>
        <w:t>”</w:t>
      </w:r>
      <w:r>
        <w:t xml:space="preserve"> means an entity that operates a business other than a fuel business;</w:t>
      </w:r>
    </w:p>
    <w:p>
      <w:pPr>
        <w:pStyle w:val="Defstart"/>
      </w:pPr>
      <w:r>
        <w:rPr>
          <w:b/>
        </w:rPr>
        <w:tab/>
        <w:t>“</w:t>
      </w:r>
      <w:r>
        <w:rPr>
          <w:rStyle w:val="CharDefText"/>
        </w:rPr>
        <w:t>cooperative entity</w:t>
      </w:r>
      <w:r>
        <w:rPr>
          <w:b/>
        </w:rPr>
        <w:t>”</w:t>
      </w:r>
      <w:r>
        <w:t xml:space="preserve"> includes an entity that is a buying group for its members;</w:t>
      </w:r>
    </w:p>
    <w:p>
      <w:pPr>
        <w:pStyle w:val="Defstart"/>
      </w:pPr>
      <w:r>
        <w:rPr>
          <w:b/>
        </w:rPr>
        <w:tab/>
        <w:t>“</w:t>
      </w:r>
      <w:r>
        <w:rPr>
          <w:rStyle w:val="CharDefText"/>
        </w:rPr>
        <w:t>diesel fuel</w:t>
      </w:r>
      <w:r>
        <w:rPr>
          <w:b/>
        </w:rPr>
        <w:t>”</w:t>
      </w:r>
      <w:r>
        <w:t xml:space="preserve"> means any fuel commonly known as diesel, diesel oil, distillate, automotive diesel fuel, automotive diesel oil or automotive distillate;</w:t>
      </w:r>
    </w:p>
    <w:p>
      <w:pPr>
        <w:pStyle w:val="Defstart"/>
      </w:pPr>
      <w:r>
        <w:rPr>
          <w:b/>
        </w:rPr>
        <w:tab/>
        <w:t>“</w:t>
      </w:r>
      <w:r>
        <w:rPr>
          <w:rStyle w:val="CharDefText"/>
        </w:rPr>
        <w:t>fixed storage facility</w:t>
      </w:r>
      <w:r>
        <w:rPr>
          <w:b/>
        </w:rPr>
        <w:t>”</w:t>
      </w:r>
      <w:r>
        <w:t xml:space="preserve"> means a facility, other than a primary storage facility, at which fuel is unloaded and from which fuel is reloaded for further distribution or further sale and distribution;</w:t>
      </w:r>
    </w:p>
    <w:p>
      <w:pPr>
        <w:pStyle w:val="Defstart"/>
      </w:pPr>
      <w:r>
        <w:rPr>
          <w:b/>
        </w:rPr>
        <w:tab/>
        <w:t>“</w:t>
      </w:r>
      <w:r>
        <w:rPr>
          <w:rStyle w:val="CharDefText"/>
        </w:rPr>
        <w:t>fuel</w:t>
      </w:r>
      <w:r>
        <w:rPr>
          <w:b/>
        </w:rPr>
        <w:t>”</w:t>
      </w:r>
      <w:r>
        <w:t xml:space="preserve"> means petrol, or diesel fuel, that a person would reasonably consider is ultimately intended for automotive consumption;</w:t>
      </w:r>
    </w:p>
    <w:p>
      <w:pPr>
        <w:pStyle w:val="Defstart"/>
      </w:pPr>
      <w:r>
        <w:rPr>
          <w:b/>
        </w:rPr>
        <w:tab/>
        <w:t>“</w:t>
      </w:r>
      <w:r>
        <w:rPr>
          <w:rStyle w:val="CharDefText"/>
        </w:rPr>
        <w:t>primary storage facility</w:t>
      </w:r>
      <w:r>
        <w:rPr>
          <w:b/>
        </w:rPr>
        <w:t>”</w:t>
      </w:r>
      <w:r>
        <w:t xml:space="preserve"> means — </w:t>
      </w:r>
    </w:p>
    <w:p>
      <w:pPr>
        <w:pStyle w:val="Defpara"/>
      </w:pPr>
      <w:r>
        <w:tab/>
        <w:t>(a)</w:t>
      </w:r>
      <w:r>
        <w:tab/>
        <w:t>an oil refinery;</w:t>
      </w:r>
    </w:p>
    <w:p>
      <w:pPr>
        <w:pStyle w:val="Defpara"/>
      </w:pPr>
      <w:r>
        <w:tab/>
        <w:t>(b)</w:t>
      </w:r>
      <w:r>
        <w:tab/>
        <w:t>a shipping facility;</w:t>
      </w:r>
    </w:p>
    <w:p>
      <w:pPr>
        <w:pStyle w:val="Defpara"/>
      </w:pPr>
      <w:r>
        <w:tab/>
        <w:t>(c)</w:t>
      </w:r>
      <w:r>
        <w:tab/>
        <w:t>a facility connected by product transfer pipeline to an oil refinery or to a shipping facility; or</w:t>
      </w:r>
    </w:p>
    <w:p>
      <w:pPr>
        <w:pStyle w:val="Defpara"/>
      </w:pPr>
      <w:r>
        <w:tab/>
        <w:t>(d)</w:t>
      </w:r>
      <w:r>
        <w:tab/>
        <w:t>a facility connected by product transfer pipeline to a facility mentioned in paragraph (c);</w:t>
      </w:r>
    </w:p>
    <w:p>
      <w:pPr>
        <w:pStyle w:val="Defstart"/>
      </w:pPr>
      <w:r>
        <w:rPr>
          <w:b/>
        </w:rPr>
        <w:tab/>
        <w:t>“</w:t>
      </w:r>
      <w:r>
        <w:rPr>
          <w:rStyle w:val="CharDefText"/>
        </w:rPr>
        <w:t>retail sale</w:t>
      </w:r>
      <w:r>
        <w:rPr>
          <w:b/>
        </w:rPr>
        <w:t>”</w:t>
      </w:r>
      <w:r>
        <w:t xml:space="preserve">, in relation to fuel, means a sale to — </w:t>
      </w:r>
    </w:p>
    <w:p>
      <w:pPr>
        <w:pStyle w:val="Defpara"/>
      </w:pPr>
      <w:r>
        <w:tab/>
        <w:t>(a)</w:t>
      </w:r>
      <w:r>
        <w:tab/>
        <w:t>an entity that purchases the fuel only for its own consumption;</w:t>
      </w:r>
    </w:p>
    <w:p>
      <w:pPr>
        <w:pStyle w:val="Defpara"/>
      </w:pPr>
      <w:r>
        <w:tab/>
        <w:t>(b)</w:t>
      </w:r>
      <w:r>
        <w:tab/>
        <w:t xml:space="preserve">a business entity that purchases the fuel only — </w:t>
      </w:r>
    </w:p>
    <w:p>
      <w:pPr>
        <w:pStyle w:val="Defsubpara"/>
      </w:pPr>
      <w:r>
        <w:tab/>
        <w:t>(i)</w:t>
      </w:r>
      <w:r>
        <w:tab/>
        <w:t>for its own consumption;</w:t>
      </w:r>
    </w:p>
    <w:p>
      <w:pPr>
        <w:pStyle w:val="Defsubpara"/>
      </w:pPr>
      <w:r>
        <w:tab/>
        <w:t>(ii)</w:t>
      </w:r>
      <w:r>
        <w:tab/>
        <w:t>for resale to its staff or contractors for consumption by the purchasing staff or contractors; or</w:t>
      </w:r>
    </w:p>
    <w:p>
      <w:pPr>
        <w:pStyle w:val="Defsubpara"/>
      </w:pPr>
      <w:r>
        <w:tab/>
        <w:t>(iii)</w:t>
      </w:r>
      <w:r>
        <w:tab/>
        <w:t>for each of the purposes mentioned in subparagraphs (i) and (ii);</w:t>
      </w:r>
    </w:p>
    <w:p>
      <w:pPr>
        <w:pStyle w:val="Defpara"/>
      </w:pPr>
      <w:r>
        <w:tab/>
      </w:r>
      <w:r>
        <w:tab/>
        <w:t>or</w:t>
      </w:r>
    </w:p>
    <w:p>
      <w:pPr>
        <w:pStyle w:val="Defpara"/>
      </w:pPr>
      <w:r>
        <w:tab/>
        <w:t>(c)</w:t>
      </w:r>
      <w:r>
        <w:tab/>
        <w:t>a cooperative entity that purchases the fuel only for resale to its members for consumption by the purchasing members;</w:t>
      </w:r>
    </w:p>
    <w:p>
      <w:pPr>
        <w:pStyle w:val="Defstart"/>
      </w:pPr>
      <w:r>
        <w:rPr>
          <w:b/>
        </w:rPr>
        <w:tab/>
        <w:t>“</w:t>
      </w:r>
      <w:r>
        <w:rPr>
          <w:rStyle w:val="CharDefText"/>
        </w:rPr>
        <w:t>shipping facility</w:t>
      </w:r>
      <w:r>
        <w:rPr>
          <w:b/>
        </w:rPr>
        <w:t>”</w:t>
      </w:r>
      <w:r>
        <w:t xml:space="preserve"> means a facility where fuel may be supplied by ship.</w:t>
      </w:r>
    </w:p>
    <w:p>
      <w:pPr>
        <w:pStyle w:val="Footnotesection"/>
      </w:pPr>
      <w:r>
        <w:tab/>
        <w:t>[Regulation 1 inserted in Gazette 1 Apr 2003 p. 1003-4.]</w:t>
      </w:r>
    </w:p>
    <w:p>
      <w:pPr>
        <w:pStyle w:val="Heading5"/>
      </w:pPr>
      <w:bookmarkStart w:id="223" w:name="_Toc390077248"/>
      <w:r>
        <w:rPr>
          <w:rStyle w:val="CharSectno"/>
        </w:rPr>
        <w:t>2</w:t>
      </w:r>
      <w:r>
        <w:t>.</w:t>
      </w:r>
      <w:r>
        <w:tab/>
        <w:t>Regulation of sale of fuel by reference to volume</w:t>
      </w:r>
      <w:bookmarkEnd w:id="223"/>
    </w:p>
    <w:p>
      <w:pPr>
        <w:pStyle w:val="Subsection"/>
      </w:pPr>
      <w:r>
        <w:tab/>
        <w:t>(1)</w:t>
      </w:r>
      <w:r>
        <w:tab/>
        <w:t>Subject to subregulation (2), a person must not sell fuel by reference to the measurement of its volume unless the sale is at a price determined by reference to the volume of the fuel as measured by the litres the fuel occupies, or would occupy, at a temperature of 15</w:t>
      </w:r>
      <w:r>
        <w:rPr>
          <w:snapToGrid w:val="0"/>
          <w:sz w:val="22"/>
          <w:vertAlign w:val="superscript"/>
        </w:rPr>
        <w:t xml:space="preserve"> o</w:t>
      </w:r>
      <w:r>
        <w:t>C.</w:t>
      </w:r>
    </w:p>
    <w:p>
      <w:pPr>
        <w:pStyle w:val="Penstart"/>
      </w:pPr>
      <w:r>
        <w:tab/>
        <w:t>Penalty: $200.</w:t>
      </w:r>
    </w:p>
    <w:p>
      <w:pPr>
        <w:pStyle w:val="Subsection"/>
      </w:pPr>
      <w:r>
        <w:tab/>
        <w:t>(2)</w:t>
      </w:r>
      <w:r>
        <w:tab/>
        <w:t xml:space="preserve">Subregulation (1) does not apply to — </w:t>
      </w:r>
    </w:p>
    <w:p>
      <w:pPr>
        <w:pStyle w:val="Indenta"/>
      </w:pPr>
      <w:r>
        <w:tab/>
        <w:t>(a)</w:t>
      </w:r>
      <w:r>
        <w:tab/>
        <w:t>a retail sale of fuel;</w:t>
      </w:r>
    </w:p>
    <w:p>
      <w:pPr>
        <w:pStyle w:val="Indenta"/>
      </w:pPr>
      <w:r>
        <w:tab/>
        <w:t>(b)</w:t>
      </w:r>
      <w:r>
        <w:tab/>
        <w:t xml:space="preserve">a wholesale sale of fuel if — </w:t>
      </w:r>
    </w:p>
    <w:p>
      <w:pPr>
        <w:pStyle w:val="Indenti"/>
      </w:pPr>
      <w:r>
        <w:tab/>
        <w:t>(i)</w:t>
      </w:r>
      <w:r>
        <w:tab/>
        <w:t>the wholesale sale happens immediately before, or at the same time as, a retail sale of the fuel; and</w:t>
      </w:r>
    </w:p>
    <w:p>
      <w:pPr>
        <w:pStyle w:val="Indenti"/>
      </w:pPr>
      <w:r>
        <w:tab/>
        <w:t>(ii)</w:t>
      </w:r>
      <w:r>
        <w:tab/>
        <w:t>the volume of the fuel, as measured for the wholesale sale, is the same as the volume of the fuel as measured for the retail sale;</w:t>
      </w:r>
    </w:p>
    <w:p>
      <w:pPr>
        <w:pStyle w:val="Indenta"/>
      </w:pPr>
      <w:r>
        <w:tab/>
        <w:t>(c)</w:t>
      </w:r>
      <w:r>
        <w:tab/>
        <w:t xml:space="preserve">a wholesale sale of fuel if — </w:t>
      </w:r>
    </w:p>
    <w:p>
      <w:pPr>
        <w:pStyle w:val="Indenti"/>
      </w:pPr>
      <w:r>
        <w:tab/>
        <w:t>(i)</w:t>
      </w:r>
      <w:r>
        <w:tab/>
        <w:t xml:space="preserve">before the wholesale sale, the fuel — </w:t>
      </w:r>
    </w:p>
    <w:p>
      <w:pPr>
        <w:pStyle w:val="IndentI0"/>
      </w:pPr>
      <w:r>
        <w:tab/>
        <w:t>(I)</w:t>
      </w:r>
      <w:r>
        <w:tab/>
        <w:t>was moved, in any way, from a primary storage facility to a fixed storage facility at another location; and</w:t>
      </w:r>
    </w:p>
    <w:p>
      <w:pPr>
        <w:pStyle w:val="IndentI0"/>
      </w:pPr>
      <w:r>
        <w:tab/>
        <w:t>(II)</w:t>
      </w:r>
      <w:r>
        <w:tab/>
        <w:t>was unloaded into the fixed storage facility for further distribution or for further sale and distribution;</w:t>
      </w:r>
    </w:p>
    <w:p>
      <w:pPr>
        <w:pStyle w:val="Indenti"/>
      </w:pPr>
      <w:r>
        <w:tab/>
      </w:r>
      <w:r>
        <w:tab/>
        <w:t>and</w:t>
      </w:r>
    </w:p>
    <w:p>
      <w:pPr>
        <w:pStyle w:val="Indenti"/>
      </w:pPr>
      <w:r>
        <w:tab/>
        <w:t>(ii)</w:t>
      </w:r>
      <w:r>
        <w:tab/>
        <w:t>for the purposes of the movement, the fuel was measured by reference to the volume of the fuel as measured by the litres the fuel occupies, or would occupy, at a temperature of 15</w:t>
      </w:r>
      <w:r>
        <w:rPr>
          <w:snapToGrid w:val="0"/>
          <w:sz w:val="22"/>
          <w:vertAlign w:val="superscript"/>
        </w:rPr>
        <w:t xml:space="preserve"> o</w:t>
      </w:r>
      <w:r>
        <w:t>C;</w:t>
      </w:r>
    </w:p>
    <w:p>
      <w:pPr>
        <w:pStyle w:val="Indenta"/>
      </w:pPr>
      <w:r>
        <w:tab/>
        <w:t>(d)</w:t>
      </w:r>
      <w:r>
        <w:tab/>
        <w:t xml:space="preserve">a wholesale sale of fuel (the </w:t>
      </w:r>
      <w:r>
        <w:rPr>
          <w:b/>
        </w:rPr>
        <w:t>“</w:t>
      </w:r>
      <w:r>
        <w:rPr>
          <w:rStyle w:val="CharDefText"/>
        </w:rPr>
        <w:t>relevant sale</w:t>
      </w:r>
      <w:r>
        <w:rPr>
          <w:b/>
        </w:rPr>
        <w:t>”</w:t>
      </w:r>
      <w:r>
        <w:t xml:space="preserve">) if — </w:t>
      </w:r>
    </w:p>
    <w:p>
      <w:pPr>
        <w:pStyle w:val="Indenti"/>
      </w:pPr>
      <w:r>
        <w:tab/>
        <w:t>(i)</w:t>
      </w:r>
      <w:r>
        <w:tab/>
        <w:t>the relevant sale happens immediately before or after, or at the same time as, another wholesale sale of the fuel; and</w:t>
      </w:r>
    </w:p>
    <w:p>
      <w:pPr>
        <w:pStyle w:val="Indenti"/>
      </w:pPr>
      <w:r>
        <w:tab/>
        <w:t>(ii)</w:t>
      </w:r>
      <w:r>
        <w:tab/>
        <w:t xml:space="preserve">before the relevant sale, the fuel — </w:t>
      </w:r>
    </w:p>
    <w:p>
      <w:pPr>
        <w:pStyle w:val="IndentI0"/>
      </w:pPr>
      <w:r>
        <w:tab/>
        <w:t>(I)</w:t>
      </w:r>
      <w:r>
        <w:tab/>
        <w:t>was moved, in any way, from a primary storage facility to a fixed storage facility at another location; and</w:t>
      </w:r>
    </w:p>
    <w:p>
      <w:pPr>
        <w:pStyle w:val="IndentI0"/>
      </w:pPr>
      <w:r>
        <w:tab/>
        <w:t>(II)</w:t>
      </w:r>
      <w:r>
        <w:tab/>
        <w:t>was unloaded into the fixed storage facility for further distribution or for further sale and distribution;</w:t>
      </w:r>
    </w:p>
    <w:p>
      <w:pPr>
        <w:pStyle w:val="Indenta"/>
      </w:pPr>
      <w:r>
        <w:tab/>
      </w:r>
      <w:r>
        <w:tab/>
        <w:t>or</w:t>
      </w:r>
    </w:p>
    <w:p>
      <w:pPr>
        <w:pStyle w:val="Indenta"/>
      </w:pPr>
      <w:r>
        <w:tab/>
        <w:t>(e)</w:t>
      </w:r>
      <w:r>
        <w:tab/>
        <w:t xml:space="preserve">a wholesale sale of fuel if — </w:t>
      </w:r>
    </w:p>
    <w:p>
      <w:pPr>
        <w:pStyle w:val="Indenti"/>
      </w:pPr>
      <w:r>
        <w:tab/>
        <w:t>(i)</w:t>
      </w:r>
      <w:r>
        <w:tab/>
        <w:t xml:space="preserve">before the wholesale sale, the fuel — </w:t>
      </w:r>
    </w:p>
    <w:p>
      <w:pPr>
        <w:pStyle w:val="IndentI0"/>
      </w:pPr>
      <w:r>
        <w:tab/>
        <w:t>(I)</w:t>
      </w:r>
      <w:r>
        <w:tab/>
        <w:t>was moved, in any way, from a primary storage facility to a fixed storage facility at another location; and</w:t>
      </w:r>
    </w:p>
    <w:p>
      <w:pPr>
        <w:pStyle w:val="IndentI0"/>
      </w:pPr>
      <w:r>
        <w:tab/>
        <w:t>(II)</w:t>
      </w:r>
      <w:r>
        <w:tab/>
        <w:t>was unloaded into the fixed storage facility for further distribution or for further sale and distribution;</w:t>
      </w:r>
    </w:p>
    <w:p>
      <w:pPr>
        <w:pStyle w:val="Indenti"/>
      </w:pPr>
      <w:r>
        <w:tab/>
      </w:r>
      <w:r>
        <w:tab/>
        <w:t>and</w:t>
      </w:r>
    </w:p>
    <w:p>
      <w:pPr>
        <w:pStyle w:val="Indenti"/>
      </w:pPr>
      <w:r>
        <w:tab/>
        <w:t>(ii)</w:t>
      </w:r>
      <w:r>
        <w:tab/>
        <w:t>after the fuel was at the primary facility but before the wholesale sale, the fuel was not the subject of another sale.</w:t>
      </w:r>
    </w:p>
    <w:p>
      <w:pPr>
        <w:pStyle w:val="Footnotesection"/>
      </w:pPr>
      <w:r>
        <w:tab/>
        <w:t>[Regulation 2 inserted in Gazette 1 Apr 2003 p. 1004-6.]</w:t>
      </w:r>
    </w:p>
    <w:p>
      <w:pPr>
        <w:pStyle w:val="Heading2"/>
      </w:pPr>
      <w:bookmarkStart w:id="224" w:name="_Toc390077249"/>
      <w:r>
        <w:rPr>
          <w:rStyle w:val="CharPartNo"/>
        </w:rPr>
        <w:t>Part XI</w:t>
      </w:r>
      <w:r>
        <w:rPr>
          <w:rStyle w:val="CharDivNo"/>
        </w:rPr>
        <w:t> </w:t>
      </w:r>
      <w:r>
        <w:t xml:space="preserve">— </w:t>
      </w:r>
      <w:r>
        <w:rPr>
          <w:rStyle w:val="CharPartText"/>
        </w:rPr>
        <w:t>Miscellaneous</w:t>
      </w:r>
      <w:bookmarkEnd w:id="224"/>
      <w:r>
        <w:rPr>
          <w:rStyle w:val="CharPartText"/>
        </w:rPr>
        <w:t xml:space="preserve"> </w:t>
      </w:r>
    </w:p>
    <w:p>
      <w:pPr>
        <w:pStyle w:val="Heading5"/>
        <w:rPr>
          <w:snapToGrid w:val="0"/>
        </w:rPr>
      </w:pPr>
      <w:bookmarkStart w:id="225" w:name="_Toc390077250"/>
      <w:r>
        <w:rPr>
          <w:rStyle w:val="CharSectno"/>
        </w:rPr>
        <w:t>1</w:t>
      </w:r>
      <w:r>
        <w:rPr>
          <w:snapToGrid w:val="0"/>
        </w:rPr>
        <w:t>.</w:t>
      </w:r>
      <w:r>
        <w:rPr>
          <w:snapToGrid w:val="0"/>
        </w:rPr>
        <w:tab/>
        <w:t>Inspector may adjust or service weights etc.</w:t>
      </w:r>
      <w:bookmarkEnd w:id="225"/>
    </w:p>
    <w:p>
      <w:pPr>
        <w:pStyle w:val="Subsection"/>
        <w:spacing w:before="120"/>
        <w:rPr>
          <w:snapToGrid w:val="0"/>
        </w:rPr>
      </w:pPr>
      <w:r>
        <w:rPr>
          <w:snapToGrid w:val="0"/>
        </w:rPr>
        <w:tab/>
      </w:r>
      <w:r>
        <w:rPr>
          <w:snapToGrid w:val="0"/>
        </w:rPr>
        <w:tab/>
        <w:t>If it is found on inspection that an adjustment or other service relating to weights or measures or instruments is necessary in a locality where no adjuster or repairer is available, that adjustment or service may be made or rendered by the inspector and a charge made by him at the rate prescribed in Table XIIIB.</w:t>
      </w:r>
    </w:p>
    <w:p>
      <w:pPr>
        <w:pStyle w:val="Footnotesection"/>
        <w:spacing w:before="100"/>
        <w:ind w:left="890" w:hanging="890"/>
      </w:pPr>
      <w:r>
        <w:tab/>
        <w:t xml:space="preserve">[Regulation 1 inserted in Gazette 23 May 1960 p. 1408.] </w:t>
      </w:r>
    </w:p>
    <w:p>
      <w:pPr>
        <w:pStyle w:val="Heading5"/>
        <w:rPr>
          <w:snapToGrid w:val="0"/>
        </w:rPr>
      </w:pPr>
      <w:bookmarkStart w:id="226" w:name="_Toc390077251"/>
      <w:r>
        <w:rPr>
          <w:rStyle w:val="CharSectno"/>
        </w:rPr>
        <w:t>2</w:t>
      </w:r>
      <w:r>
        <w:rPr>
          <w:snapToGrid w:val="0"/>
        </w:rPr>
        <w:t>.</w:t>
      </w:r>
      <w:r>
        <w:rPr>
          <w:snapToGrid w:val="0"/>
        </w:rPr>
        <w:tab/>
        <w:t>Unstamped scales not to be used for trade</w:t>
      </w:r>
      <w:bookmarkEnd w:id="226"/>
    </w:p>
    <w:p>
      <w:pPr>
        <w:pStyle w:val="Subsection"/>
        <w:spacing w:before="120"/>
        <w:rPr>
          <w:snapToGrid w:val="0"/>
        </w:rPr>
      </w:pPr>
      <w:r>
        <w:rPr>
          <w:snapToGrid w:val="0"/>
        </w:rPr>
        <w:tab/>
      </w:r>
      <w:r>
        <w:rPr>
          <w:snapToGrid w:val="0"/>
        </w:rPr>
        <w:tab/>
        <w:t>No scale adjuster or repairer shall lend any unstamped scales to a trader for use, nor shall the owner of a weight, measure or instrument permit any person to use for trade such weight, measure or instrument, unless it is stamped in accordance with the provisions of section 29 of this Act.</w:t>
      </w:r>
    </w:p>
    <w:p>
      <w:pPr>
        <w:pStyle w:val="Footnotesection"/>
        <w:spacing w:before="100"/>
        <w:ind w:left="890" w:hanging="890"/>
      </w:pPr>
      <w:r>
        <w:tab/>
        <w:t xml:space="preserve">[Regulation 2 inserted in Gazette 23 May 1960 p. 1408.] </w:t>
      </w:r>
    </w:p>
    <w:p>
      <w:pPr>
        <w:pStyle w:val="Heading5"/>
        <w:rPr>
          <w:snapToGrid w:val="0"/>
        </w:rPr>
      </w:pPr>
      <w:bookmarkStart w:id="227" w:name="_Toc390077252"/>
      <w:r>
        <w:rPr>
          <w:rStyle w:val="CharSectno"/>
        </w:rPr>
        <w:t>3</w:t>
      </w:r>
      <w:r>
        <w:rPr>
          <w:snapToGrid w:val="0"/>
        </w:rPr>
        <w:t>.</w:t>
      </w:r>
      <w:r>
        <w:rPr>
          <w:snapToGrid w:val="0"/>
        </w:rPr>
        <w:tab/>
        <w:t>Scale adjusters or repairers</w:t>
      </w:r>
      <w:bookmarkEnd w:id="227"/>
    </w:p>
    <w:p>
      <w:pPr>
        <w:pStyle w:val="Subsection"/>
        <w:spacing w:before="120"/>
        <w:rPr>
          <w:snapToGrid w:val="0"/>
        </w:rPr>
      </w:pPr>
      <w:r>
        <w:rPr>
          <w:snapToGrid w:val="0"/>
        </w:rPr>
        <w:tab/>
        <w:t>(1)</w:t>
      </w:r>
      <w:r>
        <w:rPr>
          <w:snapToGrid w:val="0"/>
        </w:rPr>
        <w:tab/>
        <w:t>No person, firm, or company (whether incorporated or not) shall use the designation “scale adjuster”, “scale repairer”, or any like designation, unless he, or a member of his firm, or an employee of the company, is the holder of a scale adjuster’s license issued by the Chief Inspector.</w:t>
      </w:r>
    </w:p>
    <w:p>
      <w:pPr>
        <w:pStyle w:val="Subsection"/>
        <w:spacing w:before="120"/>
        <w:rPr>
          <w:snapToGrid w:val="0"/>
        </w:rPr>
      </w:pPr>
      <w:r>
        <w:rPr>
          <w:snapToGrid w:val="0"/>
        </w:rPr>
        <w:tab/>
        <w:t>(2)</w:t>
      </w:r>
      <w:r>
        <w:rPr>
          <w:snapToGrid w:val="0"/>
        </w:rPr>
        <w:tab/>
        <w:t>Any person applying for a scale repairer’s license will be required to undergo an oral examination by the Chief Inspector of Weights and Measures, or an examiner appointed by him, and to produce satisfactory evidence of his practical experience.</w:t>
      </w:r>
    </w:p>
    <w:p>
      <w:pPr>
        <w:pStyle w:val="Subsection"/>
        <w:spacing w:before="120"/>
        <w:rPr>
          <w:snapToGrid w:val="0"/>
        </w:rPr>
      </w:pPr>
      <w:r>
        <w:rPr>
          <w:snapToGrid w:val="0"/>
        </w:rPr>
        <w:tab/>
        <w:t>(3)</w:t>
      </w:r>
      <w:r>
        <w:rPr>
          <w:snapToGrid w:val="0"/>
        </w:rPr>
        <w:tab/>
        <w:t>No person shall undertake the repair or adjustment of scales or weights, unless he is the holder of a scale repairer’s license issued by the Chief Inspector, or a person employed by and working under the supervision of a licensed scale repairer.</w:t>
      </w:r>
    </w:p>
    <w:p>
      <w:pPr>
        <w:pStyle w:val="Footnotesection"/>
        <w:spacing w:before="100"/>
        <w:ind w:left="890" w:hanging="890"/>
      </w:pPr>
      <w:r>
        <w:tab/>
        <w:t xml:space="preserve">[Regulation 3 inserted in Gazette 23 May 1960 p. 1409; amended in Gazette 9 Sep 1968 p. 2744; 31 Aug 1984 p. 2829; (Correction to reprint in Gazette 1 Nov 2002 p. 5369).] </w:t>
      </w:r>
    </w:p>
    <w:p>
      <w:pPr>
        <w:pStyle w:val="Heading5"/>
        <w:rPr>
          <w:snapToGrid w:val="0"/>
        </w:rPr>
      </w:pPr>
      <w:bookmarkStart w:id="228" w:name="_Toc390077253"/>
      <w:r>
        <w:rPr>
          <w:rStyle w:val="CharSectno"/>
        </w:rPr>
        <w:t>4</w:t>
      </w:r>
      <w:r>
        <w:rPr>
          <w:snapToGrid w:val="0"/>
        </w:rPr>
        <w:t>.</w:t>
      </w:r>
      <w:r>
        <w:rPr>
          <w:snapToGrid w:val="0"/>
        </w:rPr>
        <w:tab/>
        <w:t>Scale adjuster’s license</w:t>
      </w:r>
      <w:bookmarkEnd w:id="228"/>
    </w:p>
    <w:p>
      <w:pPr>
        <w:pStyle w:val="Subsection"/>
        <w:outlineLvl w:val="0"/>
        <w:rPr>
          <w:snapToGrid w:val="0"/>
        </w:rPr>
      </w:pPr>
      <w:r>
        <w:rPr>
          <w:snapToGrid w:val="0"/>
        </w:rPr>
        <w:tab/>
        <w:t>(1)</w:t>
      </w:r>
      <w:r>
        <w:rPr>
          <w:snapToGrid w:val="0"/>
        </w:rPr>
        <w:tab/>
        <w:t>A scale adjuster’s license shall be an annual license, and shall be in the following form — </w:t>
      </w:r>
    </w:p>
    <w:p>
      <w:pPr>
        <w:pStyle w:val="MiscellaneousHeading"/>
        <w:ind w:left="879"/>
        <w:rPr>
          <w:i/>
          <w:snapToGrid w:val="0"/>
        </w:rPr>
      </w:pPr>
      <w:r>
        <w:rPr>
          <w:i/>
          <w:snapToGrid w:val="0"/>
        </w:rPr>
        <w:t>Weights and Measures Act 1915</w:t>
      </w:r>
    </w:p>
    <w:p>
      <w:pPr>
        <w:pStyle w:val="MiscellaneousHeading"/>
        <w:ind w:left="879"/>
        <w:rPr>
          <w:snapToGrid w:val="0"/>
        </w:rPr>
      </w:pPr>
      <w:r>
        <w:rPr>
          <w:snapToGrid w:val="0"/>
        </w:rPr>
        <w:t>SCALE ADJUSTER’S LICENSE</w:t>
      </w:r>
    </w:p>
    <w:p>
      <w:pPr>
        <w:pStyle w:val="MiscellaneousBody"/>
        <w:ind w:left="879"/>
        <w:rPr>
          <w:snapToGrid w:val="0"/>
        </w:rPr>
      </w:pPr>
      <w:r>
        <w:rPr>
          <w:snapToGrid w:val="0"/>
        </w:rPr>
        <w:t xml:space="preserve">............................., of ..................................., is hereby licensed as a scale adjuster for one year ending the ....................... day of ................................., 20 ....... </w:t>
      </w:r>
    </w:p>
    <w:p>
      <w:pPr>
        <w:pStyle w:val="MiscellaneousBody"/>
        <w:ind w:left="879"/>
        <w:rPr>
          <w:snapToGrid w:val="0"/>
        </w:rPr>
      </w:pPr>
      <w:r>
        <w:rPr>
          <w:snapToGrid w:val="0"/>
        </w:rPr>
        <w:t>Dated this ............... day of ................., 20 .........</w:t>
      </w:r>
    </w:p>
    <w:p>
      <w:pPr>
        <w:pStyle w:val="MiscellaneousBody"/>
        <w:ind w:left="879"/>
        <w:jc w:val="right"/>
        <w:rPr>
          <w:snapToGrid w:val="0"/>
        </w:rPr>
      </w:pPr>
      <w:r>
        <w:rPr>
          <w:snapToGrid w:val="0"/>
        </w:rPr>
        <w:t>.........................................</w:t>
      </w:r>
    </w:p>
    <w:p>
      <w:pPr>
        <w:pStyle w:val="MiscellaneousBody"/>
        <w:spacing w:before="0"/>
        <w:ind w:left="879"/>
        <w:jc w:val="right"/>
        <w:outlineLvl w:val="0"/>
        <w:rPr>
          <w:snapToGrid w:val="0"/>
        </w:rPr>
      </w:pPr>
      <w:r>
        <w:rPr>
          <w:snapToGrid w:val="0"/>
        </w:rPr>
        <w:t>Chief Inspector</w:t>
      </w:r>
    </w:p>
    <w:p>
      <w:pPr>
        <w:pStyle w:val="Subsection"/>
        <w:outlineLvl w:val="0"/>
        <w:rPr>
          <w:snapToGrid w:val="0"/>
        </w:rPr>
      </w:pPr>
      <w:r>
        <w:rPr>
          <w:snapToGrid w:val="0"/>
        </w:rPr>
        <w:tab/>
        <w:t>(2)</w:t>
      </w:r>
      <w:r>
        <w:rPr>
          <w:snapToGrid w:val="0"/>
        </w:rPr>
        <w:tab/>
        <w:t>The form prescribed in Table XV shall be used for every application by a person for a scale adjuster’s license.</w:t>
      </w:r>
    </w:p>
    <w:p>
      <w:pPr>
        <w:pStyle w:val="Footnotesection"/>
      </w:pPr>
      <w:r>
        <w:tab/>
        <w:t xml:space="preserve">[Regulation 4 inserted in Gazette 23 May 1960 p. 1409; amended in Gazette 9 Sep 1968 p. 2744; 31 Aug 1984 p. 2829.] </w:t>
      </w:r>
    </w:p>
    <w:p>
      <w:pPr>
        <w:pStyle w:val="Heading5"/>
        <w:rPr>
          <w:snapToGrid w:val="0"/>
        </w:rPr>
      </w:pPr>
      <w:bookmarkStart w:id="229" w:name="_Toc390077254"/>
      <w:r>
        <w:rPr>
          <w:rStyle w:val="CharSectno"/>
        </w:rPr>
        <w:t>5</w:t>
      </w:r>
      <w:r>
        <w:rPr>
          <w:snapToGrid w:val="0"/>
        </w:rPr>
        <w:t>.</w:t>
      </w:r>
      <w:r>
        <w:rPr>
          <w:snapToGrid w:val="0"/>
        </w:rPr>
        <w:tab/>
        <w:t>Scale repairer’s license</w:t>
      </w:r>
      <w:bookmarkEnd w:id="229"/>
    </w:p>
    <w:p>
      <w:pPr>
        <w:pStyle w:val="Subsection"/>
        <w:keepNext/>
        <w:outlineLvl w:val="0"/>
        <w:rPr>
          <w:snapToGrid w:val="0"/>
        </w:rPr>
      </w:pPr>
      <w:r>
        <w:rPr>
          <w:snapToGrid w:val="0"/>
        </w:rPr>
        <w:tab/>
        <w:t>(1)</w:t>
      </w:r>
      <w:r>
        <w:rPr>
          <w:snapToGrid w:val="0"/>
        </w:rPr>
        <w:tab/>
        <w:t>A scale adjuster’s license shall be an annual license and shall be in the following form — </w:t>
      </w:r>
    </w:p>
    <w:p>
      <w:pPr>
        <w:pStyle w:val="MiscellaneousHeading"/>
        <w:ind w:left="879"/>
        <w:rPr>
          <w:i/>
          <w:snapToGrid w:val="0"/>
        </w:rPr>
      </w:pPr>
      <w:r>
        <w:rPr>
          <w:i/>
          <w:snapToGrid w:val="0"/>
        </w:rPr>
        <w:t>Weights and Measures Act 1915</w:t>
      </w:r>
    </w:p>
    <w:p>
      <w:pPr>
        <w:pStyle w:val="MiscellaneousHeading"/>
        <w:ind w:left="879"/>
        <w:rPr>
          <w:snapToGrid w:val="0"/>
        </w:rPr>
      </w:pPr>
      <w:r>
        <w:rPr>
          <w:snapToGrid w:val="0"/>
        </w:rPr>
        <w:t>SCALE REPAIRER’S LICENSE</w:t>
      </w:r>
    </w:p>
    <w:p>
      <w:pPr>
        <w:pStyle w:val="MiscellaneousBody"/>
        <w:ind w:left="879"/>
        <w:rPr>
          <w:snapToGrid w:val="0"/>
        </w:rPr>
      </w:pPr>
      <w:r>
        <w:rPr>
          <w:snapToGrid w:val="0"/>
        </w:rPr>
        <w:t>........................., of ................................... is hereby licensed as a scale repairer for one year ending the ............................ day of ................................., 20 .......</w:t>
      </w:r>
    </w:p>
    <w:p>
      <w:pPr>
        <w:pStyle w:val="MiscellaneousBody"/>
        <w:ind w:left="879"/>
        <w:rPr>
          <w:snapToGrid w:val="0"/>
        </w:rPr>
      </w:pPr>
      <w:r>
        <w:rPr>
          <w:snapToGrid w:val="0"/>
        </w:rPr>
        <w:t>Dated this ................... day of ......................., 20 ...........</w:t>
      </w:r>
    </w:p>
    <w:p>
      <w:pPr>
        <w:pStyle w:val="MiscellaneousBody"/>
        <w:ind w:left="879"/>
        <w:jc w:val="right"/>
        <w:rPr>
          <w:snapToGrid w:val="0"/>
        </w:rPr>
      </w:pPr>
      <w:r>
        <w:rPr>
          <w:snapToGrid w:val="0"/>
        </w:rPr>
        <w:t>.........................................</w:t>
      </w:r>
    </w:p>
    <w:p>
      <w:pPr>
        <w:pStyle w:val="MiscellaneousBody"/>
        <w:spacing w:before="0"/>
        <w:ind w:left="879"/>
        <w:jc w:val="right"/>
        <w:outlineLvl w:val="0"/>
        <w:rPr>
          <w:snapToGrid w:val="0"/>
        </w:rPr>
      </w:pPr>
      <w:r>
        <w:rPr>
          <w:snapToGrid w:val="0"/>
        </w:rPr>
        <w:t>Chief Inspector</w:t>
      </w:r>
    </w:p>
    <w:p>
      <w:pPr>
        <w:pStyle w:val="Subsection"/>
        <w:outlineLvl w:val="0"/>
        <w:rPr>
          <w:snapToGrid w:val="0"/>
        </w:rPr>
      </w:pPr>
      <w:r>
        <w:rPr>
          <w:snapToGrid w:val="0"/>
        </w:rPr>
        <w:tab/>
        <w:t>(2)</w:t>
      </w:r>
      <w:r>
        <w:rPr>
          <w:snapToGrid w:val="0"/>
        </w:rPr>
        <w:tab/>
        <w:t>The form prescribed in Table XVI shall be used for every application for a scale repairer’s license.</w:t>
      </w:r>
    </w:p>
    <w:p>
      <w:pPr>
        <w:pStyle w:val="Footnotesection"/>
      </w:pPr>
      <w:r>
        <w:tab/>
        <w:t xml:space="preserve">[Regulation 5 inserted in Gazette 23 May 1960 p. 1409; amended in Gazette 9 Sep 1968 p. 2744; 31 Aug 1984 p. 2829.] </w:t>
      </w:r>
    </w:p>
    <w:p>
      <w:pPr>
        <w:pStyle w:val="Heading5"/>
        <w:rPr>
          <w:snapToGrid w:val="0"/>
        </w:rPr>
      </w:pPr>
      <w:bookmarkStart w:id="230" w:name="_Toc390077255"/>
      <w:r>
        <w:rPr>
          <w:rStyle w:val="CharSectno"/>
        </w:rPr>
        <w:t>6</w:t>
      </w:r>
      <w:r>
        <w:rPr>
          <w:snapToGrid w:val="0"/>
        </w:rPr>
        <w:t>.</w:t>
      </w:r>
      <w:r>
        <w:rPr>
          <w:snapToGrid w:val="0"/>
        </w:rPr>
        <w:tab/>
        <w:t>Fees for scale adjuster’s or repairer’s licence</w:t>
      </w:r>
      <w:bookmarkEnd w:id="230"/>
    </w:p>
    <w:p>
      <w:pPr>
        <w:pStyle w:val="Subsection"/>
        <w:rPr>
          <w:snapToGrid w:val="0"/>
        </w:rPr>
      </w:pPr>
      <w:r>
        <w:rPr>
          <w:snapToGrid w:val="0"/>
        </w:rPr>
        <w:tab/>
      </w:r>
      <w:r>
        <w:rPr>
          <w:snapToGrid w:val="0"/>
        </w:rPr>
        <w:tab/>
        <w:t>The fee payable for a scale adjuster’s license or a scale repairer’s license shall be as prescribed in Table XIIIB.</w:t>
      </w:r>
    </w:p>
    <w:p>
      <w:pPr>
        <w:pStyle w:val="Footnotesection"/>
      </w:pPr>
      <w:r>
        <w:tab/>
        <w:t xml:space="preserve">[Regulation 6 inserted in Gazette 23 May 1960 p. 1409.] </w:t>
      </w:r>
    </w:p>
    <w:p>
      <w:pPr>
        <w:pStyle w:val="Ednotesection"/>
      </w:pPr>
      <w:r>
        <w:t>[</w:t>
      </w:r>
      <w:r>
        <w:rPr>
          <w:b/>
        </w:rPr>
        <w:t>7.</w:t>
      </w:r>
      <w:r>
        <w:rPr>
          <w:b/>
        </w:rPr>
        <w:tab/>
      </w:r>
      <w:r>
        <w:t xml:space="preserve">Deleted in Gazette 31 Aug 1984 p. 2829.] </w:t>
      </w:r>
    </w:p>
    <w:p>
      <w:pPr>
        <w:pStyle w:val="Ednotesection"/>
      </w:pPr>
      <w:r>
        <w:t>[</w:t>
      </w:r>
      <w:r>
        <w:rPr>
          <w:b/>
        </w:rPr>
        <w:t>8.</w:t>
      </w:r>
      <w:r>
        <w:tab/>
        <w:t xml:space="preserve">Inserted in Gazette 23 May 1960 p. 1409; revoked in Gazette 24 Jul 1970 p. 2206.] </w:t>
      </w:r>
    </w:p>
    <w:p>
      <w:pPr>
        <w:pStyle w:val="Heading5"/>
        <w:rPr>
          <w:snapToGrid w:val="0"/>
        </w:rPr>
      </w:pPr>
      <w:bookmarkStart w:id="231" w:name="_Toc390077256"/>
      <w:r>
        <w:rPr>
          <w:rStyle w:val="CharSectno"/>
        </w:rPr>
        <w:t>9</w:t>
      </w:r>
      <w:r>
        <w:rPr>
          <w:snapToGrid w:val="0"/>
        </w:rPr>
        <w:t>.</w:t>
      </w:r>
      <w:r>
        <w:rPr>
          <w:snapToGrid w:val="0"/>
        </w:rPr>
        <w:tab/>
        <w:t>Fees</w:t>
      </w:r>
      <w:bookmarkEnd w:id="231"/>
    </w:p>
    <w:p>
      <w:pPr>
        <w:pStyle w:val="Subsection"/>
        <w:rPr>
          <w:snapToGrid w:val="0"/>
        </w:rPr>
      </w:pPr>
      <w:r>
        <w:rPr>
          <w:snapToGrid w:val="0"/>
        </w:rPr>
        <w:tab/>
      </w:r>
      <w:r>
        <w:rPr>
          <w:snapToGrid w:val="0"/>
        </w:rPr>
        <w:tab/>
        <w:t>The fees prescribed in Tables XIII and XIIIB shall be payable in respect of the matters set out in those tables.</w:t>
      </w:r>
    </w:p>
    <w:p>
      <w:pPr>
        <w:pStyle w:val="Footnotesection"/>
      </w:pPr>
      <w:r>
        <w:tab/>
        <w:t xml:space="preserve">[Regulation 9 inserted in Gazette 20 Jun 1975 p. 1986.] </w:t>
      </w:r>
    </w:p>
    <w:p>
      <w:pPr>
        <w:pStyle w:val="Heading5"/>
        <w:rPr>
          <w:snapToGrid w:val="0"/>
        </w:rPr>
      </w:pPr>
      <w:bookmarkStart w:id="232" w:name="_Toc390077257"/>
      <w:r>
        <w:rPr>
          <w:rStyle w:val="CharSectno"/>
        </w:rPr>
        <w:t>10</w:t>
      </w:r>
      <w:r>
        <w:rPr>
          <w:snapToGrid w:val="0"/>
        </w:rPr>
        <w:t>.</w:t>
      </w:r>
      <w:r>
        <w:rPr>
          <w:snapToGrid w:val="0"/>
        </w:rPr>
        <w:tab/>
        <w:t>Tables form part of regulations</w:t>
      </w:r>
      <w:bookmarkEnd w:id="232"/>
    </w:p>
    <w:p>
      <w:pPr>
        <w:pStyle w:val="Subsection"/>
        <w:rPr>
          <w:snapToGrid w:val="0"/>
        </w:rPr>
      </w:pPr>
      <w:r>
        <w:rPr>
          <w:snapToGrid w:val="0"/>
        </w:rPr>
        <w:tab/>
      </w:r>
      <w:r>
        <w:rPr>
          <w:snapToGrid w:val="0"/>
        </w:rPr>
        <w:tab/>
        <w:t>The Tables hereto shall form part of these regulations.</w:t>
      </w:r>
    </w:p>
    <w:p>
      <w:pPr>
        <w:pStyle w:val="Footnotesection"/>
      </w:pPr>
      <w:r>
        <w:tab/>
        <w:t xml:space="preserve">[Regulation 10 inserted in Gazette 23 May 1960 p. 1410.] </w:t>
      </w:r>
    </w:p>
    <w:p>
      <w:pPr>
        <w:pStyle w:val="MiscellaneousHeading"/>
        <w:spacing w:before="240"/>
        <w:outlineLvl w:val="0"/>
        <w:rPr>
          <w:b/>
          <w:snapToGrid w:val="0"/>
        </w:rPr>
      </w:pPr>
      <w:r>
        <w:rPr>
          <w:b/>
          <w:snapToGrid w:val="0"/>
        </w:rPr>
        <w:t>Penalty</w:t>
      </w:r>
    </w:p>
    <w:p>
      <w:pPr>
        <w:pStyle w:val="Heading5"/>
        <w:rPr>
          <w:snapToGrid w:val="0"/>
        </w:rPr>
      </w:pPr>
      <w:bookmarkStart w:id="233" w:name="_Toc390077258"/>
      <w:r>
        <w:rPr>
          <w:rStyle w:val="CharSectno"/>
        </w:rPr>
        <w:t>11</w:t>
      </w:r>
      <w:r>
        <w:rPr>
          <w:snapToGrid w:val="0"/>
        </w:rPr>
        <w:t>.</w:t>
      </w:r>
      <w:r>
        <w:rPr>
          <w:snapToGrid w:val="0"/>
        </w:rPr>
        <w:tab/>
        <w:t>Penalty for breach of regulations</w:t>
      </w:r>
      <w:bookmarkEnd w:id="233"/>
    </w:p>
    <w:p>
      <w:pPr>
        <w:pStyle w:val="Subsection"/>
        <w:rPr>
          <w:snapToGrid w:val="0"/>
        </w:rPr>
      </w:pPr>
      <w:r>
        <w:rPr>
          <w:snapToGrid w:val="0"/>
        </w:rPr>
        <w:tab/>
      </w:r>
      <w:r>
        <w:rPr>
          <w:snapToGrid w:val="0"/>
        </w:rPr>
        <w:tab/>
      </w:r>
      <w:r>
        <w:t>Except as provided in regulation 2(1) of Part XC, any</w:t>
      </w:r>
      <w:r>
        <w:rPr>
          <w:snapToGrid w:val="0"/>
        </w:rPr>
        <w:t xml:space="preserve"> person committing a breach of these regulations or who contravenes or fails to comply with any provision thereof shall, on conviction, be liable to a penalty not exceeding $100.</w:t>
      </w:r>
    </w:p>
    <w:p>
      <w:pPr>
        <w:pStyle w:val="Footnotesection"/>
      </w:pPr>
      <w:r>
        <w:tab/>
        <w:t xml:space="preserve">[Regulation 11 inserted in Gazette 23 May 1960 p. 1410; amended in Gazette 9 Sep 1968 p. 2743; 1 Apr 2003 p. 1006.] </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ageBreakBefore w:val="0"/>
      </w:pPr>
      <w:bookmarkStart w:id="234" w:name="_Toc390077259"/>
      <w:r>
        <w:rPr>
          <w:rStyle w:val="CharSchNo"/>
        </w:rPr>
        <w:t>Table I</w:t>
      </w:r>
      <w:r>
        <w:rPr>
          <w:rStyle w:val="CharSchText"/>
        </w:rPr>
        <w:t xml:space="preserve"> </w:t>
      </w:r>
      <w:r>
        <w:rPr>
          <w:rStyle w:val="CharSDivNo"/>
        </w:rPr>
        <w:t xml:space="preserve"> </w:t>
      </w:r>
      <w:r>
        <w:rPr>
          <w:rStyle w:val="CharSDivText"/>
        </w:rPr>
        <w:t xml:space="preserve"> </w:t>
      </w:r>
      <w:r>
        <w:rPr>
          <w:rStyle w:val="CharSClsNo"/>
        </w:rPr>
        <w:t>.</w:t>
      </w:r>
      <w:bookmarkEnd w:id="234"/>
    </w:p>
    <w:p>
      <w:pPr>
        <w:pStyle w:val="yMiscellaneousHeading"/>
        <w:rPr>
          <w:i/>
          <w:snapToGrid w:val="0"/>
        </w:rPr>
      </w:pPr>
      <w:r>
        <w:rPr>
          <w:i/>
          <w:snapToGrid w:val="0"/>
        </w:rPr>
        <w:t>Permissible Abbreviations of Denominations of Weights and Measures</w:t>
      </w:r>
    </w:p>
    <w:p>
      <w:pPr>
        <w:pStyle w:val="yMiscellaneousHeading"/>
        <w:spacing w:after="80"/>
        <w:rPr>
          <w:i/>
          <w:snapToGrid w:val="0"/>
        </w:rPr>
      </w:pPr>
      <w:r>
        <w:rPr>
          <w:i/>
          <w:snapToGrid w:val="0"/>
        </w:rPr>
        <w:t>Weights</w:t>
      </w:r>
    </w:p>
    <w:tbl>
      <w:tblPr>
        <w:tblW w:w="0" w:type="auto"/>
        <w:tblInd w:w="284" w:type="dxa"/>
        <w:tblLayout w:type="fixed"/>
        <w:tblCellMar>
          <w:left w:w="284" w:type="dxa"/>
          <w:right w:w="284" w:type="dxa"/>
        </w:tblCellMar>
        <w:tblLook w:val="0000" w:firstRow="0" w:lastRow="0" w:firstColumn="0" w:lastColumn="0" w:noHBand="0" w:noVBand="0"/>
      </w:tblPr>
      <w:tblGrid>
        <w:gridCol w:w="5812"/>
        <w:gridCol w:w="1276"/>
      </w:tblGrid>
      <w:tr>
        <w:tc>
          <w:tcPr>
            <w:tcW w:w="5812" w:type="dxa"/>
          </w:tcPr>
          <w:p>
            <w:pPr>
              <w:pStyle w:val="yTable"/>
              <w:rPr>
                <w:sz w:val="18"/>
              </w:rPr>
            </w:pPr>
            <w:r>
              <w:rPr>
                <w:sz w:val="18"/>
              </w:rPr>
              <w:t xml:space="preserve">Pound ......................................................................................................... </w:t>
            </w:r>
          </w:p>
        </w:tc>
        <w:tc>
          <w:tcPr>
            <w:tcW w:w="1276" w:type="dxa"/>
          </w:tcPr>
          <w:p>
            <w:pPr>
              <w:pStyle w:val="yTable"/>
              <w:rPr>
                <w:sz w:val="18"/>
              </w:rPr>
            </w:pPr>
            <w:r>
              <w:rPr>
                <w:sz w:val="18"/>
              </w:rPr>
              <w:t>lb.</w:t>
            </w:r>
          </w:p>
        </w:tc>
      </w:tr>
      <w:tr>
        <w:tc>
          <w:tcPr>
            <w:tcW w:w="5812" w:type="dxa"/>
          </w:tcPr>
          <w:p>
            <w:pPr>
              <w:pStyle w:val="yTable"/>
              <w:rPr>
                <w:sz w:val="18"/>
              </w:rPr>
            </w:pPr>
            <w:r>
              <w:rPr>
                <w:sz w:val="18"/>
              </w:rPr>
              <w:t xml:space="preserve">Ounce (Avoirdupois) ................................................................................. </w:t>
            </w:r>
          </w:p>
        </w:tc>
        <w:tc>
          <w:tcPr>
            <w:tcW w:w="1276" w:type="dxa"/>
          </w:tcPr>
          <w:p>
            <w:pPr>
              <w:pStyle w:val="yTable"/>
              <w:rPr>
                <w:sz w:val="18"/>
              </w:rPr>
            </w:pPr>
            <w:r>
              <w:rPr>
                <w:sz w:val="18"/>
              </w:rPr>
              <w:t>oz.</w:t>
            </w:r>
          </w:p>
        </w:tc>
      </w:tr>
      <w:tr>
        <w:tc>
          <w:tcPr>
            <w:tcW w:w="5812" w:type="dxa"/>
          </w:tcPr>
          <w:p>
            <w:pPr>
              <w:pStyle w:val="yTable"/>
              <w:rPr>
                <w:sz w:val="18"/>
              </w:rPr>
            </w:pPr>
            <w:r>
              <w:rPr>
                <w:sz w:val="18"/>
              </w:rPr>
              <w:t>Ounce (Troy) .............................................................................................</w:t>
            </w:r>
          </w:p>
        </w:tc>
        <w:tc>
          <w:tcPr>
            <w:tcW w:w="1276" w:type="dxa"/>
          </w:tcPr>
          <w:p>
            <w:pPr>
              <w:pStyle w:val="yTable"/>
              <w:rPr>
                <w:sz w:val="18"/>
              </w:rPr>
            </w:pPr>
            <w:r>
              <w:rPr>
                <w:sz w:val="18"/>
              </w:rPr>
              <w:t>oz. tr.</w:t>
            </w:r>
          </w:p>
        </w:tc>
      </w:tr>
      <w:tr>
        <w:tc>
          <w:tcPr>
            <w:tcW w:w="5812" w:type="dxa"/>
          </w:tcPr>
          <w:p>
            <w:pPr>
              <w:pStyle w:val="yTable"/>
              <w:rPr>
                <w:sz w:val="18"/>
              </w:rPr>
            </w:pPr>
            <w:r>
              <w:rPr>
                <w:sz w:val="18"/>
              </w:rPr>
              <w:t xml:space="preserve">Ounce (Apothecaries’) .............................................................................. </w:t>
            </w:r>
          </w:p>
        </w:tc>
        <w:tc>
          <w:tcPr>
            <w:tcW w:w="1276" w:type="dxa"/>
          </w:tcPr>
          <w:p>
            <w:pPr>
              <w:pStyle w:val="yTable"/>
              <w:rPr>
                <w:sz w:val="18"/>
              </w:rPr>
            </w:pPr>
            <w:r>
              <w:rPr>
                <w:sz w:val="18"/>
              </w:rPr>
              <w:t>oz. apoth.</w:t>
            </w:r>
          </w:p>
        </w:tc>
      </w:tr>
      <w:tr>
        <w:tc>
          <w:tcPr>
            <w:tcW w:w="5812" w:type="dxa"/>
          </w:tcPr>
          <w:p>
            <w:pPr>
              <w:pStyle w:val="yTable"/>
              <w:rPr>
                <w:sz w:val="18"/>
              </w:rPr>
            </w:pPr>
            <w:r>
              <w:rPr>
                <w:sz w:val="18"/>
              </w:rPr>
              <w:t xml:space="preserve">Dram .......................................................................................................... </w:t>
            </w:r>
          </w:p>
        </w:tc>
        <w:tc>
          <w:tcPr>
            <w:tcW w:w="1276" w:type="dxa"/>
          </w:tcPr>
          <w:p>
            <w:pPr>
              <w:pStyle w:val="yTable"/>
              <w:rPr>
                <w:sz w:val="18"/>
              </w:rPr>
            </w:pPr>
            <w:r>
              <w:rPr>
                <w:sz w:val="18"/>
              </w:rPr>
              <w:t>dr.</w:t>
            </w:r>
          </w:p>
        </w:tc>
      </w:tr>
      <w:tr>
        <w:tc>
          <w:tcPr>
            <w:tcW w:w="5812" w:type="dxa"/>
          </w:tcPr>
          <w:p>
            <w:pPr>
              <w:pStyle w:val="yTable"/>
              <w:rPr>
                <w:sz w:val="18"/>
              </w:rPr>
            </w:pPr>
            <w:r>
              <w:rPr>
                <w:sz w:val="18"/>
              </w:rPr>
              <w:t xml:space="preserve">Grain .......................................................................................................... </w:t>
            </w:r>
          </w:p>
        </w:tc>
        <w:tc>
          <w:tcPr>
            <w:tcW w:w="1276" w:type="dxa"/>
          </w:tcPr>
          <w:p>
            <w:pPr>
              <w:pStyle w:val="yTable"/>
              <w:rPr>
                <w:sz w:val="18"/>
              </w:rPr>
            </w:pPr>
            <w:r>
              <w:rPr>
                <w:sz w:val="18"/>
              </w:rPr>
              <w:t>gr.</w:t>
            </w:r>
          </w:p>
        </w:tc>
      </w:tr>
    </w:tbl>
    <w:p>
      <w:pPr>
        <w:pStyle w:val="yMiscellaneousHeading"/>
        <w:spacing w:after="80"/>
        <w:rPr>
          <w:i/>
          <w:snapToGrid w:val="0"/>
        </w:rPr>
      </w:pPr>
      <w:r>
        <w:rPr>
          <w:i/>
          <w:snapToGrid w:val="0"/>
        </w:rPr>
        <w:t xml:space="preserve">Measures of Length </w:t>
      </w:r>
    </w:p>
    <w:tbl>
      <w:tblPr>
        <w:tblW w:w="0" w:type="auto"/>
        <w:tblInd w:w="284" w:type="dxa"/>
        <w:tblLayout w:type="fixed"/>
        <w:tblCellMar>
          <w:left w:w="284" w:type="dxa"/>
          <w:right w:w="284" w:type="dxa"/>
        </w:tblCellMar>
        <w:tblLook w:val="0000" w:firstRow="0" w:lastRow="0" w:firstColumn="0" w:lastColumn="0" w:noHBand="0" w:noVBand="0"/>
      </w:tblPr>
      <w:tblGrid>
        <w:gridCol w:w="5812"/>
        <w:gridCol w:w="1276"/>
      </w:tblGrid>
      <w:tr>
        <w:tc>
          <w:tcPr>
            <w:tcW w:w="5812" w:type="dxa"/>
          </w:tcPr>
          <w:p>
            <w:pPr>
              <w:pStyle w:val="yTable"/>
              <w:rPr>
                <w:sz w:val="18"/>
              </w:rPr>
            </w:pPr>
            <w:r>
              <w:rPr>
                <w:sz w:val="18"/>
              </w:rPr>
              <w:t>Yard ...........................................................................................................</w:t>
            </w:r>
          </w:p>
        </w:tc>
        <w:tc>
          <w:tcPr>
            <w:tcW w:w="1276" w:type="dxa"/>
          </w:tcPr>
          <w:p>
            <w:pPr>
              <w:pStyle w:val="yTable"/>
              <w:rPr>
                <w:sz w:val="18"/>
              </w:rPr>
            </w:pPr>
            <w:r>
              <w:rPr>
                <w:sz w:val="18"/>
              </w:rPr>
              <w:t>yd.</w:t>
            </w:r>
          </w:p>
        </w:tc>
      </w:tr>
      <w:tr>
        <w:tc>
          <w:tcPr>
            <w:tcW w:w="5812" w:type="dxa"/>
          </w:tcPr>
          <w:p>
            <w:pPr>
              <w:pStyle w:val="yTable"/>
              <w:rPr>
                <w:sz w:val="18"/>
              </w:rPr>
            </w:pPr>
            <w:r>
              <w:rPr>
                <w:sz w:val="18"/>
              </w:rPr>
              <w:t>Foot ...........................................................................................................</w:t>
            </w:r>
          </w:p>
        </w:tc>
        <w:tc>
          <w:tcPr>
            <w:tcW w:w="1276" w:type="dxa"/>
          </w:tcPr>
          <w:p>
            <w:pPr>
              <w:pStyle w:val="yTable"/>
              <w:rPr>
                <w:sz w:val="18"/>
              </w:rPr>
            </w:pPr>
            <w:r>
              <w:rPr>
                <w:sz w:val="18"/>
              </w:rPr>
              <w:t>ft.</w:t>
            </w:r>
          </w:p>
        </w:tc>
      </w:tr>
      <w:tr>
        <w:tc>
          <w:tcPr>
            <w:tcW w:w="5812" w:type="dxa"/>
          </w:tcPr>
          <w:p>
            <w:pPr>
              <w:pStyle w:val="yTable"/>
              <w:rPr>
                <w:sz w:val="18"/>
              </w:rPr>
            </w:pPr>
            <w:r>
              <w:rPr>
                <w:sz w:val="18"/>
              </w:rPr>
              <w:t>Inch ............................................................................................................</w:t>
            </w:r>
          </w:p>
        </w:tc>
        <w:tc>
          <w:tcPr>
            <w:tcW w:w="1276" w:type="dxa"/>
          </w:tcPr>
          <w:p>
            <w:pPr>
              <w:pStyle w:val="yTable"/>
              <w:rPr>
                <w:sz w:val="18"/>
              </w:rPr>
            </w:pPr>
            <w:r>
              <w:rPr>
                <w:sz w:val="18"/>
              </w:rPr>
              <w:t>in.</w:t>
            </w:r>
          </w:p>
        </w:tc>
      </w:tr>
    </w:tbl>
    <w:p>
      <w:pPr>
        <w:pStyle w:val="yMiscellaneousHeading"/>
        <w:rPr>
          <w:i/>
          <w:snapToGrid w:val="0"/>
        </w:rPr>
      </w:pPr>
      <w:r>
        <w:rPr>
          <w:i/>
          <w:snapToGrid w:val="0"/>
        </w:rPr>
        <w:t xml:space="preserve">Measures of Capacity </w:t>
      </w:r>
    </w:p>
    <w:p>
      <w:pPr>
        <w:pStyle w:val="yMiscellaneousBody"/>
        <w:spacing w:before="80" w:line="220" w:lineRule="atLeast"/>
        <w:ind w:left="284"/>
        <w:rPr>
          <w:snapToGrid w:val="0"/>
          <w:sz w:val="18"/>
        </w:rPr>
      </w:pPr>
      <w:r>
        <w:rPr>
          <w:snapToGrid w:val="0"/>
          <w:sz w:val="18"/>
        </w:rPr>
        <w:t>Where “half” or “quarter” is used in reference to measures of capacity in the Act, Schedule B, it may be abbreviated to “½” or “¼” respectively.</w:t>
      </w:r>
    </w:p>
    <w:p>
      <w:pPr>
        <w:pStyle w:val="yMiscellaneousHeading"/>
        <w:spacing w:after="80"/>
        <w:outlineLvl w:val="0"/>
        <w:rPr>
          <w:i/>
          <w:snapToGrid w:val="0"/>
        </w:rPr>
      </w:pPr>
      <w:r>
        <w:rPr>
          <w:i/>
          <w:snapToGrid w:val="0"/>
        </w:rPr>
        <w:t xml:space="preserve">Apothecaries’ Measures </w:t>
      </w:r>
    </w:p>
    <w:tbl>
      <w:tblPr>
        <w:tblW w:w="0" w:type="auto"/>
        <w:tblInd w:w="284" w:type="dxa"/>
        <w:tblLayout w:type="fixed"/>
        <w:tblCellMar>
          <w:left w:w="284" w:type="dxa"/>
          <w:right w:w="284" w:type="dxa"/>
        </w:tblCellMar>
        <w:tblLook w:val="0000" w:firstRow="0" w:lastRow="0" w:firstColumn="0" w:lastColumn="0" w:noHBand="0" w:noVBand="0"/>
      </w:tblPr>
      <w:tblGrid>
        <w:gridCol w:w="5812"/>
        <w:gridCol w:w="1276"/>
      </w:tblGrid>
      <w:tr>
        <w:tc>
          <w:tcPr>
            <w:tcW w:w="5812" w:type="dxa"/>
          </w:tcPr>
          <w:p>
            <w:pPr>
              <w:pStyle w:val="yTable"/>
              <w:rPr>
                <w:sz w:val="18"/>
              </w:rPr>
            </w:pPr>
            <w:r>
              <w:rPr>
                <w:sz w:val="18"/>
              </w:rPr>
              <w:t>Fluid ounce ................................................................................................</w:t>
            </w:r>
          </w:p>
        </w:tc>
        <w:tc>
          <w:tcPr>
            <w:tcW w:w="1276" w:type="dxa"/>
          </w:tcPr>
          <w:p>
            <w:pPr>
              <w:pStyle w:val="yTable"/>
              <w:rPr>
                <w:sz w:val="18"/>
              </w:rPr>
            </w:pPr>
            <w:r>
              <w:rPr>
                <w:sz w:val="18"/>
              </w:rPr>
              <w:t>fl. oz.</w:t>
            </w:r>
          </w:p>
        </w:tc>
      </w:tr>
      <w:tr>
        <w:tc>
          <w:tcPr>
            <w:tcW w:w="5812" w:type="dxa"/>
          </w:tcPr>
          <w:p>
            <w:pPr>
              <w:pStyle w:val="yTable"/>
              <w:rPr>
                <w:sz w:val="18"/>
              </w:rPr>
            </w:pPr>
            <w:r>
              <w:rPr>
                <w:sz w:val="18"/>
              </w:rPr>
              <w:t>Fluid drachm ..............................................................................................</w:t>
            </w:r>
          </w:p>
        </w:tc>
        <w:tc>
          <w:tcPr>
            <w:tcW w:w="1276" w:type="dxa"/>
          </w:tcPr>
          <w:p>
            <w:pPr>
              <w:pStyle w:val="yTable"/>
              <w:rPr>
                <w:sz w:val="18"/>
              </w:rPr>
            </w:pPr>
            <w:r>
              <w:rPr>
                <w:sz w:val="18"/>
              </w:rPr>
              <w:t>fl. dr.</w:t>
            </w:r>
          </w:p>
        </w:tc>
      </w:tr>
      <w:tr>
        <w:tc>
          <w:tcPr>
            <w:tcW w:w="5812" w:type="dxa"/>
          </w:tcPr>
          <w:p>
            <w:pPr>
              <w:pStyle w:val="yTable"/>
              <w:rPr>
                <w:sz w:val="18"/>
              </w:rPr>
            </w:pPr>
            <w:r>
              <w:rPr>
                <w:sz w:val="18"/>
              </w:rPr>
              <w:t>Minim ........................................................................................................</w:t>
            </w:r>
          </w:p>
        </w:tc>
        <w:tc>
          <w:tcPr>
            <w:tcW w:w="1276" w:type="dxa"/>
          </w:tcPr>
          <w:p>
            <w:pPr>
              <w:pStyle w:val="yTable"/>
              <w:rPr>
                <w:sz w:val="18"/>
              </w:rPr>
            </w:pPr>
            <w:r>
              <w:rPr>
                <w:sz w:val="18"/>
              </w:rPr>
              <w:t>min.</w:t>
            </w:r>
          </w:p>
        </w:tc>
      </w:tr>
    </w:tbl>
    <w:p>
      <w:pPr>
        <w:pStyle w:val="yScheduleHeading"/>
      </w:pPr>
      <w:bookmarkStart w:id="235" w:name="_Toc390077260"/>
      <w:r>
        <w:rPr>
          <w:rStyle w:val="CharSchNo"/>
        </w:rPr>
        <w:t>Table II</w:t>
      </w:r>
      <w:bookmarkEnd w:id="235"/>
    </w:p>
    <w:p>
      <w:pPr>
        <w:pStyle w:val="yMiscellaneousHeading"/>
        <w:rPr>
          <w:i/>
          <w:snapToGrid w:val="0"/>
        </w:rPr>
      </w:pPr>
      <w:r>
        <w:rPr>
          <w:i/>
          <w:snapToGrid w:val="0"/>
        </w:rPr>
        <w:t>Errors Permissible on Verification of Local Standards</w:t>
      </w:r>
    </w:p>
    <w:p>
      <w:pPr>
        <w:pStyle w:val="yMiscellaneousHeading"/>
        <w:spacing w:after="80"/>
        <w:rPr>
          <w:i/>
          <w:snapToGrid w:val="0"/>
        </w:rPr>
      </w:pPr>
      <w:r>
        <w:rPr>
          <w:i/>
          <w:snapToGrid w:val="0"/>
        </w:rPr>
        <w:t>Weights</w:t>
      </w:r>
    </w:p>
    <w:tbl>
      <w:tblPr>
        <w:tblW w:w="0" w:type="auto"/>
        <w:tblInd w:w="85"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45"/>
        <w:gridCol w:w="1843"/>
      </w:tblGrid>
      <w:tr>
        <w:trPr>
          <w:cantSplit/>
          <w:tblHeader/>
        </w:trPr>
        <w:tc>
          <w:tcPr>
            <w:tcW w:w="5245" w:type="dxa"/>
            <w:vMerge w:val="restart"/>
            <w:tcBorders>
              <w:top w:val="single" w:sz="4" w:space="0" w:color="auto"/>
              <w:bottom w:val="single" w:sz="4" w:space="0" w:color="auto"/>
            </w:tcBorders>
          </w:tcPr>
          <w:p>
            <w:pPr>
              <w:pStyle w:val="yTable"/>
              <w:jc w:val="center"/>
              <w:rPr>
                <w:b/>
                <w:sz w:val="18"/>
              </w:rPr>
            </w:pPr>
          </w:p>
          <w:p>
            <w:pPr>
              <w:pStyle w:val="yTable"/>
              <w:spacing w:before="0"/>
              <w:jc w:val="center"/>
              <w:rPr>
                <w:b/>
                <w:sz w:val="18"/>
              </w:rPr>
            </w:pPr>
            <w:r>
              <w:rPr>
                <w:b/>
                <w:sz w:val="18"/>
              </w:rPr>
              <w:t>Denomination</w:t>
            </w:r>
          </w:p>
        </w:tc>
        <w:tc>
          <w:tcPr>
            <w:tcW w:w="1843" w:type="dxa"/>
            <w:tcBorders>
              <w:top w:val="single" w:sz="4" w:space="0" w:color="auto"/>
              <w:bottom w:val="single" w:sz="4" w:space="0" w:color="auto"/>
            </w:tcBorders>
          </w:tcPr>
          <w:p>
            <w:pPr>
              <w:pStyle w:val="yTable"/>
              <w:jc w:val="center"/>
              <w:rPr>
                <w:b/>
                <w:sz w:val="18"/>
              </w:rPr>
            </w:pPr>
            <w:r>
              <w:rPr>
                <w:b/>
                <w:sz w:val="18"/>
              </w:rPr>
              <w:t>Error in Excess</w:t>
            </w:r>
          </w:p>
        </w:tc>
      </w:tr>
      <w:tr>
        <w:trPr>
          <w:cantSplit/>
          <w:tblHeader/>
        </w:trPr>
        <w:tc>
          <w:tcPr>
            <w:tcW w:w="5245" w:type="dxa"/>
            <w:vMerge/>
            <w:tcBorders>
              <w:top w:val="single" w:sz="4" w:space="0" w:color="auto"/>
              <w:bottom w:val="single" w:sz="4" w:space="0" w:color="auto"/>
            </w:tcBorders>
          </w:tcPr>
          <w:p>
            <w:pPr>
              <w:pStyle w:val="yTable"/>
              <w:jc w:val="center"/>
              <w:rPr>
                <w:b/>
                <w:sz w:val="18"/>
              </w:rPr>
            </w:pPr>
          </w:p>
        </w:tc>
        <w:tc>
          <w:tcPr>
            <w:tcW w:w="1843" w:type="dxa"/>
            <w:tcBorders>
              <w:top w:val="single" w:sz="4" w:space="0" w:color="auto"/>
              <w:bottom w:val="single" w:sz="4" w:space="0" w:color="auto"/>
            </w:tcBorders>
          </w:tcPr>
          <w:p>
            <w:pPr>
              <w:pStyle w:val="yTable"/>
              <w:jc w:val="center"/>
              <w:rPr>
                <w:b/>
                <w:sz w:val="18"/>
              </w:rPr>
            </w:pPr>
            <w:r>
              <w:rPr>
                <w:b/>
                <w:sz w:val="18"/>
              </w:rPr>
              <w:t>Half this amount in Deficiency</w:t>
            </w:r>
          </w:p>
        </w:tc>
      </w:tr>
      <w:tr>
        <w:trPr>
          <w:cantSplit/>
        </w:trPr>
        <w:tc>
          <w:tcPr>
            <w:tcW w:w="5245" w:type="dxa"/>
            <w:tcBorders>
              <w:top w:val="nil"/>
              <w:bottom w:val="nil"/>
            </w:tcBorders>
          </w:tcPr>
          <w:p>
            <w:pPr>
              <w:pStyle w:val="yTable"/>
              <w:rPr>
                <w:sz w:val="18"/>
              </w:rPr>
            </w:pPr>
            <w:r>
              <w:rPr>
                <w:sz w:val="18"/>
              </w:rPr>
              <w:t>Avoirdupois: — </w:t>
            </w:r>
          </w:p>
        </w:tc>
        <w:tc>
          <w:tcPr>
            <w:tcW w:w="1843" w:type="dxa"/>
            <w:tcBorders>
              <w:top w:val="nil"/>
              <w:bottom w:val="nil"/>
            </w:tcBorders>
          </w:tcPr>
          <w:p>
            <w:pPr>
              <w:pStyle w:val="yTable"/>
              <w:ind w:left="482"/>
              <w:rPr>
                <w:sz w:val="18"/>
              </w:rPr>
            </w:pPr>
            <w:r>
              <w:rPr>
                <w:sz w:val="18"/>
              </w:rPr>
              <w:t>Grains</w:t>
            </w:r>
          </w:p>
        </w:tc>
      </w:tr>
      <w:tr>
        <w:trPr>
          <w:cantSplit/>
        </w:trPr>
        <w:tc>
          <w:tcPr>
            <w:tcW w:w="5245" w:type="dxa"/>
            <w:tcBorders>
              <w:top w:val="nil"/>
            </w:tcBorders>
          </w:tcPr>
          <w:p>
            <w:pPr>
              <w:pStyle w:val="yTable"/>
              <w:tabs>
                <w:tab w:val="left" w:pos="284"/>
              </w:tabs>
              <w:spacing w:before="40"/>
              <w:rPr>
                <w:sz w:val="18"/>
              </w:rPr>
            </w:pPr>
            <w:r>
              <w:rPr>
                <w:sz w:val="18"/>
              </w:rPr>
              <w:tab/>
              <w:t>56 lb. ................................................................................................</w:t>
            </w:r>
          </w:p>
        </w:tc>
        <w:tc>
          <w:tcPr>
            <w:tcW w:w="1843" w:type="dxa"/>
            <w:tcBorders>
              <w:top w:val="nil"/>
            </w:tcBorders>
          </w:tcPr>
          <w:p>
            <w:pPr>
              <w:pStyle w:val="yTable"/>
              <w:spacing w:before="40"/>
              <w:ind w:left="482"/>
              <w:rPr>
                <w:sz w:val="18"/>
              </w:rPr>
            </w:pPr>
            <w:r>
              <w:rPr>
                <w:sz w:val="18"/>
              </w:rPr>
              <w:t>4</w:t>
            </w:r>
          </w:p>
        </w:tc>
      </w:tr>
      <w:tr>
        <w:trPr>
          <w:cantSplit/>
        </w:trPr>
        <w:tc>
          <w:tcPr>
            <w:tcW w:w="5245" w:type="dxa"/>
          </w:tcPr>
          <w:p>
            <w:pPr>
              <w:pStyle w:val="yTable"/>
              <w:tabs>
                <w:tab w:val="left" w:pos="284"/>
              </w:tabs>
              <w:spacing w:before="40"/>
              <w:rPr>
                <w:sz w:val="18"/>
              </w:rPr>
            </w:pPr>
            <w:r>
              <w:rPr>
                <w:sz w:val="18"/>
              </w:rPr>
              <w:tab/>
              <w:t>28 lb. ................................................................................................</w:t>
            </w:r>
          </w:p>
        </w:tc>
        <w:tc>
          <w:tcPr>
            <w:tcW w:w="1843" w:type="dxa"/>
          </w:tcPr>
          <w:p>
            <w:pPr>
              <w:pStyle w:val="yTable"/>
              <w:spacing w:before="40"/>
              <w:ind w:left="482"/>
              <w:rPr>
                <w:sz w:val="18"/>
              </w:rPr>
            </w:pPr>
            <w:r>
              <w:rPr>
                <w:sz w:val="18"/>
              </w:rPr>
              <w:t>3</w:t>
            </w:r>
          </w:p>
        </w:tc>
      </w:tr>
      <w:tr>
        <w:trPr>
          <w:cantSplit/>
        </w:trPr>
        <w:tc>
          <w:tcPr>
            <w:tcW w:w="5245" w:type="dxa"/>
          </w:tcPr>
          <w:p>
            <w:pPr>
              <w:pStyle w:val="yTable"/>
              <w:tabs>
                <w:tab w:val="left" w:pos="284"/>
              </w:tabs>
              <w:spacing w:before="40"/>
              <w:rPr>
                <w:sz w:val="18"/>
              </w:rPr>
            </w:pPr>
            <w:r>
              <w:rPr>
                <w:sz w:val="18"/>
              </w:rPr>
              <w:tab/>
              <w:t>14 lb., 7 lb., and 4 lb. .......................................................................</w:t>
            </w:r>
          </w:p>
        </w:tc>
        <w:tc>
          <w:tcPr>
            <w:tcW w:w="1843" w:type="dxa"/>
          </w:tcPr>
          <w:p>
            <w:pPr>
              <w:pStyle w:val="yTable"/>
              <w:spacing w:before="40"/>
              <w:ind w:left="482"/>
              <w:rPr>
                <w:sz w:val="18"/>
              </w:rPr>
            </w:pPr>
            <w:r>
              <w:rPr>
                <w:sz w:val="18"/>
              </w:rPr>
              <w:t>2</w:t>
            </w:r>
          </w:p>
        </w:tc>
      </w:tr>
      <w:tr>
        <w:trPr>
          <w:cantSplit/>
        </w:trPr>
        <w:tc>
          <w:tcPr>
            <w:tcW w:w="5245" w:type="dxa"/>
          </w:tcPr>
          <w:p>
            <w:pPr>
              <w:pStyle w:val="yTable"/>
              <w:tabs>
                <w:tab w:val="left" w:pos="284"/>
              </w:tabs>
              <w:spacing w:before="40"/>
              <w:rPr>
                <w:sz w:val="18"/>
              </w:rPr>
            </w:pPr>
            <w:r>
              <w:rPr>
                <w:sz w:val="18"/>
              </w:rPr>
              <w:tab/>
              <w:t>2 lb. ..................................................................................................</w:t>
            </w:r>
          </w:p>
        </w:tc>
        <w:tc>
          <w:tcPr>
            <w:tcW w:w="1843" w:type="dxa"/>
          </w:tcPr>
          <w:p>
            <w:pPr>
              <w:pStyle w:val="yTable"/>
              <w:spacing w:before="40"/>
              <w:ind w:left="482"/>
              <w:rPr>
                <w:sz w:val="18"/>
              </w:rPr>
            </w:pPr>
            <w:r>
              <w:rPr>
                <w:sz w:val="18"/>
              </w:rPr>
              <w:t>1</w:t>
            </w:r>
          </w:p>
        </w:tc>
      </w:tr>
      <w:tr>
        <w:trPr>
          <w:cantSplit/>
        </w:trPr>
        <w:tc>
          <w:tcPr>
            <w:tcW w:w="5245" w:type="dxa"/>
          </w:tcPr>
          <w:p>
            <w:pPr>
              <w:pStyle w:val="yTable"/>
              <w:tabs>
                <w:tab w:val="left" w:pos="284"/>
              </w:tabs>
              <w:spacing w:before="40"/>
              <w:rPr>
                <w:sz w:val="18"/>
              </w:rPr>
            </w:pPr>
            <w:r>
              <w:rPr>
                <w:sz w:val="18"/>
              </w:rPr>
              <w:tab/>
              <w:t>1lb. ...................................................................................................</w:t>
            </w:r>
          </w:p>
        </w:tc>
        <w:tc>
          <w:tcPr>
            <w:tcW w:w="1843" w:type="dxa"/>
          </w:tcPr>
          <w:p>
            <w:pPr>
              <w:pStyle w:val="yTable"/>
              <w:spacing w:before="40"/>
              <w:ind w:left="482"/>
              <w:rPr>
                <w:sz w:val="18"/>
              </w:rPr>
            </w:pPr>
            <w:r>
              <w:rPr>
                <w:sz w:val="18"/>
              </w:rPr>
              <w:t>0.5</w:t>
            </w:r>
          </w:p>
        </w:tc>
      </w:tr>
      <w:tr>
        <w:trPr>
          <w:cantSplit/>
        </w:trPr>
        <w:tc>
          <w:tcPr>
            <w:tcW w:w="5245" w:type="dxa"/>
          </w:tcPr>
          <w:p>
            <w:pPr>
              <w:pStyle w:val="yTable"/>
              <w:tabs>
                <w:tab w:val="left" w:pos="284"/>
              </w:tabs>
              <w:spacing w:before="40"/>
              <w:rPr>
                <w:sz w:val="18"/>
              </w:rPr>
            </w:pPr>
            <w:r>
              <w:rPr>
                <w:sz w:val="18"/>
              </w:rPr>
              <w:tab/>
              <w:t>8 oz. and 4oz. ...................................................................................</w:t>
            </w:r>
          </w:p>
        </w:tc>
        <w:tc>
          <w:tcPr>
            <w:tcW w:w="1843" w:type="dxa"/>
          </w:tcPr>
          <w:p>
            <w:pPr>
              <w:pStyle w:val="yTable"/>
              <w:spacing w:before="40"/>
              <w:ind w:left="482"/>
              <w:rPr>
                <w:sz w:val="18"/>
              </w:rPr>
            </w:pPr>
            <w:r>
              <w:rPr>
                <w:sz w:val="18"/>
              </w:rPr>
              <w:t>0.2</w:t>
            </w:r>
          </w:p>
        </w:tc>
      </w:tr>
      <w:tr>
        <w:trPr>
          <w:cantSplit/>
        </w:trPr>
        <w:tc>
          <w:tcPr>
            <w:tcW w:w="5245" w:type="dxa"/>
          </w:tcPr>
          <w:p>
            <w:pPr>
              <w:pStyle w:val="yTable"/>
              <w:tabs>
                <w:tab w:val="left" w:pos="284"/>
              </w:tabs>
              <w:spacing w:before="40"/>
              <w:rPr>
                <w:sz w:val="18"/>
              </w:rPr>
            </w:pPr>
            <w:r>
              <w:rPr>
                <w:sz w:val="18"/>
              </w:rPr>
              <w:tab/>
              <w:t>2 oz. and 1 oz. ..................................................................................</w:t>
            </w:r>
          </w:p>
        </w:tc>
        <w:tc>
          <w:tcPr>
            <w:tcW w:w="1843" w:type="dxa"/>
          </w:tcPr>
          <w:p>
            <w:pPr>
              <w:pStyle w:val="yTable"/>
              <w:spacing w:before="40"/>
              <w:ind w:left="482"/>
              <w:rPr>
                <w:sz w:val="18"/>
              </w:rPr>
            </w:pPr>
            <w:r>
              <w:rPr>
                <w:sz w:val="18"/>
              </w:rPr>
              <w:t>0.1</w:t>
            </w:r>
          </w:p>
        </w:tc>
      </w:tr>
      <w:tr>
        <w:trPr>
          <w:cantSplit/>
        </w:trPr>
        <w:tc>
          <w:tcPr>
            <w:tcW w:w="5245" w:type="dxa"/>
          </w:tcPr>
          <w:p>
            <w:pPr>
              <w:pStyle w:val="yTable"/>
              <w:tabs>
                <w:tab w:val="left" w:pos="284"/>
              </w:tabs>
              <w:spacing w:before="40"/>
              <w:rPr>
                <w:sz w:val="18"/>
              </w:rPr>
            </w:pPr>
            <w:r>
              <w:rPr>
                <w:sz w:val="18"/>
              </w:rPr>
              <w:tab/>
              <w:t>8 drams, 4 drams, and 2 drams ........................................................</w:t>
            </w:r>
          </w:p>
        </w:tc>
        <w:tc>
          <w:tcPr>
            <w:tcW w:w="1843" w:type="dxa"/>
          </w:tcPr>
          <w:p>
            <w:pPr>
              <w:pStyle w:val="yTable"/>
              <w:spacing w:before="40"/>
              <w:ind w:left="482"/>
              <w:rPr>
                <w:sz w:val="18"/>
              </w:rPr>
            </w:pPr>
            <w:r>
              <w:rPr>
                <w:sz w:val="18"/>
              </w:rPr>
              <w:t>0.05</w:t>
            </w:r>
          </w:p>
        </w:tc>
      </w:tr>
      <w:tr>
        <w:trPr>
          <w:cantSplit/>
        </w:trPr>
        <w:tc>
          <w:tcPr>
            <w:tcW w:w="5245" w:type="dxa"/>
          </w:tcPr>
          <w:p>
            <w:pPr>
              <w:pStyle w:val="yTable"/>
              <w:tabs>
                <w:tab w:val="left" w:pos="284"/>
              </w:tabs>
              <w:spacing w:before="40"/>
              <w:rPr>
                <w:sz w:val="18"/>
              </w:rPr>
            </w:pPr>
            <w:r>
              <w:rPr>
                <w:sz w:val="18"/>
              </w:rPr>
              <w:tab/>
              <w:t>1 dram and ½ dram ..........................................................................</w:t>
            </w:r>
          </w:p>
        </w:tc>
        <w:tc>
          <w:tcPr>
            <w:tcW w:w="1843" w:type="dxa"/>
          </w:tcPr>
          <w:p>
            <w:pPr>
              <w:pStyle w:val="yTable"/>
              <w:spacing w:before="40"/>
              <w:ind w:left="482"/>
              <w:rPr>
                <w:sz w:val="18"/>
              </w:rPr>
            </w:pPr>
            <w:r>
              <w:rPr>
                <w:sz w:val="18"/>
              </w:rPr>
              <w:t>0.02</w:t>
            </w:r>
          </w:p>
        </w:tc>
      </w:tr>
      <w:tr>
        <w:trPr>
          <w:cantSplit/>
        </w:trPr>
        <w:tc>
          <w:tcPr>
            <w:tcW w:w="5245" w:type="dxa"/>
          </w:tcPr>
          <w:p>
            <w:pPr>
              <w:pStyle w:val="yTable"/>
              <w:spacing w:before="40"/>
              <w:rPr>
                <w:sz w:val="18"/>
              </w:rPr>
            </w:pPr>
            <w:r>
              <w:rPr>
                <w:sz w:val="18"/>
              </w:rPr>
              <w:t>Decimal grains: — </w:t>
            </w:r>
          </w:p>
        </w:tc>
        <w:tc>
          <w:tcPr>
            <w:tcW w:w="1843" w:type="dxa"/>
          </w:tcPr>
          <w:p>
            <w:pPr>
              <w:pStyle w:val="yTable"/>
              <w:spacing w:before="40"/>
              <w:ind w:left="482"/>
              <w:rPr>
                <w:sz w:val="18"/>
              </w:rPr>
            </w:pPr>
          </w:p>
        </w:tc>
      </w:tr>
      <w:tr>
        <w:trPr>
          <w:cantSplit/>
        </w:trPr>
        <w:tc>
          <w:tcPr>
            <w:tcW w:w="5245" w:type="dxa"/>
          </w:tcPr>
          <w:p>
            <w:pPr>
              <w:pStyle w:val="yTable"/>
              <w:tabs>
                <w:tab w:val="left" w:pos="284"/>
              </w:tabs>
              <w:spacing w:before="40"/>
              <w:rPr>
                <w:sz w:val="18"/>
              </w:rPr>
            </w:pPr>
            <w:r>
              <w:rPr>
                <w:sz w:val="18"/>
              </w:rPr>
              <w:tab/>
              <w:t>4,000 and 2,000 grains ....................................................................</w:t>
            </w:r>
          </w:p>
        </w:tc>
        <w:tc>
          <w:tcPr>
            <w:tcW w:w="1843" w:type="dxa"/>
          </w:tcPr>
          <w:p>
            <w:pPr>
              <w:pStyle w:val="yTable"/>
              <w:spacing w:before="40"/>
              <w:ind w:left="482"/>
              <w:rPr>
                <w:sz w:val="18"/>
              </w:rPr>
            </w:pPr>
            <w:r>
              <w:rPr>
                <w:sz w:val="18"/>
              </w:rPr>
              <w:t>0.2</w:t>
            </w:r>
          </w:p>
        </w:tc>
      </w:tr>
      <w:tr>
        <w:trPr>
          <w:cantSplit/>
        </w:trPr>
        <w:tc>
          <w:tcPr>
            <w:tcW w:w="5245" w:type="dxa"/>
          </w:tcPr>
          <w:p>
            <w:pPr>
              <w:pStyle w:val="yTable"/>
              <w:tabs>
                <w:tab w:val="left" w:pos="284"/>
              </w:tabs>
              <w:spacing w:before="40"/>
              <w:rPr>
                <w:sz w:val="18"/>
              </w:rPr>
            </w:pPr>
            <w:r>
              <w:rPr>
                <w:sz w:val="18"/>
              </w:rPr>
              <w:tab/>
              <w:t>1,000, 500, and 300 grains ..............................................................</w:t>
            </w:r>
          </w:p>
        </w:tc>
        <w:tc>
          <w:tcPr>
            <w:tcW w:w="1843" w:type="dxa"/>
          </w:tcPr>
          <w:p>
            <w:pPr>
              <w:pStyle w:val="yTable"/>
              <w:spacing w:before="40"/>
              <w:ind w:left="482"/>
              <w:rPr>
                <w:sz w:val="18"/>
              </w:rPr>
            </w:pPr>
            <w:r>
              <w:rPr>
                <w:sz w:val="18"/>
              </w:rPr>
              <w:t>0.1</w:t>
            </w:r>
          </w:p>
        </w:tc>
      </w:tr>
      <w:tr>
        <w:trPr>
          <w:cantSplit/>
        </w:trPr>
        <w:tc>
          <w:tcPr>
            <w:tcW w:w="5245" w:type="dxa"/>
          </w:tcPr>
          <w:p>
            <w:pPr>
              <w:pStyle w:val="yTable"/>
              <w:tabs>
                <w:tab w:val="left" w:pos="284"/>
              </w:tabs>
              <w:spacing w:before="40"/>
              <w:rPr>
                <w:sz w:val="18"/>
              </w:rPr>
            </w:pPr>
            <w:r>
              <w:rPr>
                <w:sz w:val="18"/>
              </w:rPr>
              <w:tab/>
              <w:t>200, 100, and 50 grains ...................................................................</w:t>
            </w:r>
          </w:p>
        </w:tc>
        <w:tc>
          <w:tcPr>
            <w:tcW w:w="1843" w:type="dxa"/>
          </w:tcPr>
          <w:p>
            <w:pPr>
              <w:pStyle w:val="yTable"/>
              <w:spacing w:before="40"/>
              <w:ind w:left="482"/>
              <w:rPr>
                <w:sz w:val="18"/>
              </w:rPr>
            </w:pPr>
            <w:r>
              <w:rPr>
                <w:sz w:val="18"/>
              </w:rPr>
              <w:t>0.05</w:t>
            </w:r>
          </w:p>
        </w:tc>
      </w:tr>
      <w:tr>
        <w:trPr>
          <w:cantSplit/>
        </w:trPr>
        <w:tc>
          <w:tcPr>
            <w:tcW w:w="5245" w:type="dxa"/>
          </w:tcPr>
          <w:p>
            <w:pPr>
              <w:pStyle w:val="yTable"/>
              <w:tabs>
                <w:tab w:val="left" w:pos="284"/>
              </w:tabs>
              <w:spacing w:before="40"/>
              <w:rPr>
                <w:sz w:val="18"/>
              </w:rPr>
            </w:pPr>
            <w:r>
              <w:rPr>
                <w:sz w:val="18"/>
              </w:rPr>
              <w:tab/>
              <w:t>30, 20, and 10 grains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5 grains ............................................................................................</w:t>
            </w:r>
          </w:p>
        </w:tc>
        <w:tc>
          <w:tcPr>
            <w:tcW w:w="1843" w:type="dxa"/>
          </w:tcPr>
          <w:p>
            <w:pPr>
              <w:pStyle w:val="yTable"/>
              <w:spacing w:before="40"/>
              <w:ind w:left="482"/>
              <w:rPr>
                <w:sz w:val="18"/>
              </w:rPr>
            </w:pPr>
            <w:r>
              <w:rPr>
                <w:sz w:val="18"/>
              </w:rPr>
              <w:t>0.01</w:t>
            </w:r>
          </w:p>
        </w:tc>
      </w:tr>
      <w:tr>
        <w:trPr>
          <w:cantSplit/>
        </w:trPr>
        <w:tc>
          <w:tcPr>
            <w:tcW w:w="5245" w:type="dxa"/>
          </w:tcPr>
          <w:p>
            <w:pPr>
              <w:pStyle w:val="yTable"/>
              <w:tabs>
                <w:tab w:val="left" w:pos="284"/>
              </w:tabs>
              <w:spacing w:before="40"/>
              <w:rPr>
                <w:sz w:val="18"/>
              </w:rPr>
            </w:pPr>
            <w:r>
              <w:rPr>
                <w:sz w:val="18"/>
              </w:rPr>
              <w:tab/>
              <w:t>3 and 2 grains ..................................................................................</w:t>
            </w:r>
          </w:p>
        </w:tc>
        <w:tc>
          <w:tcPr>
            <w:tcW w:w="1843" w:type="dxa"/>
          </w:tcPr>
          <w:p>
            <w:pPr>
              <w:pStyle w:val="yTable"/>
              <w:spacing w:before="40"/>
              <w:ind w:left="482"/>
              <w:rPr>
                <w:sz w:val="18"/>
              </w:rPr>
            </w:pPr>
            <w:r>
              <w:rPr>
                <w:sz w:val="18"/>
              </w:rPr>
              <w:t>0.005</w:t>
            </w:r>
          </w:p>
        </w:tc>
      </w:tr>
      <w:tr>
        <w:trPr>
          <w:cantSplit/>
        </w:trPr>
        <w:tc>
          <w:tcPr>
            <w:tcW w:w="5245" w:type="dxa"/>
          </w:tcPr>
          <w:p>
            <w:pPr>
              <w:pStyle w:val="yTable"/>
              <w:tabs>
                <w:tab w:val="left" w:pos="284"/>
              </w:tabs>
              <w:spacing w:before="40"/>
              <w:rPr>
                <w:sz w:val="18"/>
              </w:rPr>
            </w:pPr>
            <w:r>
              <w:rPr>
                <w:sz w:val="18"/>
              </w:rPr>
              <w:tab/>
              <w:t>1 grain and .5 grain ..........................................................................</w:t>
            </w:r>
          </w:p>
        </w:tc>
        <w:tc>
          <w:tcPr>
            <w:tcW w:w="1843" w:type="dxa"/>
          </w:tcPr>
          <w:p>
            <w:pPr>
              <w:pStyle w:val="yTable"/>
              <w:spacing w:before="40"/>
              <w:ind w:left="482"/>
              <w:rPr>
                <w:sz w:val="18"/>
              </w:rPr>
            </w:pPr>
            <w:r>
              <w:rPr>
                <w:sz w:val="18"/>
              </w:rPr>
              <w:t>0.003</w:t>
            </w:r>
          </w:p>
        </w:tc>
      </w:tr>
      <w:tr>
        <w:trPr>
          <w:cantSplit/>
        </w:trPr>
        <w:tc>
          <w:tcPr>
            <w:tcW w:w="5245" w:type="dxa"/>
          </w:tcPr>
          <w:p>
            <w:pPr>
              <w:pStyle w:val="yTable"/>
              <w:tabs>
                <w:tab w:val="left" w:pos="284"/>
              </w:tabs>
              <w:spacing w:before="40"/>
              <w:rPr>
                <w:sz w:val="18"/>
              </w:rPr>
            </w:pPr>
            <w:r>
              <w:rPr>
                <w:sz w:val="18"/>
              </w:rPr>
              <w:tab/>
              <w:t>.3, .2, and .1 grain ............................................................................</w:t>
            </w:r>
          </w:p>
        </w:tc>
        <w:tc>
          <w:tcPr>
            <w:tcW w:w="1843" w:type="dxa"/>
          </w:tcPr>
          <w:p>
            <w:pPr>
              <w:pStyle w:val="yTable"/>
              <w:spacing w:before="40"/>
              <w:ind w:left="482"/>
              <w:rPr>
                <w:sz w:val="18"/>
              </w:rPr>
            </w:pPr>
            <w:r>
              <w:rPr>
                <w:sz w:val="18"/>
              </w:rPr>
              <w:t>0.001</w:t>
            </w:r>
          </w:p>
        </w:tc>
      </w:tr>
      <w:tr>
        <w:trPr>
          <w:cantSplit/>
        </w:trPr>
        <w:tc>
          <w:tcPr>
            <w:tcW w:w="5245" w:type="dxa"/>
          </w:tcPr>
          <w:p>
            <w:pPr>
              <w:pStyle w:val="yTable"/>
              <w:tabs>
                <w:tab w:val="left" w:pos="284"/>
              </w:tabs>
              <w:spacing w:before="40"/>
              <w:rPr>
                <w:sz w:val="18"/>
              </w:rPr>
            </w:pPr>
            <w:r>
              <w:rPr>
                <w:sz w:val="18"/>
              </w:rPr>
              <w:tab/>
              <w:t>.05, .03, .02, and .01 grain ...............................................................</w:t>
            </w:r>
          </w:p>
        </w:tc>
        <w:tc>
          <w:tcPr>
            <w:tcW w:w="1843" w:type="dxa"/>
          </w:tcPr>
          <w:p>
            <w:pPr>
              <w:pStyle w:val="yTable"/>
              <w:spacing w:before="40"/>
              <w:ind w:left="482"/>
              <w:rPr>
                <w:sz w:val="18"/>
              </w:rPr>
            </w:pPr>
            <w:r>
              <w:rPr>
                <w:sz w:val="18"/>
              </w:rPr>
              <w:t>0.0003</w:t>
            </w:r>
          </w:p>
        </w:tc>
      </w:tr>
      <w:tr>
        <w:trPr>
          <w:cantSplit/>
        </w:trPr>
        <w:tc>
          <w:tcPr>
            <w:tcW w:w="5245" w:type="dxa"/>
          </w:tcPr>
          <w:p>
            <w:pPr>
              <w:pStyle w:val="yTable"/>
              <w:spacing w:before="40"/>
              <w:rPr>
                <w:sz w:val="18"/>
              </w:rPr>
            </w:pPr>
            <w:r>
              <w:rPr>
                <w:sz w:val="18"/>
              </w:rPr>
              <w:t>Troy: — </w:t>
            </w:r>
          </w:p>
        </w:tc>
        <w:tc>
          <w:tcPr>
            <w:tcW w:w="1843" w:type="dxa"/>
          </w:tcPr>
          <w:p>
            <w:pPr>
              <w:pStyle w:val="yTable"/>
              <w:spacing w:before="40"/>
              <w:ind w:left="482"/>
              <w:rPr>
                <w:sz w:val="18"/>
              </w:rPr>
            </w:pPr>
          </w:p>
        </w:tc>
      </w:tr>
      <w:tr>
        <w:trPr>
          <w:cantSplit/>
        </w:trPr>
        <w:tc>
          <w:tcPr>
            <w:tcW w:w="5245" w:type="dxa"/>
          </w:tcPr>
          <w:p>
            <w:pPr>
              <w:pStyle w:val="yTable"/>
              <w:tabs>
                <w:tab w:val="left" w:pos="284"/>
              </w:tabs>
              <w:spacing w:before="40"/>
              <w:rPr>
                <w:sz w:val="18"/>
              </w:rPr>
            </w:pPr>
            <w:r>
              <w:rPr>
                <w:sz w:val="18"/>
              </w:rPr>
              <w:tab/>
              <w:t>500 and 300 oz. ...............................................................................</w:t>
            </w:r>
          </w:p>
        </w:tc>
        <w:tc>
          <w:tcPr>
            <w:tcW w:w="1843" w:type="dxa"/>
          </w:tcPr>
          <w:p>
            <w:pPr>
              <w:pStyle w:val="yTable"/>
              <w:spacing w:before="40"/>
              <w:ind w:left="482"/>
              <w:rPr>
                <w:sz w:val="18"/>
              </w:rPr>
            </w:pPr>
            <w:r>
              <w:rPr>
                <w:sz w:val="18"/>
              </w:rPr>
              <w:t>3</w:t>
            </w:r>
          </w:p>
        </w:tc>
      </w:tr>
      <w:tr>
        <w:trPr>
          <w:cantSplit/>
        </w:trPr>
        <w:tc>
          <w:tcPr>
            <w:tcW w:w="5245" w:type="dxa"/>
          </w:tcPr>
          <w:p>
            <w:pPr>
              <w:pStyle w:val="yTable"/>
              <w:tabs>
                <w:tab w:val="left" w:pos="284"/>
              </w:tabs>
              <w:spacing w:before="40"/>
              <w:rPr>
                <w:sz w:val="18"/>
              </w:rPr>
            </w:pPr>
            <w:r>
              <w:rPr>
                <w:sz w:val="18"/>
              </w:rPr>
              <w:tab/>
              <w:t>200 and 100 oz. ...............................................................................</w:t>
            </w:r>
          </w:p>
        </w:tc>
        <w:tc>
          <w:tcPr>
            <w:tcW w:w="1843" w:type="dxa"/>
          </w:tcPr>
          <w:p>
            <w:pPr>
              <w:pStyle w:val="yTable"/>
              <w:spacing w:before="40"/>
              <w:ind w:left="482"/>
              <w:rPr>
                <w:sz w:val="18"/>
              </w:rPr>
            </w:pPr>
            <w:r>
              <w:rPr>
                <w:sz w:val="18"/>
              </w:rPr>
              <w:t>2</w:t>
            </w:r>
          </w:p>
        </w:tc>
      </w:tr>
      <w:tr>
        <w:trPr>
          <w:cantSplit/>
        </w:trPr>
        <w:tc>
          <w:tcPr>
            <w:tcW w:w="5245" w:type="dxa"/>
          </w:tcPr>
          <w:p>
            <w:pPr>
              <w:pStyle w:val="yTable"/>
              <w:tabs>
                <w:tab w:val="left" w:pos="284"/>
              </w:tabs>
              <w:spacing w:before="40"/>
              <w:rPr>
                <w:sz w:val="18"/>
              </w:rPr>
            </w:pPr>
            <w:r>
              <w:rPr>
                <w:sz w:val="18"/>
              </w:rPr>
              <w:tab/>
              <w:t>50 oz. ...............................................................................................</w:t>
            </w:r>
          </w:p>
        </w:tc>
        <w:tc>
          <w:tcPr>
            <w:tcW w:w="1843" w:type="dxa"/>
          </w:tcPr>
          <w:p>
            <w:pPr>
              <w:pStyle w:val="yTable"/>
              <w:spacing w:before="40"/>
              <w:ind w:left="482"/>
              <w:rPr>
                <w:sz w:val="18"/>
              </w:rPr>
            </w:pPr>
            <w:r>
              <w:rPr>
                <w:sz w:val="18"/>
              </w:rPr>
              <w:t>1</w:t>
            </w:r>
          </w:p>
        </w:tc>
      </w:tr>
      <w:tr>
        <w:trPr>
          <w:cantSplit/>
        </w:trPr>
        <w:tc>
          <w:tcPr>
            <w:tcW w:w="5245" w:type="dxa"/>
          </w:tcPr>
          <w:p>
            <w:pPr>
              <w:pStyle w:val="yTable"/>
              <w:tabs>
                <w:tab w:val="left" w:pos="284"/>
              </w:tabs>
              <w:spacing w:before="40"/>
              <w:rPr>
                <w:sz w:val="18"/>
              </w:rPr>
            </w:pPr>
            <w:r>
              <w:rPr>
                <w:sz w:val="18"/>
              </w:rPr>
              <w:tab/>
              <w:t>30 and 20 oz. ...................................................................................</w:t>
            </w:r>
          </w:p>
        </w:tc>
        <w:tc>
          <w:tcPr>
            <w:tcW w:w="1843" w:type="dxa"/>
          </w:tcPr>
          <w:p>
            <w:pPr>
              <w:pStyle w:val="yTable"/>
              <w:spacing w:before="40"/>
              <w:ind w:left="482"/>
              <w:rPr>
                <w:sz w:val="18"/>
              </w:rPr>
            </w:pPr>
            <w:r>
              <w:rPr>
                <w:sz w:val="18"/>
              </w:rPr>
              <w:t>0.5</w:t>
            </w:r>
          </w:p>
        </w:tc>
      </w:tr>
      <w:tr>
        <w:trPr>
          <w:cantSplit/>
        </w:trPr>
        <w:tc>
          <w:tcPr>
            <w:tcW w:w="5245" w:type="dxa"/>
          </w:tcPr>
          <w:p>
            <w:pPr>
              <w:pStyle w:val="yTable"/>
              <w:tabs>
                <w:tab w:val="left" w:pos="284"/>
              </w:tabs>
              <w:spacing w:before="40"/>
              <w:rPr>
                <w:sz w:val="18"/>
              </w:rPr>
            </w:pPr>
            <w:r>
              <w:rPr>
                <w:sz w:val="18"/>
              </w:rPr>
              <w:tab/>
              <w:t>10, 5, and 3 oz. ................................................................................</w:t>
            </w:r>
          </w:p>
        </w:tc>
        <w:tc>
          <w:tcPr>
            <w:tcW w:w="1843" w:type="dxa"/>
          </w:tcPr>
          <w:p>
            <w:pPr>
              <w:pStyle w:val="yTable"/>
              <w:spacing w:before="40"/>
              <w:ind w:left="482"/>
              <w:rPr>
                <w:sz w:val="18"/>
              </w:rPr>
            </w:pPr>
            <w:r>
              <w:rPr>
                <w:sz w:val="18"/>
              </w:rPr>
              <w:t>0.2</w:t>
            </w:r>
          </w:p>
        </w:tc>
      </w:tr>
      <w:tr>
        <w:trPr>
          <w:cantSplit/>
        </w:trPr>
        <w:tc>
          <w:tcPr>
            <w:tcW w:w="5245" w:type="dxa"/>
          </w:tcPr>
          <w:p>
            <w:pPr>
              <w:pStyle w:val="yTable"/>
              <w:tabs>
                <w:tab w:val="left" w:pos="284"/>
              </w:tabs>
              <w:spacing w:before="40"/>
              <w:rPr>
                <w:sz w:val="18"/>
              </w:rPr>
            </w:pPr>
            <w:r>
              <w:rPr>
                <w:sz w:val="18"/>
              </w:rPr>
              <w:tab/>
              <w:t>2 oz and 1 oz ..................................................................................</w:t>
            </w:r>
          </w:p>
        </w:tc>
        <w:tc>
          <w:tcPr>
            <w:tcW w:w="1843" w:type="dxa"/>
          </w:tcPr>
          <w:p>
            <w:pPr>
              <w:pStyle w:val="yTable"/>
              <w:spacing w:before="40"/>
              <w:ind w:left="482"/>
              <w:rPr>
                <w:sz w:val="18"/>
              </w:rPr>
            </w:pPr>
            <w:r>
              <w:rPr>
                <w:sz w:val="18"/>
              </w:rPr>
              <w:t>0.1</w:t>
            </w:r>
          </w:p>
        </w:tc>
      </w:tr>
      <w:tr>
        <w:trPr>
          <w:cantSplit/>
        </w:trPr>
        <w:tc>
          <w:tcPr>
            <w:tcW w:w="5245" w:type="dxa"/>
          </w:tcPr>
          <w:p>
            <w:pPr>
              <w:pStyle w:val="yTable"/>
              <w:tabs>
                <w:tab w:val="left" w:pos="284"/>
              </w:tabs>
              <w:spacing w:before="40"/>
              <w:rPr>
                <w:sz w:val="18"/>
              </w:rPr>
            </w:pPr>
            <w:r>
              <w:rPr>
                <w:sz w:val="18"/>
              </w:rPr>
              <w:tab/>
              <w:t>.5, .3, and .2 oz. ...............................................................................</w:t>
            </w:r>
          </w:p>
        </w:tc>
        <w:tc>
          <w:tcPr>
            <w:tcW w:w="1843" w:type="dxa"/>
          </w:tcPr>
          <w:p>
            <w:pPr>
              <w:pStyle w:val="yTable"/>
              <w:spacing w:before="40"/>
              <w:ind w:left="482"/>
              <w:rPr>
                <w:sz w:val="18"/>
              </w:rPr>
            </w:pPr>
            <w:r>
              <w:rPr>
                <w:sz w:val="18"/>
              </w:rPr>
              <w:t>0.05</w:t>
            </w:r>
          </w:p>
        </w:tc>
      </w:tr>
      <w:tr>
        <w:trPr>
          <w:cantSplit/>
        </w:trPr>
        <w:tc>
          <w:tcPr>
            <w:tcW w:w="5245" w:type="dxa"/>
          </w:tcPr>
          <w:p>
            <w:pPr>
              <w:pStyle w:val="yTable"/>
              <w:tabs>
                <w:tab w:val="left" w:pos="284"/>
              </w:tabs>
              <w:spacing w:before="40"/>
              <w:rPr>
                <w:sz w:val="18"/>
              </w:rPr>
            </w:pPr>
            <w:r>
              <w:rPr>
                <w:sz w:val="18"/>
              </w:rPr>
              <w:tab/>
              <w:t>.1, .05, .03, and .02 oz.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.01 oz. ..............................................................................................</w:t>
            </w:r>
          </w:p>
        </w:tc>
        <w:tc>
          <w:tcPr>
            <w:tcW w:w="1843" w:type="dxa"/>
          </w:tcPr>
          <w:p>
            <w:pPr>
              <w:pStyle w:val="yTable"/>
              <w:spacing w:before="40"/>
              <w:ind w:left="482"/>
              <w:rPr>
                <w:sz w:val="18"/>
              </w:rPr>
            </w:pPr>
            <w:r>
              <w:rPr>
                <w:sz w:val="18"/>
              </w:rPr>
              <w:t>0.01</w:t>
            </w:r>
          </w:p>
        </w:tc>
      </w:tr>
      <w:tr>
        <w:trPr>
          <w:cantSplit/>
        </w:trPr>
        <w:tc>
          <w:tcPr>
            <w:tcW w:w="5245" w:type="dxa"/>
          </w:tcPr>
          <w:p>
            <w:pPr>
              <w:pStyle w:val="yTable"/>
              <w:tabs>
                <w:tab w:val="left" w:pos="284"/>
              </w:tabs>
              <w:spacing w:before="40"/>
              <w:rPr>
                <w:sz w:val="18"/>
              </w:rPr>
            </w:pPr>
            <w:r>
              <w:rPr>
                <w:sz w:val="18"/>
              </w:rPr>
              <w:tab/>
              <w:t>.005 and .003 oz. .............................................................................</w:t>
            </w:r>
          </w:p>
        </w:tc>
        <w:tc>
          <w:tcPr>
            <w:tcW w:w="1843" w:type="dxa"/>
          </w:tcPr>
          <w:p>
            <w:pPr>
              <w:pStyle w:val="yTable"/>
              <w:spacing w:before="40"/>
              <w:ind w:left="482"/>
              <w:rPr>
                <w:sz w:val="18"/>
              </w:rPr>
            </w:pPr>
            <w:r>
              <w:rPr>
                <w:sz w:val="18"/>
              </w:rPr>
              <w:t>0.005</w:t>
            </w:r>
          </w:p>
        </w:tc>
      </w:tr>
      <w:tr>
        <w:trPr>
          <w:cantSplit/>
        </w:trPr>
        <w:tc>
          <w:tcPr>
            <w:tcW w:w="5245" w:type="dxa"/>
          </w:tcPr>
          <w:p>
            <w:pPr>
              <w:pStyle w:val="yTable"/>
              <w:tabs>
                <w:tab w:val="left" w:pos="284"/>
              </w:tabs>
              <w:spacing w:before="40"/>
              <w:rPr>
                <w:sz w:val="18"/>
              </w:rPr>
            </w:pPr>
            <w:r>
              <w:rPr>
                <w:sz w:val="18"/>
              </w:rPr>
              <w:tab/>
              <w:t>.002 and .001 oz. .............................................................................</w:t>
            </w:r>
          </w:p>
        </w:tc>
        <w:tc>
          <w:tcPr>
            <w:tcW w:w="1843" w:type="dxa"/>
          </w:tcPr>
          <w:p>
            <w:pPr>
              <w:pStyle w:val="yTable"/>
              <w:spacing w:before="40"/>
              <w:ind w:left="482"/>
              <w:rPr>
                <w:sz w:val="18"/>
              </w:rPr>
            </w:pPr>
            <w:r>
              <w:rPr>
                <w:sz w:val="18"/>
              </w:rPr>
              <w:t>0.003</w:t>
            </w:r>
          </w:p>
        </w:tc>
      </w:tr>
      <w:tr>
        <w:trPr>
          <w:cantSplit/>
        </w:trPr>
        <w:tc>
          <w:tcPr>
            <w:tcW w:w="5245" w:type="dxa"/>
          </w:tcPr>
          <w:p>
            <w:pPr>
              <w:pStyle w:val="yTable"/>
              <w:keepNext/>
              <w:spacing w:before="40"/>
              <w:rPr>
                <w:sz w:val="18"/>
              </w:rPr>
            </w:pPr>
            <w:r>
              <w:rPr>
                <w:sz w:val="18"/>
              </w:rPr>
              <w:t>Pennyweights and grains: — </w:t>
            </w:r>
          </w:p>
        </w:tc>
        <w:tc>
          <w:tcPr>
            <w:tcW w:w="1843" w:type="dxa"/>
          </w:tcPr>
          <w:p>
            <w:pPr>
              <w:pStyle w:val="yTable"/>
              <w:spacing w:before="40"/>
              <w:ind w:left="482"/>
              <w:rPr>
                <w:sz w:val="18"/>
              </w:rPr>
            </w:pPr>
            <w:r>
              <w:rPr>
                <w:sz w:val="18"/>
              </w:rPr>
              <w:t>Grains</w:t>
            </w:r>
          </w:p>
        </w:tc>
      </w:tr>
      <w:tr>
        <w:trPr>
          <w:cantSplit/>
        </w:trPr>
        <w:tc>
          <w:tcPr>
            <w:tcW w:w="5245" w:type="dxa"/>
          </w:tcPr>
          <w:p>
            <w:pPr>
              <w:pStyle w:val="yTable"/>
              <w:tabs>
                <w:tab w:val="left" w:pos="284"/>
              </w:tabs>
              <w:spacing w:before="40"/>
              <w:rPr>
                <w:sz w:val="18"/>
              </w:rPr>
            </w:pPr>
            <w:r>
              <w:rPr>
                <w:sz w:val="18"/>
              </w:rPr>
              <w:tab/>
              <w:t>240, 120, 72, and 48 grains .............................................................</w:t>
            </w:r>
          </w:p>
        </w:tc>
        <w:tc>
          <w:tcPr>
            <w:tcW w:w="1843" w:type="dxa"/>
          </w:tcPr>
          <w:p>
            <w:pPr>
              <w:pStyle w:val="yTable"/>
              <w:spacing w:before="40"/>
              <w:ind w:left="482"/>
              <w:rPr>
                <w:sz w:val="18"/>
              </w:rPr>
            </w:pPr>
            <w:r>
              <w:rPr>
                <w:sz w:val="18"/>
              </w:rPr>
              <w:t>0.05</w:t>
            </w:r>
          </w:p>
        </w:tc>
      </w:tr>
      <w:tr>
        <w:trPr>
          <w:cantSplit/>
        </w:trPr>
        <w:tc>
          <w:tcPr>
            <w:tcW w:w="5245" w:type="dxa"/>
          </w:tcPr>
          <w:p>
            <w:pPr>
              <w:pStyle w:val="yTable"/>
              <w:tabs>
                <w:tab w:val="left" w:pos="284"/>
              </w:tabs>
              <w:spacing w:before="40"/>
              <w:rPr>
                <w:sz w:val="18"/>
              </w:rPr>
            </w:pPr>
            <w:r>
              <w:rPr>
                <w:sz w:val="18"/>
              </w:rPr>
              <w:tab/>
              <w:t>24, 12, and 6 grains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5 and 4 grains ..................................................................................</w:t>
            </w:r>
          </w:p>
        </w:tc>
        <w:tc>
          <w:tcPr>
            <w:tcW w:w="1843" w:type="dxa"/>
          </w:tcPr>
          <w:p>
            <w:pPr>
              <w:pStyle w:val="yTable"/>
              <w:spacing w:before="40"/>
              <w:ind w:left="482"/>
              <w:rPr>
                <w:sz w:val="18"/>
              </w:rPr>
            </w:pPr>
            <w:r>
              <w:rPr>
                <w:sz w:val="18"/>
              </w:rPr>
              <w:t>0.01</w:t>
            </w:r>
          </w:p>
        </w:tc>
      </w:tr>
      <w:tr>
        <w:trPr>
          <w:cantSplit/>
        </w:trPr>
        <w:tc>
          <w:tcPr>
            <w:tcW w:w="5245" w:type="dxa"/>
          </w:tcPr>
          <w:p>
            <w:pPr>
              <w:pStyle w:val="yTable"/>
              <w:tabs>
                <w:tab w:val="left" w:pos="284"/>
              </w:tabs>
              <w:spacing w:before="40"/>
              <w:rPr>
                <w:sz w:val="18"/>
              </w:rPr>
            </w:pPr>
            <w:r>
              <w:rPr>
                <w:sz w:val="18"/>
              </w:rPr>
              <w:tab/>
              <w:t>3 and 2 grains ..................................................................................</w:t>
            </w:r>
          </w:p>
        </w:tc>
        <w:tc>
          <w:tcPr>
            <w:tcW w:w="1843" w:type="dxa"/>
          </w:tcPr>
          <w:p>
            <w:pPr>
              <w:pStyle w:val="yTable"/>
              <w:spacing w:before="40"/>
              <w:ind w:left="482"/>
              <w:rPr>
                <w:sz w:val="18"/>
              </w:rPr>
            </w:pPr>
            <w:r>
              <w:rPr>
                <w:sz w:val="18"/>
              </w:rPr>
              <w:t>0.005</w:t>
            </w:r>
          </w:p>
        </w:tc>
      </w:tr>
      <w:tr>
        <w:trPr>
          <w:cantSplit/>
        </w:trPr>
        <w:tc>
          <w:tcPr>
            <w:tcW w:w="5245" w:type="dxa"/>
          </w:tcPr>
          <w:p>
            <w:pPr>
              <w:pStyle w:val="yTable"/>
              <w:tabs>
                <w:tab w:val="left" w:pos="284"/>
              </w:tabs>
              <w:spacing w:before="40"/>
              <w:rPr>
                <w:sz w:val="18"/>
              </w:rPr>
            </w:pPr>
            <w:r>
              <w:rPr>
                <w:sz w:val="18"/>
              </w:rPr>
              <w:tab/>
              <w:t>1 grain ..............................................................................................</w:t>
            </w:r>
          </w:p>
        </w:tc>
        <w:tc>
          <w:tcPr>
            <w:tcW w:w="1843" w:type="dxa"/>
          </w:tcPr>
          <w:p>
            <w:pPr>
              <w:pStyle w:val="yTable"/>
              <w:spacing w:before="40"/>
              <w:ind w:left="482"/>
              <w:rPr>
                <w:sz w:val="18"/>
              </w:rPr>
            </w:pPr>
            <w:r>
              <w:rPr>
                <w:sz w:val="18"/>
              </w:rPr>
              <w:t>0.003</w:t>
            </w:r>
          </w:p>
        </w:tc>
      </w:tr>
      <w:tr>
        <w:trPr>
          <w:cantSplit/>
        </w:trPr>
        <w:tc>
          <w:tcPr>
            <w:tcW w:w="5245" w:type="dxa"/>
          </w:tcPr>
          <w:p>
            <w:pPr>
              <w:pStyle w:val="yTable"/>
              <w:spacing w:before="40"/>
              <w:rPr>
                <w:sz w:val="18"/>
              </w:rPr>
            </w:pPr>
            <w:r>
              <w:rPr>
                <w:sz w:val="18"/>
              </w:rPr>
              <w:t>Apothecaries’: — </w:t>
            </w:r>
          </w:p>
        </w:tc>
        <w:tc>
          <w:tcPr>
            <w:tcW w:w="1843" w:type="dxa"/>
          </w:tcPr>
          <w:p>
            <w:pPr>
              <w:pStyle w:val="yTable"/>
              <w:spacing w:before="40"/>
              <w:ind w:left="482"/>
              <w:rPr>
                <w:sz w:val="18"/>
              </w:rPr>
            </w:pPr>
          </w:p>
        </w:tc>
      </w:tr>
      <w:tr>
        <w:trPr>
          <w:cantSplit/>
        </w:trPr>
        <w:tc>
          <w:tcPr>
            <w:tcW w:w="5245" w:type="dxa"/>
          </w:tcPr>
          <w:p>
            <w:pPr>
              <w:pStyle w:val="yTable"/>
              <w:tabs>
                <w:tab w:val="left" w:pos="284"/>
              </w:tabs>
              <w:spacing w:before="40"/>
              <w:rPr>
                <w:sz w:val="18"/>
              </w:rPr>
            </w:pPr>
            <w:r>
              <w:rPr>
                <w:sz w:val="18"/>
              </w:rPr>
              <w:tab/>
              <w:t>1 oz. .................................................................................................</w:t>
            </w:r>
          </w:p>
        </w:tc>
        <w:tc>
          <w:tcPr>
            <w:tcW w:w="1843" w:type="dxa"/>
          </w:tcPr>
          <w:p>
            <w:pPr>
              <w:pStyle w:val="yTable"/>
              <w:spacing w:before="40"/>
              <w:ind w:left="482"/>
              <w:rPr>
                <w:sz w:val="18"/>
              </w:rPr>
            </w:pPr>
            <w:r>
              <w:rPr>
                <w:sz w:val="18"/>
              </w:rPr>
              <w:t>0.1</w:t>
            </w:r>
          </w:p>
        </w:tc>
      </w:tr>
      <w:tr>
        <w:trPr>
          <w:cantSplit/>
        </w:trPr>
        <w:tc>
          <w:tcPr>
            <w:tcW w:w="5245" w:type="dxa"/>
          </w:tcPr>
          <w:p>
            <w:pPr>
              <w:pStyle w:val="yTable"/>
              <w:tabs>
                <w:tab w:val="left" w:pos="284"/>
              </w:tabs>
              <w:spacing w:before="40"/>
              <w:rPr>
                <w:sz w:val="18"/>
              </w:rPr>
            </w:pPr>
            <w:r>
              <w:rPr>
                <w:sz w:val="18"/>
              </w:rPr>
              <w:tab/>
              <w:t>4, 2, and 1 drachms ..........................................................................</w:t>
            </w:r>
          </w:p>
        </w:tc>
        <w:tc>
          <w:tcPr>
            <w:tcW w:w="1843" w:type="dxa"/>
          </w:tcPr>
          <w:p>
            <w:pPr>
              <w:pStyle w:val="yTable"/>
              <w:spacing w:before="40"/>
              <w:ind w:left="482"/>
              <w:rPr>
                <w:sz w:val="18"/>
              </w:rPr>
            </w:pPr>
            <w:r>
              <w:rPr>
                <w:sz w:val="18"/>
              </w:rPr>
              <w:t>0.05</w:t>
            </w:r>
          </w:p>
        </w:tc>
      </w:tr>
      <w:tr>
        <w:trPr>
          <w:cantSplit/>
        </w:trPr>
        <w:tc>
          <w:tcPr>
            <w:tcW w:w="5245" w:type="dxa"/>
          </w:tcPr>
          <w:p>
            <w:pPr>
              <w:pStyle w:val="yTable"/>
              <w:tabs>
                <w:tab w:val="left" w:pos="284"/>
              </w:tabs>
              <w:spacing w:before="40"/>
              <w:rPr>
                <w:sz w:val="18"/>
              </w:rPr>
            </w:pPr>
            <w:r>
              <w:rPr>
                <w:sz w:val="18"/>
              </w:rPr>
              <w:tab/>
              <w:t>2, 1 ½ , and 1 scruples, and 10 and 6 grains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5 and 4 grains ..................................................................................</w:t>
            </w:r>
          </w:p>
        </w:tc>
        <w:tc>
          <w:tcPr>
            <w:tcW w:w="1843" w:type="dxa"/>
          </w:tcPr>
          <w:p>
            <w:pPr>
              <w:pStyle w:val="yTable"/>
              <w:spacing w:before="40"/>
              <w:ind w:left="482"/>
              <w:rPr>
                <w:sz w:val="18"/>
              </w:rPr>
            </w:pPr>
            <w:r>
              <w:rPr>
                <w:sz w:val="18"/>
              </w:rPr>
              <w:t>0.01</w:t>
            </w:r>
          </w:p>
        </w:tc>
      </w:tr>
      <w:tr>
        <w:trPr>
          <w:cantSplit/>
        </w:trPr>
        <w:tc>
          <w:tcPr>
            <w:tcW w:w="5245" w:type="dxa"/>
          </w:tcPr>
          <w:p>
            <w:pPr>
              <w:pStyle w:val="yTable"/>
              <w:tabs>
                <w:tab w:val="left" w:pos="284"/>
              </w:tabs>
              <w:spacing w:before="40"/>
              <w:rPr>
                <w:sz w:val="18"/>
              </w:rPr>
            </w:pPr>
            <w:r>
              <w:rPr>
                <w:sz w:val="18"/>
              </w:rPr>
              <w:tab/>
              <w:t>3 and 2 grains ..................................................................................</w:t>
            </w:r>
          </w:p>
        </w:tc>
        <w:tc>
          <w:tcPr>
            <w:tcW w:w="1843" w:type="dxa"/>
          </w:tcPr>
          <w:p>
            <w:pPr>
              <w:pStyle w:val="yTable"/>
              <w:spacing w:before="40"/>
              <w:ind w:left="482"/>
              <w:rPr>
                <w:sz w:val="18"/>
              </w:rPr>
            </w:pPr>
            <w:r>
              <w:rPr>
                <w:sz w:val="18"/>
              </w:rPr>
              <w:t>0.005</w:t>
            </w:r>
          </w:p>
        </w:tc>
      </w:tr>
      <w:tr>
        <w:trPr>
          <w:cantSplit/>
        </w:trPr>
        <w:tc>
          <w:tcPr>
            <w:tcW w:w="5245" w:type="dxa"/>
          </w:tcPr>
          <w:p>
            <w:pPr>
              <w:pStyle w:val="yTable"/>
              <w:tabs>
                <w:tab w:val="left" w:pos="284"/>
              </w:tabs>
              <w:spacing w:before="40"/>
              <w:rPr>
                <w:sz w:val="18"/>
              </w:rPr>
            </w:pPr>
            <w:r>
              <w:rPr>
                <w:sz w:val="18"/>
              </w:rPr>
              <w:tab/>
              <w:t>1 grain and ½ grain ..........................................................................</w:t>
            </w:r>
          </w:p>
        </w:tc>
        <w:tc>
          <w:tcPr>
            <w:tcW w:w="1843" w:type="dxa"/>
          </w:tcPr>
          <w:p>
            <w:pPr>
              <w:pStyle w:val="yTable"/>
              <w:spacing w:before="40"/>
              <w:ind w:left="482"/>
              <w:rPr>
                <w:sz w:val="18"/>
              </w:rPr>
            </w:pPr>
            <w:r>
              <w:rPr>
                <w:sz w:val="18"/>
              </w:rPr>
              <w:t>0.003</w:t>
            </w:r>
          </w:p>
        </w:tc>
      </w:tr>
      <w:tr>
        <w:trPr>
          <w:cantSplit/>
        </w:trPr>
        <w:tc>
          <w:tcPr>
            <w:tcW w:w="5245" w:type="dxa"/>
          </w:tcPr>
          <w:p>
            <w:pPr>
              <w:pStyle w:val="yTable"/>
              <w:spacing w:before="40"/>
              <w:rPr>
                <w:sz w:val="18"/>
              </w:rPr>
            </w:pPr>
            <w:r>
              <w:rPr>
                <w:sz w:val="18"/>
              </w:rPr>
              <w:t>Metric carat: — </w:t>
            </w:r>
          </w:p>
        </w:tc>
        <w:tc>
          <w:tcPr>
            <w:tcW w:w="1843" w:type="dxa"/>
          </w:tcPr>
          <w:p>
            <w:pPr>
              <w:pStyle w:val="yTable"/>
              <w:spacing w:before="40"/>
              <w:ind w:left="482"/>
              <w:rPr>
                <w:sz w:val="18"/>
              </w:rPr>
            </w:pPr>
            <w:r>
              <w:rPr>
                <w:sz w:val="18"/>
              </w:rPr>
              <w:t>Milligrammes</w:t>
            </w:r>
          </w:p>
        </w:tc>
      </w:tr>
      <w:tr>
        <w:trPr>
          <w:cantSplit/>
        </w:trPr>
        <w:tc>
          <w:tcPr>
            <w:tcW w:w="5245" w:type="dxa"/>
          </w:tcPr>
          <w:p>
            <w:pPr>
              <w:pStyle w:val="yTable"/>
              <w:tabs>
                <w:tab w:val="left" w:pos="284"/>
              </w:tabs>
              <w:spacing w:before="40"/>
              <w:rPr>
                <w:sz w:val="18"/>
              </w:rPr>
            </w:pPr>
            <w:r>
              <w:rPr>
                <w:sz w:val="18"/>
              </w:rPr>
              <w:tab/>
              <w:t>500 carats .........................................................................................</w:t>
            </w:r>
          </w:p>
        </w:tc>
        <w:tc>
          <w:tcPr>
            <w:tcW w:w="1843" w:type="dxa"/>
          </w:tcPr>
          <w:p>
            <w:pPr>
              <w:pStyle w:val="yTable"/>
              <w:spacing w:before="40"/>
              <w:ind w:left="482"/>
              <w:rPr>
                <w:sz w:val="18"/>
              </w:rPr>
            </w:pPr>
            <w:r>
              <w:rPr>
                <w:sz w:val="18"/>
              </w:rPr>
              <w:t>13</w:t>
            </w:r>
          </w:p>
        </w:tc>
      </w:tr>
      <w:tr>
        <w:trPr>
          <w:cantSplit/>
        </w:trPr>
        <w:tc>
          <w:tcPr>
            <w:tcW w:w="5245" w:type="dxa"/>
          </w:tcPr>
          <w:p>
            <w:pPr>
              <w:pStyle w:val="yTable"/>
              <w:tabs>
                <w:tab w:val="left" w:pos="284"/>
              </w:tabs>
              <w:spacing w:before="40"/>
              <w:rPr>
                <w:sz w:val="18"/>
              </w:rPr>
            </w:pPr>
            <w:r>
              <w:rPr>
                <w:sz w:val="18"/>
              </w:rPr>
              <w:tab/>
              <w:t>200 carats .........................................................................................</w:t>
            </w:r>
          </w:p>
        </w:tc>
        <w:tc>
          <w:tcPr>
            <w:tcW w:w="1843" w:type="dxa"/>
          </w:tcPr>
          <w:p>
            <w:pPr>
              <w:pStyle w:val="yTable"/>
              <w:spacing w:before="40"/>
              <w:ind w:left="482"/>
              <w:rPr>
                <w:sz w:val="18"/>
              </w:rPr>
            </w:pPr>
            <w:r>
              <w:rPr>
                <w:sz w:val="18"/>
              </w:rPr>
              <w:t>6</w:t>
            </w:r>
          </w:p>
        </w:tc>
      </w:tr>
      <w:tr>
        <w:trPr>
          <w:cantSplit/>
        </w:trPr>
        <w:tc>
          <w:tcPr>
            <w:tcW w:w="5245" w:type="dxa"/>
          </w:tcPr>
          <w:p>
            <w:pPr>
              <w:pStyle w:val="yTable"/>
              <w:tabs>
                <w:tab w:val="left" w:pos="284"/>
              </w:tabs>
              <w:spacing w:before="40"/>
              <w:rPr>
                <w:sz w:val="18"/>
              </w:rPr>
            </w:pPr>
            <w:r>
              <w:rPr>
                <w:sz w:val="18"/>
              </w:rPr>
              <w:tab/>
              <w:t>100 carats .........................................................................................</w:t>
            </w:r>
          </w:p>
        </w:tc>
        <w:tc>
          <w:tcPr>
            <w:tcW w:w="1843" w:type="dxa"/>
          </w:tcPr>
          <w:p>
            <w:pPr>
              <w:pStyle w:val="yTable"/>
              <w:spacing w:before="40"/>
              <w:ind w:left="482"/>
              <w:rPr>
                <w:sz w:val="18"/>
              </w:rPr>
            </w:pPr>
            <w:r>
              <w:rPr>
                <w:sz w:val="18"/>
              </w:rPr>
              <w:t>6</w:t>
            </w:r>
          </w:p>
        </w:tc>
      </w:tr>
      <w:tr>
        <w:trPr>
          <w:cantSplit/>
        </w:trPr>
        <w:tc>
          <w:tcPr>
            <w:tcW w:w="5245" w:type="dxa"/>
          </w:tcPr>
          <w:p>
            <w:pPr>
              <w:pStyle w:val="yTable"/>
              <w:tabs>
                <w:tab w:val="left" w:pos="284"/>
              </w:tabs>
              <w:spacing w:before="40"/>
              <w:rPr>
                <w:sz w:val="18"/>
              </w:rPr>
            </w:pPr>
            <w:r>
              <w:rPr>
                <w:sz w:val="18"/>
              </w:rPr>
              <w:tab/>
              <w:t>50 carats ...........................................................................................</w:t>
            </w:r>
          </w:p>
        </w:tc>
        <w:tc>
          <w:tcPr>
            <w:tcW w:w="1843" w:type="dxa"/>
          </w:tcPr>
          <w:p>
            <w:pPr>
              <w:pStyle w:val="yTable"/>
              <w:spacing w:before="40"/>
              <w:ind w:left="482"/>
              <w:rPr>
                <w:sz w:val="18"/>
              </w:rPr>
            </w:pPr>
            <w:r>
              <w:rPr>
                <w:sz w:val="18"/>
              </w:rPr>
              <w:t>3</w:t>
            </w:r>
          </w:p>
        </w:tc>
      </w:tr>
      <w:tr>
        <w:trPr>
          <w:cantSplit/>
        </w:trPr>
        <w:tc>
          <w:tcPr>
            <w:tcW w:w="5245" w:type="dxa"/>
          </w:tcPr>
          <w:p>
            <w:pPr>
              <w:pStyle w:val="yTable"/>
              <w:tabs>
                <w:tab w:val="left" w:pos="284"/>
              </w:tabs>
              <w:spacing w:before="40"/>
              <w:rPr>
                <w:sz w:val="18"/>
              </w:rPr>
            </w:pPr>
            <w:r>
              <w:rPr>
                <w:sz w:val="18"/>
              </w:rPr>
              <w:tab/>
              <w:t>20 carats ...........................................................................................</w:t>
            </w:r>
          </w:p>
        </w:tc>
        <w:tc>
          <w:tcPr>
            <w:tcW w:w="1843" w:type="dxa"/>
          </w:tcPr>
          <w:p>
            <w:pPr>
              <w:pStyle w:val="yTable"/>
              <w:spacing w:before="40"/>
              <w:ind w:left="482"/>
              <w:rPr>
                <w:sz w:val="18"/>
              </w:rPr>
            </w:pPr>
            <w:r>
              <w:rPr>
                <w:sz w:val="18"/>
              </w:rPr>
              <w:t>3</w:t>
            </w:r>
          </w:p>
        </w:tc>
      </w:tr>
      <w:tr>
        <w:trPr>
          <w:cantSplit/>
        </w:trPr>
        <w:tc>
          <w:tcPr>
            <w:tcW w:w="5245" w:type="dxa"/>
          </w:tcPr>
          <w:p>
            <w:pPr>
              <w:pStyle w:val="yTable"/>
              <w:tabs>
                <w:tab w:val="left" w:pos="284"/>
              </w:tabs>
              <w:spacing w:before="40"/>
              <w:rPr>
                <w:sz w:val="18"/>
              </w:rPr>
            </w:pPr>
            <w:r>
              <w:rPr>
                <w:sz w:val="18"/>
              </w:rPr>
              <w:tab/>
              <w:t>10 carats ...........................................................................................</w:t>
            </w:r>
          </w:p>
        </w:tc>
        <w:tc>
          <w:tcPr>
            <w:tcW w:w="1843" w:type="dxa"/>
          </w:tcPr>
          <w:p>
            <w:pPr>
              <w:pStyle w:val="yTable"/>
              <w:spacing w:before="40"/>
              <w:ind w:left="482"/>
              <w:rPr>
                <w:sz w:val="18"/>
              </w:rPr>
            </w:pPr>
            <w:r>
              <w:rPr>
                <w:sz w:val="18"/>
              </w:rPr>
              <w:t>1</w:t>
            </w:r>
          </w:p>
        </w:tc>
      </w:tr>
      <w:tr>
        <w:trPr>
          <w:cantSplit/>
        </w:trPr>
        <w:tc>
          <w:tcPr>
            <w:tcW w:w="5245" w:type="dxa"/>
          </w:tcPr>
          <w:p>
            <w:pPr>
              <w:pStyle w:val="yTable"/>
              <w:tabs>
                <w:tab w:val="left" w:pos="284"/>
              </w:tabs>
              <w:spacing w:before="40"/>
              <w:rPr>
                <w:sz w:val="18"/>
              </w:rPr>
            </w:pPr>
            <w:r>
              <w:rPr>
                <w:sz w:val="18"/>
              </w:rPr>
              <w:tab/>
              <w:t>5 carats .............................................................................................</w:t>
            </w:r>
          </w:p>
        </w:tc>
        <w:tc>
          <w:tcPr>
            <w:tcW w:w="1843" w:type="dxa"/>
          </w:tcPr>
          <w:p>
            <w:pPr>
              <w:pStyle w:val="yTable"/>
              <w:spacing w:before="40"/>
              <w:ind w:left="482"/>
              <w:rPr>
                <w:sz w:val="18"/>
              </w:rPr>
            </w:pPr>
            <w:r>
              <w:rPr>
                <w:sz w:val="18"/>
              </w:rPr>
              <w:t>1</w:t>
            </w:r>
          </w:p>
        </w:tc>
      </w:tr>
      <w:tr>
        <w:trPr>
          <w:cantSplit/>
        </w:trPr>
        <w:tc>
          <w:tcPr>
            <w:tcW w:w="5245" w:type="dxa"/>
          </w:tcPr>
          <w:p>
            <w:pPr>
              <w:pStyle w:val="yTable"/>
              <w:tabs>
                <w:tab w:val="left" w:pos="284"/>
              </w:tabs>
              <w:spacing w:before="40"/>
              <w:rPr>
                <w:sz w:val="18"/>
              </w:rPr>
            </w:pPr>
            <w:r>
              <w:rPr>
                <w:sz w:val="18"/>
              </w:rPr>
              <w:tab/>
              <w:t>2 carats .............................................................................................</w:t>
            </w:r>
          </w:p>
        </w:tc>
        <w:tc>
          <w:tcPr>
            <w:tcW w:w="1843" w:type="dxa"/>
          </w:tcPr>
          <w:p>
            <w:pPr>
              <w:pStyle w:val="yTable"/>
              <w:spacing w:before="40"/>
              <w:ind w:left="482"/>
              <w:rPr>
                <w:sz w:val="18"/>
              </w:rPr>
            </w:pPr>
            <w:r>
              <w:rPr>
                <w:sz w:val="18"/>
              </w:rPr>
              <w:t>0.7</w:t>
            </w:r>
          </w:p>
        </w:tc>
      </w:tr>
      <w:tr>
        <w:trPr>
          <w:cantSplit/>
        </w:trPr>
        <w:tc>
          <w:tcPr>
            <w:tcW w:w="5245" w:type="dxa"/>
          </w:tcPr>
          <w:p>
            <w:pPr>
              <w:pStyle w:val="yTable"/>
              <w:tabs>
                <w:tab w:val="left" w:pos="284"/>
              </w:tabs>
              <w:spacing w:before="40"/>
              <w:rPr>
                <w:sz w:val="18"/>
              </w:rPr>
            </w:pPr>
            <w:r>
              <w:rPr>
                <w:sz w:val="18"/>
              </w:rPr>
              <w:tab/>
              <w:t>1 carat ..............................................................................................</w:t>
            </w:r>
          </w:p>
        </w:tc>
        <w:tc>
          <w:tcPr>
            <w:tcW w:w="1843" w:type="dxa"/>
          </w:tcPr>
          <w:p>
            <w:pPr>
              <w:pStyle w:val="yTable"/>
              <w:spacing w:before="40"/>
              <w:ind w:left="482"/>
              <w:rPr>
                <w:sz w:val="18"/>
              </w:rPr>
            </w:pPr>
            <w:r>
              <w:rPr>
                <w:sz w:val="18"/>
              </w:rPr>
              <w:t>0.3</w:t>
            </w:r>
          </w:p>
        </w:tc>
      </w:tr>
      <w:tr>
        <w:trPr>
          <w:cantSplit/>
        </w:trPr>
        <w:tc>
          <w:tcPr>
            <w:tcW w:w="5245" w:type="dxa"/>
          </w:tcPr>
          <w:p>
            <w:pPr>
              <w:pStyle w:val="yTable"/>
              <w:tabs>
                <w:tab w:val="left" w:pos="284"/>
              </w:tabs>
              <w:spacing w:before="40"/>
              <w:rPr>
                <w:sz w:val="18"/>
              </w:rPr>
            </w:pPr>
            <w:r>
              <w:rPr>
                <w:sz w:val="18"/>
              </w:rPr>
              <w:tab/>
              <w:t>0.5 carat ...........................................................................................</w:t>
            </w:r>
          </w:p>
        </w:tc>
        <w:tc>
          <w:tcPr>
            <w:tcW w:w="1843" w:type="dxa"/>
          </w:tcPr>
          <w:p>
            <w:pPr>
              <w:pStyle w:val="yTable"/>
              <w:spacing w:before="40"/>
              <w:ind w:left="482"/>
              <w:rPr>
                <w:sz w:val="18"/>
              </w:rPr>
            </w:pPr>
            <w:r>
              <w:rPr>
                <w:sz w:val="18"/>
              </w:rPr>
              <w:t>0.3</w:t>
            </w:r>
          </w:p>
        </w:tc>
      </w:tr>
      <w:tr>
        <w:trPr>
          <w:cantSplit/>
        </w:trPr>
        <w:tc>
          <w:tcPr>
            <w:tcW w:w="5245" w:type="dxa"/>
          </w:tcPr>
          <w:p>
            <w:pPr>
              <w:pStyle w:val="yTable"/>
              <w:tabs>
                <w:tab w:val="left" w:pos="284"/>
              </w:tabs>
              <w:spacing w:before="40"/>
              <w:rPr>
                <w:sz w:val="18"/>
              </w:rPr>
            </w:pPr>
            <w:r>
              <w:rPr>
                <w:sz w:val="18"/>
              </w:rPr>
              <w:tab/>
              <w:t>0.2 carat ...........................................................................................</w:t>
            </w:r>
          </w:p>
        </w:tc>
        <w:tc>
          <w:tcPr>
            <w:tcW w:w="1843" w:type="dxa"/>
          </w:tcPr>
          <w:p>
            <w:pPr>
              <w:pStyle w:val="yTable"/>
              <w:spacing w:before="40"/>
              <w:ind w:left="482"/>
              <w:rPr>
                <w:sz w:val="18"/>
              </w:rPr>
            </w:pPr>
            <w:r>
              <w:rPr>
                <w:sz w:val="18"/>
              </w:rPr>
              <w:t>0.2</w:t>
            </w:r>
          </w:p>
        </w:tc>
      </w:tr>
      <w:tr>
        <w:trPr>
          <w:cantSplit/>
        </w:trPr>
        <w:tc>
          <w:tcPr>
            <w:tcW w:w="5245" w:type="dxa"/>
          </w:tcPr>
          <w:p>
            <w:pPr>
              <w:pStyle w:val="yTable"/>
              <w:tabs>
                <w:tab w:val="left" w:pos="284"/>
              </w:tabs>
              <w:spacing w:before="40"/>
              <w:rPr>
                <w:sz w:val="18"/>
              </w:rPr>
            </w:pPr>
            <w:r>
              <w:rPr>
                <w:sz w:val="18"/>
              </w:rPr>
              <w:tab/>
              <w:t>0.1 carat ...........................................................................................</w:t>
            </w:r>
          </w:p>
        </w:tc>
        <w:tc>
          <w:tcPr>
            <w:tcW w:w="1843" w:type="dxa"/>
          </w:tcPr>
          <w:p>
            <w:pPr>
              <w:pStyle w:val="yTable"/>
              <w:spacing w:before="40"/>
              <w:ind w:left="482"/>
              <w:rPr>
                <w:sz w:val="18"/>
              </w:rPr>
            </w:pPr>
            <w:r>
              <w:rPr>
                <w:sz w:val="18"/>
              </w:rPr>
              <w:t>0.06</w:t>
            </w:r>
          </w:p>
        </w:tc>
      </w:tr>
      <w:tr>
        <w:trPr>
          <w:cantSplit/>
        </w:trPr>
        <w:tc>
          <w:tcPr>
            <w:tcW w:w="5245" w:type="dxa"/>
          </w:tcPr>
          <w:p>
            <w:pPr>
              <w:pStyle w:val="yTable"/>
              <w:tabs>
                <w:tab w:val="left" w:pos="284"/>
              </w:tabs>
              <w:spacing w:before="40"/>
              <w:rPr>
                <w:sz w:val="18"/>
              </w:rPr>
            </w:pPr>
            <w:r>
              <w:rPr>
                <w:sz w:val="18"/>
              </w:rPr>
              <w:tab/>
              <w:t>0.05 carat .........................................................................................</w:t>
            </w:r>
          </w:p>
        </w:tc>
        <w:tc>
          <w:tcPr>
            <w:tcW w:w="1843" w:type="dxa"/>
          </w:tcPr>
          <w:p>
            <w:pPr>
              <w:pStyle w:val="yTable"/>
              <w:spacing w:before="40"/>
              <w:ind w:left="482"/>
              <w:rPr>
                <w:sz w:val="18"/>
              </w:rPr>
            </w:pPr>
            <w:r>
              <w:rPr>
                <w:sz w:val="18"/>
              </w:rPr>
              <w:t>0.06</w:t>
            </w:r>
          </w:p>
        </w:tc>
      </w:tr>
      <w:tr>
        <w:trPr>
          <w:cantSplit/>
        </w:trPr>
        <w:tc>
          <w:tcPr>
            <w:tcW w:w="5245" w:type="dxa"/>
          </w:tcPr>
          <w:p>
            <w:pPr>
              <w:pStyle w:val="yTable"/>
              <w:tabs>
                <w:tab w:val="left" w:pos="284"/>
              </w:tabs>
              <w:spacing w:before="40"/>
              <w:rPr>
                <w:sz w:val="18"/>
              </w:rPr>
            </w:pPr>
            <w:r>
              <w:rPr>
                <w:sz w:val="18"/>
              </w:rPr>
              <w:tab/>
              <w:t>0.02 carat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0.01 carat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0.005 carat .......................................................................................</w:t>
            </w:r>
          </w:p>
        </w:tc>
        <w:tc>
          <w:tcPr>
            <w:tcW w:w="1843" w:type="dxa"/>
          </w:tcPr>
          <w:p>
            <w:pPr>
              <w:pStyle w:val="yTable"/>
              <w:spacing w:before="40"/>
              <w:ind w:left="482"/>
              <w:rPr>
                <w:sz w:val="18"/>
              </w:rPr>
            </w:pPr>
            <w:r>
              <w:rPr>
                <w:sz w:val="18"/>
              </w:rPr>
              <w:t>0.02</w:t>
            </w:r>
          </w:p>
        </w:tc>
      </w:tr>
    </w:tbl>
    <w:p>
      <w:pPr>
        <w:pStyle w:val="yMiscellaneousHeading"/>
        <w:spacing w:after="80"/>
        <w:rPr>
          <w:i/>
          <w:snapToGrid w:val="0"/>
        </w:rPr>
      </w:pPr>
      <w:r>
        <w:rPr>
          <w:i/>
          <w:snapToGrid w:val="0"/>
        </w:rPr>
        <w:t>Measures of Length</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17"/>
        <w:gridCol w:w="1871"/>
      </w:tblGrid>
      <w:tr>
        <w:tc>
          <w:tcPr>
            <w:tcW w:w="5217" w:type="dxa"/>
            <w:tcBorders>
              <w:bottom w:val="nil"/>
            </w:tcBorders>
          </w:tcPr>
          <w:p>
            <w:pPr>
              <w:pStyle w:val="yTable"/>
              <w:jc w:val="center"/>
              <w:rPr>
                <w:b/>
                <w:sz w:val="18"/>
              </w:rPr>
            </w:pPr>
            <w:r>
              <w:rPr>
                <w:b/>
                <w:sz w:val="18"/>
              </w:rPr>
              <w:t>Denomination</w:t>
            </w:r>
          </w:p>
        </w:tc>
        <w:tc>
          <w:tcPr>
            <w:tcW w:w="1871" w:type="dxa"/>
            <w:tcBorders>
              <w:bottom w:val="nil"/>
            </w:tcBorders>
          </w:tcPr>
          <w:p>
            <w:pPr>
              <w:pStyle w:val="yTable"/>
              <w:jc w:val="center"/>
              <w:rPr>
                <w:b/>
                <w:sz w:val="18"/>
              </w:rPr>
            </w:pPr>
            <w:r>
              <w:rPr>
                <w:b/>
                <w:sz w:val="18"/>
              </w:rPr>
              <w:t>Error in Excess or Deficiency</w:t>
            </w:r>
          </w:p>
        </w:tc>
      </w:tr>
      <w:tr>
        <w:tc>
          <w:tcPr>
            <w:tcW w:w="5217" w:type="dxa"/>
            <w:tcBorders>
              <w:top w:val="single" w:sz="4" w:space="0" w:color="auto"/>
              <w:bottom w:val="nil"/>
            </w:tcBorders>
          </w:tcPr>
          <w:p>
            <w:pPr>
              <w:pStyle w:val="yTable"/>
              <w:rPr>
                <w:sz w:val="18"/>
              </w:rPr>
            </w:pPr>
          </w:p>
        </w:tc>
        <w:tc>
          <w:tcPr>
            <w:tcW w:w="1871" w:type="dxa"/>
            <w:tcBorders>
              <w:top w:val="single" w:sz="4" w:space="0" w:color="auto"/>
              <w:bottom w:val="nil"/>
            </w:tcBorders>
          </w:tcPr>
          <w:p>
            <w:pPr>
              <w:pStyle w:val="yTable"/>
              <w:ind w:left="482"/>
              <w:rPr>
                <w:sz w:val="18"/>
              </w:rPr>
            </w:pPr>
            <w:r>
              <w:rPr>
                <w:sz w:val="18"/>
              </w:rPr>
              <w:t>inch</w:t>
            </w:r>
          </w:p>
        </w:tc>
      </w:tr>
      <w:tr>
        <w:tc>
          <w:tcPr>
            <w:tcW w:w="5217" w:type="dxa"/>
            <w:tcBorders>
              <w:top w:val="nil"/>
            </w:tcBorders>
          </w:tcPr>
          <w:p>
            <w:pPr>
              <w:pStyle w:val="yTable"/>
              <w:rPr>
                <w:sz w:val="18"/>
              </w:rPr>
            </w:pPr>
            <w:r>
              <w:rPr>
                <w:sz w:val="18"/>
              </w:rPr>
              <w:t>1 yard, 2 feet, and 1 foot .......................................................................</w:t>
            </w:r>
          </w:p>
        </w:tc>
        <w:tc>
          <w:tcPr>
            <w:tcW w:w="1871" w:type="dxa"/>
            <w:tcBorders>
              <w:top w:val="nil"/>
            </w:tcBorders>
          </w:tcPr>
          <w:p>
            <w:pPr>
              <w:pStyle w:val="yTable"/>
              <w:ind w:left="482"/>
              <w:rPr>
                <w:sz w:val="18"/>
              </w:rPr>
            </w:pPr>
            <w:r>
              <w:rPr>
                <w:sz w:val="18"/>
              </w:rPr>
              <w:t>.01</w:t>
            </w:r>
          </w:p>
        </w:tc>
      </w:tr>
      <w:tr>
        <w:tc>
          <w:tcPr>
            <w:tcW w:w="5217" w:type="dxa"/>
          </w:tcPr>
          <w:p>
            <w:pPr>
              <w:pStyle w:val="yTable"/>
              <w:rPr>
                <w:sz w:val="18"/>
              </w:rPr>
            </w:pPr>
            <w:r>
              <w:rPr>
                <w:sz w:val="18"/>
              </w:rPr>
              <w:t>1 inch .....................................................................................................</w:t>
            </w:r>
          </w:p>
        </w:tc>
        <w:tc>
          <w:tcPr>
            <w:tcW w:w="1871" w:type="dxa"/>
          </w:tcPr>
          <w:p>
            <w:pPr>
              <w:pStyle w:val="yTable"/>
              <w:ind w:left="482"/>
              <w:rPr>
                <w:sz w:val="18"/>
              </w:rPr>
            </w:pPr>
            <w:r>
              <w:rPr>
                <w:sz w:val="18"/>
              </w:rPr>
              <w:t>0.01</w:t>
            </w:r>
          </w:p>
        </w:tc>
      </w:tr>
    </w:tbl>
    <w:p>
      <w:pPr>
        <w:pStyle w:val="yMiscellaneousHeading"/>
        <w:spacing w:after="80"/>
        <w:rPr>
          <w:i/>
          <w:snapToGrid w:val="0"/>
        </w:rPr>
      </w:pPr>
      <w:r>
        <w:rPr>
          <w:i/>
          <w:snapToGrid w:val="0"/>
        </w:rPr>
        <w:t>Measures of Capacity</w:t>
      </w:r>
    </w:p>
    <w:tbl>
      <w:tblPr>
        <w:tblW w:w="0" w:type="auto"/>
        <w:tblInd w:w="113" w:type="dxa"/>
        <w:tblBorders>
          <w:top w:val="single" w:sz="4" w:space="0" w:color="auto"/>
          <w:bottom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17"/>
        <w:gridCol w:w="1871"/>
      </w:tblGrid>
      <w:tr>
        <w:trPr>
          <w:cantSplit/>
        </w:trPr>
        <w:tc>
          <w:tcPr>
            <w:tcW w:w="5217" w:type="dxa"/>
            <w:vMerge w:val="restart"/>
          </w:tcPr>
          <w:p>
            <w:pPr>
              <w:pStyle w:val="yTable"/>
              <w:jc w:val="center"/>
              <w:rPr>
                <w:b/>
                <w:sz w:val="18"/>
              </w:rPr>
            </w:pPr>
            <w:r>
              <w:rPr>
                <w:b/>
                <w:sz w:val="18"/>
              </w:rPr>
              <w:t>Denomination</w:t>
            </w:r>
          </w:p>
        </w:tc>
        <w:tc>
          <w:tcPr>
            <w:tcW w:w="1871" w:type="dxa"/>
          </w:tcPr>
          <w:p>
            <w:pPr>
              <w:pStyle w:val="yTable"/>
              <w:jc w:val="center"/>
              <w:rPr>
                <w:b/>
                <w:sz w:val="18"/>
              </w:rPr>
            </w:pPr>
            <w:r>
              <w:rPr>
                <w:b/>
                <w:sz w:val="18"/>
              </w:rPr>
              <w:t>Error in Excess or Deficiency</w:t>
            </w:r>
          </w:p>
        </w:tc>
      </w:tr>
      <w:tr>
        <w:trPr>
          <w:cantSplit/>
        </w:trPr>
        <w:tc>
          <w:tcPr>
            <w:tcW w:w="5217" w:type="dxa"/>
            <w:vMerge/>
            <w:tcBorders>
              <w:bottom w:val="nil"/>
            </w:tcBorders>
          </w:tcPr>
          <w:p>
            <w:pPr>
              <w:pStyle w:val="yTable"/>
              <w:jc w:val="center"/>
              <w:rPr>
                <w:b/>
                <w:sz w:val="18"/>
              </w:rPr>
            </w:pPr>
          </w:p>
        </w:tc>
        <w:tc>
          <w:tcPr>
            <w:tcW w:w="1871" w:type="dxa"/>
            <w:tcBorders>
              <w:bottom w:val="nil"/>
            </w:tcBorders>
          </w:tcPr>
          <w:p>
            <w:pPr>
              <w:pStyle w:val="yTable"/>
              <w:jc w:val="center"/>
              <w:rPr>
                <w:b/>
                <w:sz w:val="18"/>
              </w:rPr>
            </w:pPr>
            <w:r>
              <w:rPr>
                <w:b/>
                <w:sz w:val="18"/>
              </w:rPr>
              <w:t>Grains weight of water as measured by a graduated glass tube</w:t>
            </w:r>
          </w:p>
        </w:tc>
      </w:tr>
      <w:tr>
        <w:trPr>
          <w:cantSplit/>
        </w:trPr>
        <w:tc>
          <w:tcPr>
            <w:tcW w:w="5217" w:type="dxa"/>
            <w:tcBorders>
              <w:bottom w:val="nil"/>
            </w:tcBorders>
          </w:tcPr>
          <w:p>
            <w:pPr>
              <w:pStyle w:val="yTable"/>
              <w:rPr>
                <w:sz w:val="18"/>
              </w:rPr>
            </w:pPr>
            <w:r>
              <w:rPr>
                <w:sz w:val="18"/>
              </w:rPr>
              <w:t>Imperial Measures — </w:t>
            </w:r>
          </w:p>
        </w:tc>
        <w:tc>
          <w:tcPr>
            <w:tcW w:w="1871" w:type="dxa"/>
            <w:tcBorders>
              <w:bottom w:val="nil"/>
            </w:tcBorders>
          </w:tcPr>
          <w:p>
            <w:pPr>
              <w:pStyle w:val="yTable"/>
              <w:jc w:val="center"/>
              <w:rPr>
                <w:sz w:val="18"/>
              </w:rPr>
            </w:pPr>
            <w:r>
              <w:rPr>
                <w:sz w:val="18"/>
              </w:rPr>
              <w:t>Grains</w:t>
            </w:r>
          </w:p>
        </w:tc>
      </w:tr>
      <w:tr>
        <w:trPr>
          <w:cantSplit/>
        </w:trPr>
        <w:tc>
          <w:tcPr>
            <w:tcW w:w="5217" w:type="dxa"/>
            <w:tcBorders>
              <w:top w:val="nil"/>
              <w:bottom w:val="nil"/>
            </w:tcBorders>
          </w:tcPr>
          <w:p>
            <w:pPr>
              <w:pStyle w:val="yTable"/>
              <w:tabs>
                <w:tab w:val="left" w:pos="284"/>
              </w:tabs>
              <w:rPr>
                <w:sz w:val="18"/>
              </w:rPr>
            </w:pPr>
            <w:r>
              <w:rPr>
                <w:sz w:val="18"/>
              </w:rPr>
              <w:tab/>
              <w:t>10 gallons ........................................................................................</w:t>
            </w:r>
          </w:p>
        </w:tc>
        <w:tc>
          <w:tcPr>
            <w:tcW w:w="1871" w:type="dxa"/>
            <w:tcBorders>
              <w:top w:val="nil"/>
              <w:bottom w:val="nil"/>
            </w:tcBorders>
          </w:tcPr>
          <w:p>
            <w:pPr>
              <w:pStyle w:val="yTable"/>
              <w:jc w:val="center"/>
              <w:rPr>
                <w:sz w:val="18"/>
              </w:rPr>
            </w:pPr>
            <w:r>
              <w:rPr>
                <w:sz w:val="18"/>
              </w:rPr>
              <w:t>512</w:t>
            </w:r>
          </w:p>
        </w:tc>
      </w:tr>
      <w:tr>
        <w:trPr>
          <w:cantSplit/>
        </w:trPr>
        <w:tc>
          <w:tcPr>
            <w:tcW w:w="5217" w:type="dxa"/>
            <w:tcBorders>
              <w:top w:val="nil"/>
              <w:bottom w:val="nil"/>
            </w:tcBorders>
          </w:tcPr>
          <w:p>
            <w:pPr>
              <w:pStyle w:val="yTable"/>
              <w:tabs>
                <w:tab w:val="left" w:pos="284"/>
              </w:tabs>
              <w:rPr>
                <w:sz w:val="18"/>
              </w:rPr>
            </w:pPr>
            <w:r>
              <w:rPr>
                <w:sz w:val="18"/>
              </w:rPr>
              <w:tab/>
              <w:t>8 gallons or 1 bushel .......................................................................</w:t>
            </w:r>
          </w:p>
        </w:tc>
        <w:tc>
          <w:tcPr>
            <w:tcW w:w="1871" w:type="dxa"/>
            <w:tcBorders>
              <w:top w:val="nil"/>
              <w:bottom w:val="nil"/>
            </w:tcBorders>
          </w:tcPr>
          <w:p>
            <w:pPr>
              <w:pStyle w:val="yTable"/>
              <w:jc w:val="center"/>
              <w:rPr>
                <w:sz w:val="18"/>
              </w:rPr>
            </w:pPr>
            <w:r>
              <w:rPr>
                <w:sz w:val="18"/>
              </w:rPr>
              <w:t>256</w:t>
            </w:r>
          </w:p>
        </w:tc>
      </w:tr>
      <w:tr>
        <w:trPr>
          <w:cantSplit/>
        </w:trPr>
        <w:tc>
          <w:tcPr>
            <w:tcW w:w="5217" w:type="dxa"/>
            <w:tcBorders>
              <w:top w:val="nil"/>
              <w:bottom w:val="nil"/>
            </w:tcBorders>
          </w:tcPr>
          <w:p>
            <w:pPr>
              <w:pStyle w:val="yTable"/>
              <w:tabs>
                <w:tab w:val="left" w:pos="284"/>
              </w:tabs>
              <w:rPr>
                <w:sz w:val="18"/>
              </w:rPr>
            </w:pPr>
            <w:r>
              <w:rPr>
                <w:sz w:val="18"/>
              </w:rPr>
              <w:tab/>
              <w:t>5 gallons ..........................................................................................</w:t>
            </w:r>
          </w:p>
        </w:tc>
        <w:tc>
          <w:tcPr>
            <w:tcW w:w="1871" w:type="dxa"/>
            <w:tcBorders>
              <w:top w:val="nil"/>
              <w:bottom w:val="nil"/>
            </w:tcBorders>
          </w:tcPr>
          <w:p>
            <w:pPr>
              <w:pStyle w:val="yTable"/>
              <w:jc w:val="center"/>
              <w:rPr>
                <w:sz w:val="18"/>
              </w:rPr>
            </w:pPr>
            <w:r>
              <w:rPr>
                <w:sz w:val="18"/>
              </w:rPr>
              <w:t>192</w:t>
            </w:r>
          </w:p>
        </w:tc>
      </w:tr>
      <w:tr>
        <w:trPr>
          <w:cantSplit/>
        </w:trPr>
        <w:tc>
          <w:tcPr>
            <w:tcW w:w="5217" w:type="dxa"/>
            <w:tcBorders>
              <w:top w:val="nil"/>
              <w:bottom w:val="nil"/>
            </w:tcBorders>
          </w:tcPr>
          <w:p>
            <w:pPr>
              <w:pStyle w:val="yTable"/>
              <w:tabs>
                <w:tab w:val="left" w:pos="284"/>
              </w:tabs>
              <w:rPr>
                <w:sz w:val="18"/>
              </w:rPr>
            </w:pPr>
            <w:r>
              <w:rPr>
                <w:sz w:val="18"/>
              </w:rPr>
              <w:tab/>
              <w:t>4 gallons ..........................................................................................</w:t>
            </w:r>
          </w:p>
        </w:tc>
        <w:tc>
          <w:tcPr>
            <w:tcW w:w="1871" w:type="dxa"/>
            <w:tcBorders>
              <w:top w:val="nil"/>
              <w:bottom w:val="nil"/>
            </w:tcBorders>
          </w:tcPr>
          <w:p>
            <w:pPr>
              <w:pStyle w:val="yTable"/>
              <w:jc w:val="center"/>
              <w:rPr>
                <w:sz w:val="18"/>
              </w:rPr>
            </w:pPr>
            <w:r>
              <w:rPr>
                <w:sz w:val="18"/>
              </w:rPr>
              <w:t>128</w:t>
            </w:r>
          </w:p>
        </w:tc>
      </w:tr>
      <w:tr>
        <w:trPr>
          <w:cantSplit/>
        </w:trPr>
        <w:tc>
          <w:tcPr>
            <w:tcW w:w="5217" w:type="dxa"/>
            <w:tcBorders>
              <w:top w:val="nil"/>
              <w:bottom w:val="nil"/>
            </w:tcBorders>
          </w:tcPr>
          <w:p>
            <w:pPr>
              <w:pStyle w:val="yTable"/>
              <w:tabs>
                <w:tab w:val="left" w:pos="284"/>
              </w:tabs>
              <w:rPr>
                <w:sz w:val="18"/>
              </w:rPr>
            </w:pPr>
            <w:r>
              <w:rPr>
                <w:sz w:val="18"/>
              </w:rPr>
              <w:tab/>
              <w:t>3 gallons ..........................................................................................</w:t>
            </w:r>
          </w:p>
        </w:tc>
        <w:tc>
          <w:tcPr>
            <w:tcW w:w="1871" w:type="dxa"/>
            <w:tcBorders>
              <w:top w:val="nil"/>
              <w:bottom w:val="nil"/>
            </w:tcBorders>
          </w:tcPr>
          <w:p>
            <w:pPr>
              <w:pStyle w:val="yTable"/>
              <w:jc w:val="center"/>
              <w:rPr>
                <w:sz w:val="18"/>
              </w:rPr>
            </w:pPr>
            <w:r>
              <w:rPr>
                <w:sz w:val="18"/>
              </w:rPr>
              <w:t>128</w:t>
            </w:r>
          </w:p>
        </w:tc>
      </w:tr>
      <w:tr>
        <w:trPr>
          <w:cantSplit/>
        </w:trPr>
        <w:tc>
          <w:tcPr>
            <w:tcW w:w="5217" w:type="dxa"/>
            <w:tcBorders>
              <w:top w:val="nil"/>
              <w:bottom w:val="nil"/>
            </w:tcBorders>
          </w:tcPr>
          <w:p>
            <w:pPr>
              <w:pStyle w:val="yTable"/>
              <w:tabs>
                <w:tab w:val="left" w:pos="284"/>
              </w:tabs>
              <w:rPr>
                <w:sz w:val="18"/>
              </w:rPr>
            </w:pPr>
            <w:r>
              <w:rPr>
                <w:sz w:val="18"/>
              </w:rPr>
              <w:tab/>
              <w:t>2 gallons or 1 peck ..........................................................................</w:t>
            </w:r>
          </w:p>
        </w:tc>
        <w:tc>
          <w:tcPr>
            <w:tcW w:w="1871" w:type="dxa"/>
            <w:tcBorders>
              <w:top w:val="nil"/>
              <w:bottom w:val="nil"/>
            </w:tcBorders>
          </w:tcPr>
          <w:p>
            <w:pPr>
              <w:pStyle w:val="yTable"/>
              <w:jc w:val="center"/>
              <w:rPr>
                <w:sz w:val="18"/>
              </w:rPr>
            </w:pPr>
            <w:r>
              <w:rPr>
                <w:sz w:val="18"/>
              </w:rPr>
              <w:t>64</w:t>
            </w:r>
          </w:p>
        </w:tc>
      </w:tr>
      <w:tr>
        <w:trPr>
          <w:cantSplit/>
        </w:trPr>
        <w:tc>
          <w:tcPr>
            <w:tcW w:w="5217" w:type="dxa"/>
            <w:tcBorders>
              <w:top w:val="nil"/>
              <w:bottom w:val="nil"/>
            </w:tcBorders>
          </w:tcPr>
          <w:p>
            <w:pPr>
              <w:pStyle w:val="yTable"/>
              <w:tabs>
                <w:tab w:val="left" w:pos="284"/>
              </w:tabs>
              <w:rPr>
                <w:sz w:val="18"/>
              </w:rPr>
            </w:pPr>
            <w:r>
              <w:rPr>
                <w:sz w:val="18"/>
              </w:rPr>
              <w:tab/>
              <w:t>1 gallon ...........................................................................................</w:t>
            </w:r>
          </w:p>
        </w:tc>
        <w:tc>
          <w:tcPr>
            <w:tcW w:w="1871" w:type="dxa"/>
            <w:tcBorders>
              <w:top w:val="nil"/>
              <w:bottom w:val="nil"/>
            </w:tcBorders>
          </w:tcPr>
          <w:p>
            <w:pPr>
              <w:pStyle w:val="yTable"/>
              <w:jc w:val="center"/>
              <w:rPr>
                <w:sz w:val="18"/>
              </w:rPr>
            </w:pPr>
            <w:r>
              <w:rPr>
                <w:sz w:val="18"/>
              </w:rPr>
              <w:t>32</w:t>
            </w:r>
          </w:p>
        </w:tc>
      </w:tr>
      <w:tr>
        <w:trPr>
          <w:cantSplit/>
        </w:trPr>
        <w:tc>
          <w:tcPr>
            <w:tcW w:w="5217" w:type="dxa"/>
            <w:tcBorders>
              <w:top w:val="nil"/>
              <w:bottom w:val="nil"/>
            </w:tcBorders>
          </w:tcPr>
          <w:p>
            <w:pPr>
              <w:pStyle w:val="yTable"/>
              <w:tabs>
                <w:tab w:val="left" w:pos="284"/>
              </w:tabs>
              <w:rPr>
                <w:sz w:val="18"/>
              </w:rPr>
            </w:pPr>
            <w:r>
              <w:rPr>
                <w:sz w:val="18"/>
              </w:rPr>
              <w:tab/>
              <w:t>½ gallon ..........................................................................................</w:t>
            </w:r>
          </w:p>
        </w:tc>
        <w:tc>
          <w:tcPr>
            <w:tcW w:w="1871" w:type="dxa"/>
            <w:tcBorders>
              <w:top w:val="nil"/>
              <w:bottom w:val="nil"/>
            </w:tcBorders>
          </w:tcPr>
          <w:p>
            <w:pPr>
              <w:pStyle w:val="yTable"/>
              <w:jc w:val="center"/>
              <w:rPr>
                <w:sz w:val="18"/>
              </w:rPr>
            </w:pPr>
            <w:r>
              <w:rPr>
                <w:sz w:val="18"/>
              </w:rPr>
              <w:t>16</w:t>
            </w:r>
          </w:p>
        </w:tc>
      </w:tr>
      <w:tr>
        <w:trPr>
          <w:cantSplit/>
        </w:trPr>
        <w:tc>
          <w:tcPr>
            <w:tcW w:w="5217" w:type="dxa"/>
            <w:tcBorders>
              <w:top w:val="nil"/>
              <w:bottom w:val="nil"/>
            </w:tcBorders>
          </w:tcPr>
          <w:p>
            <w:pPr>
              <w:pStyle w:val="yTable"/>
              <w:tabs>
                <w:tab w:val="left" w:pos="284"/>
              </w:tabs>
              <w:rPr>
                <w:sz w:val="18"/>
              </w:rPr>
            </w:pPr>
            <w:r>
              <w:rPr>
                <w:sz w:val="18"/>
              </w:rPr>
              <w:tab/>
              <w:t>1 quart .............................................................................................</w:t>
            </w:r>
          </w:p>
        </w:tc>
        <w:tc>
          <w:tcPr>
            <w:tcW w:w="1871" w:type="dxa"/>
            <w:tcBorders>
              <w:top w:val="nil"/>
              <w:bottom w:val="nil"/>
            </w:tcBorders>
          </w:tcPr>
          <w:p>
            <w:pPr>
              <w:pStyle w:val="yTable"/>
              <w:jc w:val="center"/>
              <w:rPr>
                <w:sz w:val="18"/>
              </w:rPr>
            </w:pPr>
            <w:r>
              <w:rPr>
                <w:sz w:val="18"/>
              </w:rPr>
              <w:t>12</w:t>
            </w:r>
          </w:p>
        </w:tc>
      </w:tr>
      <w:tr>
        <w:trPr>
          <w:cantSplit/>
        </w:trPr>
        <w:tc>
          <w:tcPr>
            <w:tcW w:w="5217" w:type="dxa"/>
            <w:tcBorders>
              <w:top w:val="nil"/>
              <w:bottom w:val="nil"/>
            </w:tcBorders>
          </w:tcPr>
          <w:p>
            <w:pPr>
              <w:pStyle w:val="yTable"/>
              <w:tabs>
                <w:tab w:val="left" w:pos="284"/>
              </w:tabs>
              <w:rPr>
                <w:sz w:val="18"/>
              </w:rPr>
            </w:pPr>
            <w:r>
              <w:rPr>
                <w:sz w:val="18"/>
              </w:rPr>
              <w:tab/>
              <w:t>1 pint ...............................................................................................</w:t>
            </w:r>
          </w:p>
        </w:tc>
        <w:tc>
          <w:tcPr>
            <w:tcW w:w="1871" w:type="dxa"/>
            <w:tcBorders>
              <w:top w:val="nil"/>
              <w:bottom w:val="nil"/>
            </w:tcBorders>
          </w:tcPr>
          <w:p>
            <w:pPr>
              <w:pStyle w:val="yTable"/>
              <w:jc w:val="center"/>
              <w:rPr>
                <w:sz w:val="18"/>
              </w:rPr>
            </w:pPr>
            <w:r>
              <w:rPr>
                <w:sz w:val="18"/>
              </w:rPr>
              <w:t>8</w:t>
            </w:r>
          </w:p>
        </w:tc>
      </w:tr>
      <w:tr>
        <w:trPr>
          <w:cantSplit/>
        </w:trPr>
        <w:tc>
          <w:tcPr>
            <w:tcW w:w="5217" w:type="dxa"/>
            <w:tcBorders>
              <w:top w:val="nil"/>
              <w:bottom w:val="nil"/>
            </w:tcBorders>
          </w:tcPr>
          <w:p>
            <w:pPr>
              <w:pStyle w:val="yTable"/>
              <w:tabs>
                <w:tab w:val="left" w:pos="284"/>
              </w:tabs>
              <w:rPr>
                <w:sz w:val="18"/>
              </w:rPr>
            </w:pPr>
            <w:r>
              <w:rPr>
                <w:sz w:val="18"/>
              </w:rPr>
              <w:tab/>
              <w:t>½ pint ..............................................................................................</w:t>
            </w:r>
          </w:p>
        </w:tc>
        <w:tc>
          <w:tcPr>
            <w:tcW w:w="1871" w:type="dxa"/>
            <w:tcBorders>
              <w:top w:val="nil"/>
              <w:bottom w:val="nil"/>
            </w:tcBorders>
          </w:tcPr>
          <w:p>
            <w:pPr>
              <w:pStyle w:val="yTable"/>
              <w:jc w:val="center"/>
              <w:rPr>
                <w:sz w:val="18"/>
              </w:rPr>
            </w:pPr>
            <w:r>
              <w:rPr>
                <w:sz w:val="18"/>
              </w:rPr>
              <w:t>8</w:t>
            </w:r>
          </w:p>
        </w:tc>
      </w:tr>
      <w:tr>
        <w:trPr>
          <w:cantSplit/>
        </w:trPr>
        <w:tc>
          <w:tcPr>
            <w:tcW w:w="5217" w:type="dxa"/>
            <w:tcBorders>
              <w:top w:val="nil"/>
              <w:bottom w:val="nil"/>
            </w:tcBorders>
          </w:tcPr>
          <w:p>
            <w:pPr>
              <w:pStyle w:val="yTable"/>
              <w:tabs>
                <w:tab w:val="left" w:pos="284"/>
              </w:tabs>
              <w:rPr>
                <w:sz w:val="18"/>
              </w:rPr>
            </w:pPr>
            <w:r>
              <w:rPr>
                <w:sz w:val="18"/>
              </w:rPr>
              <w:tab/>
              <w:t>1 gill or ¼ pint ................................................................................</w:t>
            </w:r>
          </w:p>
        </w:tc>
        <w:tc>
          <w:tcPr>
            <w:tcW w:w="1871" w:type="dxa"/>
            <w:tcBorders>
              <w:top w:val="nil"/>
              <w:bottom w:val="nil"/>
            </w:tcBorders>
          </w:tcPr>
          <w:p>
            <w:pPr>
              <w:pStyle w:val="yTable"/>
              <w:jc w:val="center"/>
              <w:rPr>
                <w:sz w:val="18"/>
              </w:rPr>
            </w:pPr>
            <w:r>
              <w:rPr>
                <w:sz w:val="18"/>
              </w:rPr>
              <w:t>4</w:t>
            </w:r>
          </w:p>
        </w:tc>
      </w:tr>
      <w:tr>
        <w:trPr>
          <w:cantSplit/>
        </w:trPr>
        <w:tc>
          <w:tcPr>
            <w:tcW w:w="5217" w:type="dxa"/>
            <w:tcBorders>
              <w:top w:val="nil"/>
              <w:bottom w:val="nil"/>
            </w:tcBorders>
          </w:tcPr>
          <w:p>
            <w:pPr>
              <w:pStyle w:val="yTable"/>
              <w:tabs>
                <w:tab w:val="left" w:pos="284"/>
              </w:tabs>
              <w:rPr>
                <w:sz w:val="18"/>
              </w:rPr>
            </w:pPr>
            <w:r>
              <w:rPr>
                <w:sz w:val="18"/>
              </w:rPr>
              <w:tab/>
              <w:t>½ gill ¼ gill .....................................................................................</w:t>
            </w:r>
          </w:p>
        </w:tc>
        <w:tc>
          <w:tcPr>
            <w:tcW w:w="1871" w:type="dxa"/>
            <w:tcBorders>
              <w:top w:val="nil"/>
              <w:bottom w:val="nil"/>
            </w:tcBorders>
          </w:tcPr>
          <w:p>
            <w:pPr>
              <w:pStyle w:val="yTable"/>
              <w:jc w:val="center"/>
              <w:rPr>
                <w:sz w:val="18"/>
              </w:rPr>
            </w:pPr>
            <w:r>
              <w:rPr>
                <w:sz w:val="18"/>
              </w:rPr>
              <w:t>4</w:t>
            </w:r>
          </w:p>
        </w:tc>
      </w:tr>
      <w:tr>
        <w:trPr>
          <w:cantSplit/>
        </w:trPr>
        <w:tc>
          <w:tcPr>
            <w:tcW w:w="5217" w:type="dxa"/>
            <w:tcBorders>
              <w:top w:val="nil"/>
              <w:bottom w:val="nil"/>
            </w:tcBorders>
          </w:tcPr>
          <w:p>
            <w:pPr>
              <w:pStyle w:val="yTable"/>
              <w:rPr>
                <w:sz w:val="18"/>
              </w:rPr>
            </w:pPr>
            <w:r>
              <w:rPr>
                <w:sz w:val="18"/>
              </w:rPr>
              <w:t>Apothecaries’ Measures — </w:t>
            </w:r>
          </w:p>
        </w:tc>
        <w:tc>
          <w:tcPr>
            <w:tcW w:w="1871" w:type="dxa"/>
            <w:tcBorders>
              <w:top w:val="nil"/>
              <w:bottom w:val="nil"/>
            </w:tcBorders>
          </w:tcPr>
          <w:p>
            <w:pPr>
              <w:pStyle w:val="yTable"/>
              <w:jc w:val="center"/>
              <w:rPr>
                <w:sz w:val="18"/>
              </w:rPr>
            </w:pPr>
          </w:p>
        </w:tc>
      </w:tr>
      <w:tr>
        <w:trPr>
          <w:cantSplit/>
        </w:trPr>
        <w:tc>
          <w:tcPr>
            <w:tcW w:w="5217" w:type="dxa"/>
            <w:tcBorders>
              <w:top w:val="nil"/>
              <w:bottom w:val="nil"/>
            </w:tcBorders>
          </w:tcPr>
          <w:p>
            <w:pPr>
              <w:pStyle w:val="yTable"/>
              <w:tabs>
                <w:tab w:val="left" w:pos="284"/>
              </w:tabs>
              <w:rPr>
                <w:sz w:val="18"/>
              </w:rPr>
            </w:pPr>
            <w:r>
              <w:rPr>
                <w:sz w:val="18"/>
              </w:rPr>
              <w:tab/>
              <w:t>Above 20 fluid oz. ..........................................................................</w:t>
            </w:r>
          </w:p>
        </w:tc>
        <w:tc>
          <w:tcPr>
            <w:tcW w:w="1871" w:type="dxa"/>
            <w:tcBorders>
              <w:top w:val="nil"/>
              <w:bottom w:val="nil"/>
            </w:tcBorders>
          </w:tcPr>
          <w:p>
            <w:pPr>
              <w:pStyle w:val="yTable"/>
              <w:jc w:val="center"/>
              <w:rPr>
                <w:sz w:val="18"/>
              </w:rPr>
            </w:pPr>
            <w:r>
              <w:rPr>
                <w:sz w:val="18"/>
              </w:rPr>
              <w:t>12</w:t>
            </w:r>
          </w:p>
        </w:tc>
      </w:tr>
      <w:tr>
        <w:trPr>
          <w:cantSplit/>
        </w:trPr>
        <w:tc>
          <w:tcPr>
            <w:tcW w:w="5217" w:type="dxa"/>
            <w:tcBorders>
              <w:top w:val="nil"/>
              <w:bottom w:val="nil"/>
            </w:tcBorders>
          </w:tcPr>
          <w:p>
            <w:pPr>
              <w:pStyle w:val="yTable"/>
              <w:tabs>
                <w:tab w:val="left" w:pos="284"/>
              </w:tabs>
              <w:rPr>
                <w:sz w:val="18"/>
              </w:rPr>
            </w:pPr>
            <w:r>
              <w:rPr>
                <w:sz w:val="18"/>
              </w:rPr>
              <w:tab/>
              <w:t>Above 5 fluid oz and not exceeding 20 fluid oz. ............................</w:t>
            </w:r>
          </w:p>
        </w:tc>
        <w:tc>
          <w:tcPr>
            <w:tcW w:w="1871" w:type="dxa"/>
            <w:tcBorders>
              <w:top w:val="nil"/>
              <w:bottom w:val="nil"/>
            </w:tcBorders>
          </w:tcPr>
          <w:p>
            <w:pPr>
              <w:pStyle w:val="yTable"/>
              <w:jc w:val="center"/>
              <w:rPr>
                <w:sz w:val="18"/>
              </w:rPr>
            </w:pPr>
            <w:r>
              <w:rPr>
                <w:sz w:val="18"/>
              </w:rPr>
              <w:t>8</w:t>
            </w:r>
          </w:p>
        </w:tc>
      </w:tr>
      <w:tr>
        <w:trPr>
          <w:cantSplit/>
        </w:trPr>
        <w:tc>
          <w:tcPr>
            <w:tcW w:w="5217" w:type="dxa"/>
            <w:tcBorders>
              <w:top w:val="nil"/>
              <w:bottom w:val="nil"/>
            </w:tcBorders>
          </w:tcPr>
          <w:p>
            <w:pPr>
              <w:pStyle w:val="yTable"/>
              <w:tabs>
                <w:tab w:val="left" w:pos="284"/>
              </w:tabs>
              <w:rPr>
                <w:sz w:val="18"/>
              </w:rPr>
            </w:pPr>
            <w:r>
              <w:rPr>
                <w:sz w:val="18"/>
              </w:rPr>
              <w:tab/>
              <w:t>Above 4 fluid oz and not exceeding 5 fluid oz. ..............................</w:t>
            </w:r>
          </w:p>
        </w:tc>
        <w:tc>
          <w:tcPr>
            <w:tcW w:w="1871" w:type="dxa"/>
            <w:tcBorders>
              <w:top w:val="nil"/>
              <w:bottom w:val="nil"/>
            </w:tcBorders>
          </w:tcPr>
          <w:p>
            <w:pPr>
              <w:pStyle w:val="yTable"/>
              <w:jc w:val="center"/>
              <w:rPr>
                <w:sz w:val="18"/>
              </w:rPr>
            </w:pPr>
            <w:r>
              <w:rPr>
                <w:sz w:val="18"/>
              </w:rPr>
              <w:t>6</w:t>
            </w:r>
          </w:p>
        </w:tc>
      </w:tr>
      <w:tr>
        <w:trPr>
          <w:cantSplit/>
        </w:trPr>
        <w:tc>
          <w:tcPr>
            <w:tcW w:w="5217" w:type="dxa"/>
            <w:tcBorders>
              <w:top w:val="nil"/>
              <w:bottom w:val="nil"/>
            </w:tcBorders>
          </w:tcPr>
          <w:p>
            <w:pPr>
              <w:pStyle w:val="yTable"/>
              <w:tabs>
                <w:tab w:val="left" w:pos="284"/>
              </w:tabs>
              <w:rPr>
                <w:sz w:val="18"/>
              </w:rPr>
            </w:pPr>
            <w:r>
              <w:rPr>
                <w:sz w:val="18"/>
              </w:rPr>
              <w:tab/>
              <w:t>Above 2 fluid oz and not exceeding 4 fluid oz. ..............................</w:t>
            </w:r>
          </w:p>
        </w:tc>
        <w:tc>
          <w:tcPr>
            <w:tcW w:w="1871" w:type="dxa"/>
            <w:tcBorders>
              <w:top w:val="nil"/>
              <w:bottom w:val="nil"/>
            </w:tcBorders>
          </w:tcPr>
          <w:p>
            <w:pPr>
              <w:pStyle w:val="yTable"/>
              <w:jc w:val="center"/>
              <w:rPr>
                <w:sz w:val="18"/>
              </w:rPr>
            </w:pPr>
            <w:r>
              <w:rPr>
                <w:sz w:val="18"/>
              </w:rPr>
              <w:t>4</w:t>
            </w:r>
          </w:p>
        </w:tc>
      </w:tr>
      <w:tr>
        <w:trPr>
          <w:cantSplit/>
        </w:trPr>
        <w:tc>
          <w:tcPr>
            <w:tcW w:w="5217" w:type="dxa"/>
            <w:tcBorders>
              <w:top w:val="nil"/>
              <w:bottom w:val="nil"/>
            </w:tcBorders>
          </w:tcPr>
          <w:p>
            <w:pPr>
              <w:pStyle w:val="yTable"/>
              <w:tabs>
                <w:tab w:val="left" w:pos="284"/>
              </w:tabs>
              <w:rPr>
                <w:sz w:val="18"/>
              </w:rPr>
            </w:pPr>
            <w:r>
              <w:rPr>
                <w:sz w:val="18"/>
              </w:rPr>
              <w:tab/>
              <w:t>Above 2 fluid drachms and not exceeding 2 fluid oz. ....................</w:t>
            </w:r>
          </w:p>
        </w:tc>
        <w:tc>
          <w:tcPr>
            <w:tcW w:w="1871" w:type="dxa"/>
            <w:tcBorders>
              <w:top w:val="nil"/>
              <w:bottom w:val="nil"/>
            </w:tcBorders>
          </w:tcPr>
          <w:p>
            <w:pPr>
              <w:pStyle w:val="yTable"/>
              <w:jc w:val="center"/>
              <w:rPr>
                <w:sz w:val="18"/>
              </w:rPr>
            </w:pPr>
            <w:r>
              <w:rPr>
                <w:sz w:val="18"/>
              </w:rPr>
              <w:t>3</w:t>
            </w:r>
          </w:p>
        </w:tc>
      </w:tr>
      <w:tr>
        <w:trPr>
          <w:cantSplit/>
        </w:trPr>
        <w:tc>
          <w:tcPr>
            <w:tcW w:w="5217" w:type="dxa"/>
            <w:tcBorders>
              <w:top w:val="nil"/>
              <w:bottom w:val="nil"/>
            </w:tcBorders>
          </w:tcPr>
          <w:p>
            <w:pPr>
              <w:pStyle w:val="yTable"/>
              <w:tabs>
                <w:tab w:val="left" w:pos="313"/>
              </w:tabs>
              <w:ind w:left="596" w:hanging="596"/>
              <w:rPr>
                <w:sz w:val="18"/>
              </w:rPr>
            </w:pPr>
            <w:r>
              <w:rPr>
                <w:sz w:val="18"/>
              </w:rPr>
              <w:tab/>
              <w:t>Above 60 minims or 1 fluid drachm, and not exceeding 2 fluid drachms ....................................................................................</w:t>
            </w:r>
          </w:p>
        </w:tc>
        <w:tc>
          <w:tcPr>
            <w:tcW w:w="1871" w:type="dxa"/>
            <w:tcBorders>
              <w:top w:val="nil"/>
              <w:bottom w:val="nil"/>
            </w:tcBorders>
          </w:tcPr>
          <w:p>
            <w:pPr>
              <w:pStyle w:val="yTable"/>
              <w:jc w:val="center"/>
              <w:rPr>
                <w:sz w:val="18"/>
              </w:rPr>
            </w:pPr>
            <w:r>
              <w:rPr>
                <w:sz w:val="18"/>
              </w:rPr>
              <w:br/>
              <w:t>2</w:t>
            </w:r>
          </w:p>
        </w:tc>
      </w:tr>
      <w:tr>
        <w:trPr>
          <w:cantSplit/>
        </w:trPr>
        <w:tc>
          <w:tcPr>
            <w:tcW w:w="5217" w:type="dxa"/>
            <w:tcBorders>
              <w:top w:val="nil"/>
              <w:bottom w:val="nil"/>
            </w:tcBorders>
          </w:tcPr>
          <w:p>
            <w:pPr>
              <w:pStyle w:val="yTable"/>
              <w:tabs>
                <w:tab w:val="left" w:pos="313"/>
              </w:tabs>
              <w:ind w:left="596" w:hanging="596"/>
              <w:rPr>
                <w:sz w:val="18"/>
              </w:rPr>
            </w:pPr>
            <w:r>
              <w:rPr>
                <w:sz w:val="18"/>
              </w:rPr>
              <w:tab/>
              <w:t>Above 30 minims and not exceeding 60 minims or. 1 fluid drachm .....................................................................................</w:t>
            </w:r>
          </w:p>
        </w:tc>
        <w:tc>
          <w:tcPr>
            <w:tcW w:w="1871" w:type="dxa"/>
            <w:tcBorders>
              <w:top w:val="nil"/>
              <w:bottom w:val="nil"/>
            </w:tcBorders>
          </w:tcPr>
          <w:p>
            <w:pPr>
              <w:pStyle w:val="yTable"/>
              <w:jc w:val="center"/>
              <w:rPr>
                <w:sz w:val="18"/>
              </w:rPr>
            </w:pPr>
            <w:r>
              <w:rPr>
                <w:sz w:val="18"/>
              </w:rPr>
              <w:br/>
              <w:t>1</w:t>
            </w:r>
          </w:p>
        </w:tc>
      </w:tr>
      <w:tr>
        <w:trPr>
          <w:cantSplit/>
        </w:trPr>
        <w:tc>
          <w:tcPr>
            <w:tcW w:w="5217" w:type="dxa"/>
            <w:tcBorders>
              <w:top w:val="nil"/>
            </w:tcBorders>
          </w:tcPr>
          <w:p>
            <w:pPr>
              <w:pStyle w:val="yTable"/>
              <w:tabs>
                <w:tab w:val="left" w:pos="284"/>
              </w:tabs>
              <w:ind w:left="284" w:hanging="284"/>
              <w:rPr>
                <w:sz w:val="18"/>
              </w:rPr>
            </w:pPr>
            <w:r>
              <w:rPr>
                <w:sz w:val="18"/>
              </w:rPr>
              <w:tab/>
              <w:t>Not exceeding 30 minims ...............................................................</w:t>
            </w:r>
          </w:p>
        </w:tc>
        <w:tc>
          <w:tcPr>
            <w:tcW w:w="1871" w:type="dxa"/>
            <w:tcBorders>
              <w:top w:val="nil"/>
            </w:tcBorders>
          </w:tcPr>
          <w:p>
            <w:pPr>
              <w:pStyle w:val="yTable"/>
              <w:jc w:val="center"/>
              <w:rPr>
                <w:sz w:val="18"/>
              </w:rPr>
            </w:pPr>
            <w:r>
              <w:rPr>
                <w:sz w:val="18"/>
              </w:rPr>
              <w:t>½</w:t>
            </w:r>
          </w:p>
        </w:tc>
      </w:tr>
    </w:tbl>
    <w:p>
      <w:pPr>
        <w:pStyle w:val="yScheduleHeading"/>
      </w:pPr>
      <w:bookmarkStart w:id="236" w:name="_Toc390077261"/>
      <w:r>
        <w:rPr>
          <w:rStyle w:val="CharSchNo"/>
        </w:rPr>
        <w:t>Table III</w:t>
      </w:r>
      <w:bookmarkEnd w:id="236"/>
      <w:r>
        <w:rPr>
          <w:rStyle w:val="CharSchNo"/>
        </w:rPr>
        <w:t xml:space="preserve"> </w:t>
      </w:r>
    </w:p>
    <w:p>
      <w:pPr>
        <w:pStyle w:val="MiscellaneousHeading"/>
        <w:rPr>
          <w:snapToGrid w:val="0"/>
        </w:rPr>
      </w:pPr>
      <w:r>
        <w:rPr>
          <w:snapToGrid w:val="0"/>
        </w:rPr>
        <w:t>TRADERS’ WEIGHTS AND MEASURES</w:t>
      </w:r>
    </w:p>
    <w:p>
      <w:pPr>
        <w:pStyle w:val="yMiscellaneousHeading"/>
        <w:spacing w:before="120"/>
        <w:rPr>
          <w:i/>
          <w:snapToGrid w:val="0"/>
        </w:rPr>
      </w:pPr>
      <w:r>
        <w:rPr>
          <w:i/>
          <w:snapToGrid w:val="0"/>
        </w:rPr>
        <w:t>Errors Permissible on Verification</w:t>
      </w:r>
    </w:p>
    <w:p>
      <w:pPr>
        <w:pStyle w:val="yMiscellaneousHeading"/>
        <w:spacing w:before="120" w:after="80"/>
        <w:rPr>
          <w:i/>
          <w:snapToGrid w:val="0"/>
        </w:rPr>
      </w:pPr>
      <w:r>
        <w:rPr>
          <w:i/>
          <w:snapToGrid w:val="0"/>
        </w:rPr>
        <w:t>Weights — Avoirdupois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686"/>
        <w:gridCol w:w="1701"/>
        <w:gridCol w:w="1701"/>
      </w:tblGrid>
      <w:tr>
        <w:trPr>
          <w:cantSplit/>
        </w:trPr>
        <w:tc>
          <w:tcPr>
            <w:tcW w:w="3686" w:type="dxa"/>
            <w:vMerge w:val="restart"/>
            <w:tcBorders>
              <w:top w:val="single" w:sz="4" w:space="0" w:color="auto"/>
              <w:bottom w:val="single" w:sz="4" w:space="0" w:color="auto"/>
            </w:tcBorders>
          </w:tcPr>
          <w:p>
            <w:pPr>
              <w:pStyle w:val="yTable"/>
              <w:jc w:val="center"/>
              <w:rPr>
                <w:b/>
                <w:sz w:val="18"/>
              </w:rPr>
            </w:pPr>
            <w:r>
              <w:rPr>
                <w:b/>
                <w:sz w:val="18"/>
              </w:rPr>
              <w:t>Denomination</w:t>
            </w:r>
          </w:p>
        </w:tc>
        <w:tc>
          <w:tcPr>
            <w:tcW w:w="3402" w:type="dxa"/>
            <w:gridSpan w:val="2"/>
            <w:tcBorders>
              <w:top w:val="single" w:sz="4" w:space="0" w:color="auto"/>
              <w:bottom w:val="single" w:sz="4" w:space="0" w:color="auto"/>
            </w:tcBorders>
          </w:tcPr>
          <w:p>
            <w:pPr>
              <w:pStyle w:val="yTable"/>
              <w:jc w:val="center"/>
              <w:rPr>
                <w:b/>
                <w:sz w:val="18"/>
              </w:rPr>
            </w:pPr>
            <w:r>
              <w:rPr>
                <w:b/>
                <w:sz w:val="18"/>
              </w:rPr>
              <w:t>Error in Excess only</w:t>
            </w:r>
          </w:p>
        </w:tc>
      </w:tr>
      <w:tr>
        <w:trPr>
          <w:cantSplit/>
        </w:trPr>
        <w:tc>
          <w:tcPr>
            <w:tcW w:w="3686" w:type="dxa"/>
            <w:vMerge/>
            <w:tcBorders>
              <w:top w:val="nil"/>
              <w:bottom w:val="nil"/>
            </w:tcBorders>
          </w:tcPr>
          <w:p>
            <w:pPr>
              <w:pStyle w:val="yTable"/>
              <w:jc w:val="center"/>
              <w:rPr>
                <w:b/>
                <w:sz w:val="18"/>
              </w:rPr>
            </w:pPr>
          </w:p>
        </w:tc>
        <w:tc>
          <w:tcPr>
            <w:tcW w:w="1701" w:type="dxa"/>
            <w:tcBorders>
              <w:top w:val="nil"/>
              <w:bottom w:val="nil"/>
            </w:tcBorders>
          </w:tcPr>
          <w:p>
            <w:pPr>
              <w:pStyle w:val="yTable"/>
              <w:jc w:val="center"/>
              <w:rPr>
                <w:b/>
                <w:sz w:val="18"/>
              </w:rPr>
            </w:pPr>
            <w:r>
              <w:rPr>
                <w:b/>
                <w:sz w:val="18"/>
              </w:rPr>
              <w:t>Iron weights</w:t>
            </w:r>
          </w:p>
        </w:tc>
        <w:tc>
          <w:tcPr>
            <w:tcW w:w="1701" w:type="dxa"/>
            <w:tcBorders>
              <w:top w:val="nil"/>
              <w:bottom w:val="nil"/>
            </w:tcBorders>
          </w:tcPr>
          <w:p>
            <w:pPr>
              <w:pStyle w:val="yTable"/>
              <w:jc w:val="center"/>
              <w:rPr>
                <w:b/>
                <w:sz w:val="18"/>
              </w:rPr>
            </w:pPr>
            <w:r>
              <w:rPr>
                <w:b/>
                <w:sz w:val="18"/>
              </w:rPr>
              <w:t>Other than iron weights</w:t>
            </w:r>
          </w:p>
        </w:tc>
      </w:tr>
      <w:tr>
        <w:trPr>
          <w:cantSplit/>
        </w:trPr>
        <w:tc>
          <w:tcPr>
            <w:tcW w:w="3686" w:type="dxa"/>
            <w:tcBorders>
              <w:top w:val="single" w:sz="4" w:space="0" w:color="auto"/>
              <w:bottom w:val="nil"/>
            </w:tcBorders>
          </w:tcPr>
          <w:p>
            <w:pPr>
              <w:pStyle w:val="yTable"/>
              <w:rPr>
                <w:sz w:val="18"/>
              </w:rPr>
            </w:pPr>
          </w:p>
        </w:tc>
        <w:tc>
          <w:tcPr>
            <w:tcW w:w="1701" w:type="dxa"/>
            <w:tcBorders>
              <w:top w:val="single" w:sz="4" w:space="0" w:color="auto"/>
              <w:bottom w:val="nil"/>
            </w:tcBorders>
          </w:tcPr>
          <w:p>
            <w:pPr>
              <w:pStyle w:val="yTable"/>
              <w:jc w:val="center"/>
              <w:rPr>
                <w:sz w:val="18"/>
              </w:rPr>
            </w:pPr>
            <w:r>
              <w:rPr>
                <w:sz w:val="18"/>
              </w:rPr>
              <w:t>Grains</w:t>
            </w:r>
          </w:p>
        </w:tc>
        <w:tc>
          <w:tcPr>
            <w:tcW w:w="1701" w:type="dxa"/>
            <w:tcBorders>
              <w:top w:val="single" w:sz="4" w:space="0" w:color="auto"/>
              <w:bottom w:val="nil"/>
            </w:tcBorders>
          </w:tcPr>
          <w:p>
            <w:pPr>
              <w:pStyle w:val="yTable"/>
              <w:jc w:val="center"/>
              <w:rPr>
                <w:sz w:val="18"/>
              </w:rPr>
            </w:pPr>
            <w:r>
              <w:rPr>
                <w:sz w:val="18"/>
              </w:rPr>
              <w:t>Grains</w:t>
            </w:r>
          </w:p>
        </w:tc>
      </w:tr>
      <w:tr>
        <w:trPr>
          <w:cantSplit/>
        </w:trPr>
        <w:tc>
          <w:tcPr>
            <w:tcW w:w="3686" w:type="dxa"/>
            <w:tcBorders>
              <w:top w:val="nil"/>
            </w:tcBorders>
          </w:tcPr>
          <w:p>
            <w:pPr>
              <w:pStyle w:val="yTable"/>
              <w:spacing w:before="50"/>
              <w:rPr>
                <w:sz w:val="18"/>
              </w:rPr>
            </w:pPr>
            <w:r>
              <w:rPr>
                <w:sz w:val="18"/>
              </w:rPr>
              <w:t>56 lb. ....................................................................</w:t>
            </w:r>
          </w:p>
        </w:tc>
        <w:tc>
          <w:tcPr>
            <w:tcW w:w="1701" w:type="dxa"/>
            <w:tcBorders>
              <w:top w:val="nil"/>
            </w:tcBorders>
          </w:tcPr>
          <w:p>
            <w:pPr>
              <w:pStyle w:val="yTable"/>
              <w:spacing w:before="50"/>
              <w:jc w:val="center"/>
              <w:rPr>
                <w:sz w:val="18"/>
              </w:rPr>
            </w:pPr>
            <w:r>
              <w:rPr>
                <w:sz w:val="18"/>
              </w:rPr>
              <w:t>60</w:t>
            </w:r>
          </w:p>
        </w:tc>
        <w:tc>
          <w:tcPr>
            <w:tcW w:w="1701" w:type="dxa"/>
            <w:tcBorders>
              <w:top w:val="nil"/>
            </w:tcBorders>
          </w:tcPr>
          <w:p>
            <w:pPr>
              <w:pStyle w:val="yTable"/>
              <w:spacing w:before="50"/>
              <w:jc w:val="center"/>
              <w:rPr>
                <w:sz w:val="18"/>
              </w:rPr>
            </w:pPr>
            <w:r>
              <w:rPr>
                <w:sz w:val="18"/>
              </w:rPr>
              <w:t>30</w:t>
            </w:r>
          </w:p>
        </w:tc>
      </w:tr>
      <w:tr>
        <w:trPr>
          <w:cantSplit/>
        </w:trPr>
        <w:tc>
          <w:tcPr>
            <w:tcW w:w="3686" w:type="dxa"/>
          </w:tcPr>
          <w:p>
            <w:pPr>
              <w:pStyle w:val="yTable"/>
              <w:spacing w:before="50"/>
              <w:rPr>
                <w:sz w:val="18"/>
              </w:rPr>
            </w:pPr>
            <w:r>
              <w:rPr>
                <w:sz w:val="18"/>
              </w:rPr>
              <w:t>28 lb. ....................................................................</w:t>
            </w:r>
          </w:p>
        </w:tc>
        <w:tc>
          <w:tcPr>
            <w:tcW w:w="1701" w:type="dxa"/>
          </w:tcPr>
          <w:p>
            <w:pPr>
              <w:pStyle w:val="yTable"/>
              <w:spacing w:before="50"/>
              <w:jc w:val="center"/>
              <w:rPr>
                <w:sz w:val="18"/>
              </w:rPr>
            </w:pPr>
            <w:r>
              <w:rPr>
                <w:sz w:val="18"/>
              </w:rPr>
              <w:t>40</w:t>
            </w:r>
          </w:p>
        </w:tc>
        <w:tc>
          <w:tcPr>
            <w:tcW w:w="1701" w:type="dxa"/>
          </w:tcPr>
          <w:p>
            <w:pPr>
              <w:pStyle w:val="yTable"/>
              <w:spacing w:before="50"/>
              <w:jc w:val="center"/>
              <w:rPr>
                <w:sz w:val="18"/>
              </w:rPr>
            </w:pPr>
            <w:r>
              <w:rPr>
                <w:sz w:val="18"/>
              </w:rPr>
              <w:t>20</w:t>
            </w:r>
          </w:p>
        </w:tc>
      </w:tr>
      <w:tr>
        <w:trPr>
          <w:cantSplit/>
        </w:trPr>
        <w:tc>
          <w:tcPr>
            <w:tcW w:w="3686" w:type="dxa"/>
          </w:tcPr>
          <w:p>
            <w:pPr>
              <w:pStyle w:val="yTable"/>
              <w:spacing w:before="50"/>
              <w:rPr>
                <w:sz w:val="18"/>
              </w:rPr>
            </w:pPr>
            <w:r>
              <w:rPr>
                <w:sz w:val="18"/>
              </w:rPr>
              <w:t>14 lb. ....................................................................</w:t>
            </w:r>
          </w:p>
        </w:tc>
        <w:tc>
          <w:tcPr>
            <w:tcW w:w="1701" w:type="dxa"/>
          </w:tcPr>
          <w:p>
            <w:pPr>
              <w:pStyle w:val="yTable"/>
              <w:spacing w:before="50"/>
              <w:jc w:val="center"/>
              <w:rPr>
                <w:sz w:val="18"/>
              </w:rPr>
            </w:pPr>
            <w:r>
              <w:rPr>
                <w:sz w:val="18"/>
              </w:rPr>
              <w:t>24</w:t>
            </w:r>
          </w:p>
        </w:tc>
        <w:tc>
          <w:tcPr>
            <w:tcW w:w="1701" w:type="dxa"/>
          </w:tcPr>
          <w:p>
            <w:pPr>
              <w:pStyle w:val="yTable"/>
              <w:spacing w:before="50"/>
              <w:jc w:val="center"/>
              <w:rPr>
                <w:sz w:val="18"/>
              </w:rPr>
            </w:pPr>
            <w:r>
              <w:rPr>
                <w:sz w:val="18"/>
              </w:rPr>
              <w:t>12</w:t>
            </w:r>
          </w:p>
        </w:tc>
      </w:tr>
      <w:tr>
        <w:trPr>
          <w:cantSplit/>
        </w:trPr>
        <w:tc>
          <w:tcPr>
            <w:tcW w:w="3686" w:type="dxa"/>
          </w:tcPr>
          <w:p>
            <w:pPr>
              <w:pStyle w:val="yTable"/>
              <w:spacing w:before="50"/>
              <w:rPr>
                <w:sz w:val="18"/>
              </w:rPr>
            </w:pPr>
            <w:r>
              <w:rPr>
                <w:sz w:val="18"/>
              </w:rPr>
              <w:t>7 lb. ......................................................................</w:t>
            </w:r>
          </w:p>
        </w:tc>
        <w:tc>
          <w:tcPr>
            <w:tcW w:w="1701" w:type="dxa"/>
          </w:tcPr>
          <w:p>
            <w:pPr>
              <w:pStyle w:val="yTable"/>
              <w:spacing w:before="50"/>
              <w:jc w:val="center"/>
              <w:rPr>
                <w:sz w:val="18"/>
              </w:rPr>
            </w:pPr>
            <w:r>
              <w:rPr>
                <w:sz w:val="18"/>
              </w:rPr>
              <w:t>16</w:t>
            </w:r>
          </w:p>
        </w:tc>
        <w:tc>
          <w:tcPr>
            <w:tcW w:w="1701" w:type="dxa"/>
          </w:tcPr>
          <w:p>
            <w:pPr>
              <w:pStyle w:val="yTable"/>
              <w:spacing w:before="50"/>
              <w:jc w:val="center"/>
              <w:rPr>
                <w:sz w:val="18"/>
              </w:rPr>
            </w:pPr>
            <w:r>
              <w:rPr>
                <w:sz w:val="18"/>
              </w:rPr>
              <w:t>8</w:t>
            </w:r>
          </w:p>
        </w:tc>
      </w:tr>
      <w:tr>
        <w:trPr>
          <w:cantSplit/>
        </w:trPr>
        <w:tc>
          <w:tcPr>
            <w:tcW w:w="3686" w:type="dxa"/>
          </w:tcPr>
          <w:p>
            <w:pPr>
              <w:pStyle w:val="yTable"/>
              <w:spacing w:before="50"/>
              <w:rPr>
                <w:sz w:val="18"/>
              </w:rPr>
            </w:pPr>
            <w:r>
              <w:rPr>
                <w:sz w:val="18"/>
              </w:rPr>
              <w:t>4 lb. ......................................................................</w:t>
            </w:r>
          </w:p>
        </w:tc>
        <w:tc>
          <w:tcPr>
            <w:tcW w:w="1701" w:type="dxa"/>
          </w:tcPr>
          <w:p>
            <w:pPr>
              <w:pStyle w:val="yTable"/>
              <w:spacing w:before="50"/>
              <w:jc w:val="center"/>
              <w:rPr>
                <w:sz w:val="18"/>
              </w:rPr>
            </w:pPr>
            <w:r>
              <w:rPr>
                <w:sz w:val="18"/>
              </w:rPr>
              <w:t>12</w:t>
            </w:r>
          </w:p>
        </w:tc>
        <w:tc>
          <w:tcPr>
            <w:tcW w:w="1701" w:type="dxa"/>
          </w:tcPr>
          <w:p>
            <w:pPr>
              <w:pStyle w:val="yTable"/>
              <w:spacing w:before="50"/>
              <w:jc w:val="center"/>
              <w:rPr>
                <w:sz w:val="18"/>
              </w:rPr>
            </w:pPr>
            <w:r>
              <w:rPr>
                <w:sz w:val="18"/>
              </w:rPr>
              <w:t>6</w:t>
            </w:r>
          </w:p>
        </w:tc>
      </w:tr>
      <w:tr>
        <w:trPr>
          <w:cantSplit/>
        </w:trPr>
        <w:tc>
          <w:tcPr>
            <w:tcW w:w="3686" w:type="dxa"/>
          </w:tcPr>
          <w:p>
            <w:pPr>
              <w:pStyle w:val="yTable"/>
              <w:spacing w:before="50"/>
              <w:rPr>
                <w:sz w:val="18"/>
              </w:rPr>
            </w:pPr>
            <w:r>
              <w:rPr>
                <w:sz w:val="18"/>
              </w:rPr>
              <w:t>2 lb. ......................................................................</w:t>
            </w:r>
          </w:p>
        </w:tc>
        <w:tc>
          <w:tcPr>
            <w:tcW w:w="1701" w:type="dxa"/>
          </w:tcPr>
          <w:p>
            <w:pPr>
              <w:pStyle w:val="yTable"/>
              <w:spacing w:before="50"/>
              <w:jc w:val="center"/>
              <w:rPr>
                <w:sz w:val="18"/>
              </w:rPr>
            </w:pPr>
            <w:r>
              <w:rPr>
                <w:sz w:val="18"/>
              </w:rPr>
              <w:t>8</w:t>
            </w:r>
          </w:p>
        </w:tc>
        <w:tc>
          <w:tcPr>
            <w:tcW w:w="1701" w:type="dxa"/>
          </w:tcPr>
          <w:p>
            <w:pPr>
              <w:pStyle w:val="yTable"/>
              <w:spacing w:before="50"/>
              <w:jc w:val="center"/>
              <w:rPr>
                <w:sz w:val="18"/>
              </w:rPr>
            </w:pPr>
            <w:r>
              <w:rPr>
                <w:sz w:val="18"/>
              </w:rPr>
              <w:t>4</w:t>
            </w:r>
          </w:p>
        </w:tc>
      </w:tr>
      <w:tr>
        <w:trPr>
          <w:cantSplit/>
        </w:trPr>
        <w:tc>
          <w:tcPr>
            <w:tcW w:w="3686" w:type="dxa"/>
          </w:tcPr>
          <w:p>
            <w:pPr>
              <w:pStyle w:val="yTable"/>
              <w:spacing w:before="50"/>
              <w:rPr>
                <w:sz w:val="18"/>
              </w:rPr>
            </w:pPr>
            <w:r>
              <w:rPr>
                <w:sz w:val="18"/>
              </w:rPr>
              <w:t>1 lb. ......................................................................</w:t>
            </w:r>
          </w:p>
        </w:tc>
        <w:tc>
          <w:tcPr>
            <w:tcW w:w="1701" w:type="dxa"/>
          </w:tcPr>
          <w:p>
            <w:pPr>
              <w:pStyle w:val="yTable"/>
              <w:spacing w:before="50"/>
              <w:jc w:val="center"/>
              <w:rPr>
                <w:sz w:val="18"/>
              </w:rPr>
            </w:pPr>
            <w:r>
              <w:rPr>
                <w:sz w:val="18"/>
              </w:rPr>
              <w:t>4</w:t>
            </w:r>
          </w:p>
        </w:tc>
        <w:tc>
          <w:tcPr>
            <w:tcW w:w="1701" w:type="dxa"/>
          </w:tcPr>
          <w:p>
            <w:pPr>
              <w:pStyle w:val="yTable"/>
              <w:spacing w:before="50"/>
              <w:jc w:val="center"/>
              <w:rPr>
                <w:sz w:val="18"/>
              </w:rPr>
            </w:pPr>
            <w:r>
              <w:rPr>
                <w:sz w:val="18"/>
              </w:rPr>
              <w:t>3</w:t>
            </w:r>
          </w:p>
        </w:tc>
      </w:tr>
      <w:tr>
        <w:trPr>
          <w:cantSplit/>
        </w:trPr>
        <w:tc>
          <w:tcPr>
            <w:tcW w:w="3686" w:type="dxa"/>
          </w:tcPr>
          <w:p>
            <w:pPr>
              <w:pStyle w:val="yTable"/>
              <w:spacing w:before="50"/>
              <w:rPr>
                <w:sz w:val="18"/>
              </w:rPr>
            </w:pPr>
            <w:r>
              <w:rPr>
                <w:sz w:val="18"/>
              </w:rPr>
              <w:t>8 and 4 oz. ...........................................................</w:t>
            </w:r>
          </w:p>
        </w:tc>
        <w:tc>
          <w:tcPr>
            <w:tcW w:w="1701" w:type="dxa"/>
          </w:tcPr>
          <w:p>
            <w:pPr>
              <w:pStyle w:val="yTable"/>
              <w:spacing w:before="50"/>
              <w:jc w:val="center"/>
              <w:rPr>
                <w:sz w:val="18"/>
              </w:rPr>
            </w:pPr>
            <w:r>
              <w:rPr>
                <w:sz w:val="18"/>
              </w:rPr>
              <w:t>4</w:t>
            </w:r>
          </w:p>
        </w:tc>
        <w:tc>
          <w:tcPr>
            <w:tcW w:w="1701" w:type="dxa"/>
          </w:tcPr>
          <w:p>
            <w:pPr>
              <w:pStyle w:val="yTable"/>
              <w:spacing w:before="50"/>
              <w:jc w:val="center"/>
              <w:rPr>
                <w:sz w:val="18"/>
              </w:rPr>
            </w:pPr>
            <w:r>
              <w:rPr>
                <w:sz w:val="18"/>
              </w:rPr>
              <w:t>2</w:t>
            </w:r>
          </w:p>
        </w:tc>
      </w:tr>
      <w:tr>
        <w:trPr>
          <w:cantSplit/>
        </w:trPr>
        <w:tc>
          <w:tcPr>
            <w:tcW w:w="3686" w:type="dxa"/>
          </w:tcPr>
          <w:p>
            <w:pPr>
              <w:pStyle w:val="yTable"/>
              <w:spacing w:before="50"/>
              <w:rPr>
                <w:sz w:val="18"/>
              </w:rPr>
            </w:pPr>
            <w:r>
              <w:rPr>
                <w:sz w:val="18"/>
              </w:rPr>
              <w:t>2 and 1 oz. ...........................................................</w:t>
            </w:r>
          </w:p>
        </w:tc>
        <w:tc>
          <w:tcPr>
            <w:tcW w:w="1701" w:type="dxa"/>
          </w:tcPr>
          <w:p>
            <w:pPr>
              <w:pStyle w:val="yTable"/>
              <w:spacing w:before="50"/>
              <w:jc w:val="center"/>
              <w:rPr>
                <w:sz w:val="18"/>
              </w:rPr>
            </w:pPr>
            <w:r>
              <w:rPr>
                <w:sz w:val="18"/>
              </w:rPr>
              <w:t>...</w:t>
            </w:r>
          </w:p>
        </w:tc>
        <w:tc>
          <w:tcPr>
            <w:tcW w:w="1701" w:type="dxa"/>
          </w:tcPr>
          <w:p>
            <w:pPr>
              <w:pStyle w:val="yTable"/>
              <w:spacing w:before="50"/>
              <w:jc w:val="center"/>
              <w:rPr>
                <w:sz w:val="18"/>
              </w:rPr>
            </w:pPr>
            <w:r>
              <w:rPr>
                <w:sz w:val="18"/>
              </w:rPr>
              <w:t>2</w:t>
            </w:r>
          </w:p>
        </w:tc>
      </w:tr>
      <w:tr>
        <w:trPr>
          <w:cantSplit/>
        </w:trPr>
        <w:tc>
          <w:tcPr>
            <w:tcW w:w="3686" w:type="dxa"/>
          </w:tcPr>
          <w:p>
            <w:pPr>
              <w:pStyle w:val="yTable"/>
              <w:spacing w:before="50"/>
              <w:rPr>
                <w:sz w:val="18"/>
              </w:rPr>
            </w:pPr>
            <w:r>
              <w:rPr>
                <w:sz w:val="18"/>
              </w:rPr>
              <w:t>8 drams to ½ dram ...............................................</w:t>
            </w:r>
          </w:p>
        </w:tc>
        <w:tc>
          <w:tcPr>
            <w:tcW w:w="1701" w:type="dxa"/>
          </w:tcPr>
          <w:p>
            <w:pPr>
              <w:pStyle w:val="yTable"/>
              <w:spacing w:before="50"/>
              <w:jc w:val="center"/>
              <w:rPr>
                <w:sz w:val="18"/>
              </w:rPr>
            </w:pPr>
            <w:r>
              <w:rPr>
                <w:sz w:val="18"/>
              </w:rPr>
              <w:t>...</w:t>
            </w:r>
          </w:p>
        </w:tc>
        <w:tc>
          <w:tcPr>
            <w:tcW w:w="1701" w:type="dxa"/>
          </w:tcPr>
          <w:p>
            <w:pPr>
              <w:pStyle w:val="yTable"/>
              <w:spacing w:before="50"/>
              <w:jc w:val="center"/>
              <w:rPr>
                <w:sz w:val="18"/>
              </w:rPr>
            </w:pPr>
            <w:r>
              <w:rPr>
                <w:sz w:val="18"/>
              </w:rPr>
              <w:t>1</w:t>
            </w:r>
          </w:p>
        </w:tc>
      </w:tr>
    </w:tbl>
    <w:p>
      <w:pPr>
        <w:pStyle w:val="yMiscellaneousHeading"/>
        <w:spacing w:after="80"/>
        <w:rPr>
          <w:i/>
          <w:snapToGrid w:val="0"/>
        </w:rPr>
      </w:pPr>
      <w:r>
        <w:rPr>
          <w:i/>
          <w:snapToGrid w:val="0"/>
        </w:rPr>
        <w:t xml:space="preserve">Decimal Grain </w:t>
      </w:r>
    </w:p>
    <w:tbl>
      <w:tblPr>
        <w:tblW w:w="0" w:type="auto"/>
        <w:tblInd w:w="113" w:type="dxa"/>
        <w:tblLayout w:type="fixed"/>
        <w:tblCellMar>
          <w:left w:w="85" w:type="dxa"/>
          <w:right w:w="85" w:type="dxa"/>
        </w:tblCellMar>
        <w:tblLook w:val="0000" w:firstRow="0" w:lastRow="0" w:firstColumn="0" w:lastColumn="0" w:noHBand="0" w:noVBand="0"/>
      </w:tblPr>
      <w:tblGrid>
        <w:gridCol w:w="5217"/>
        <w:gridCol w:w="1871"/>
      </w:tblGrid>
      <w:tr>
        <w:trPr>
          <w:tblHeader/>
        </w:trPr>
        <w:tc>
          <w:tcPr>
            <w:tcW w:w="5217" w:type="dxa"/>
            <w:tcBorders>
              <w:top w:val="single" w:sz="4" w:space="0" w:color="auto"/>
              <w:right w:val="single" w:sz="4" w:space="0" w:color="auto"/>
            </w:tcBorders>
          </w:tcPr>
          <w:p>
            <w:pPr>
              <w:pStyle w:val="yTable"/>
              <w:jc w:val="center"/>
              <w:rPr>
                <w:b/>
                <w:sz w:val="18"/>
              </w:rPr>
            </w:pPr>
            <w:r>
              <w:rPr>
                <w:b/>
                <w:sz w:val="18"/>
              </w:rPr>
              <w:t>Denomination</w:t>
            </w:r>
          </w:p>
        </w:tc>
        <w:tc>
          <w:tcPr>
            <w:tcW w:w="1871" w:type="dxa"/>
            <w:tcBorders>
              <w:top w:val="single" w:sz="4" w:space="0" w:color="auto"/>
              <w:left w:val="single" w:sz="4" w:space="0" w:color="auto"/>
            </w:tcBorders>
          </w:tcPr>
          <w:p>
            <w:pPr>
              <w:pStyle w:val="yTable"/>
              <w:jc w:val="center"/>
              <w:rPr>
                <w:b/>
                <w:sz w:val="18"/>
              </w:rPr>
            </w:pPr>
            <w:r>
              <w:rPr>
                <w:b/>
                <w:sz w:val="18"/>
              </w:rPr>
              <w:t>Error in Excess only</w:t>
            </w:r>
          </w:p>
        </w:tc>
      </w:tr>
      <w:tr>
        <w:tc>
          <w:tcPr>
            <w:tcW w:w="5217" w:type="dxa"/>
            <w:tcBorders>
              <w:top w:val="single" w:sz="4" w:space="0" w:color="auto"/>
              <w:right w:val="single" w:sz="4" w:space="0" w:color="auto"/>
            </w:tcBorders>
          </w:tcPr>
          <w:p>
            <w:pPr>
              <w:pStyle w:val="yTable"/>
              <w:rPr>
                <w:sz w:val="18"/>
              </w:rPr>
            </w:pPr>
          </w:p>
        </w:tc>
        <w:tc>
          <w:tcPr>
            <w:tcW w:w="1871" w:type="dxa"/>
            <w:tcBorders>
              <w:top w:val="single" w:sz="4" w:space="0" w:color="auto"/>
              <w:left w:val="single" w:sz="4" w:space="0" w:color="auto"/>
            </w:tcBorders>
          </w:tcPr>
          <w:p>
            <w:pPr>
              <w:pStyle w:val="yTable"/>
              <w:jc w:val="center"/>
              <w:rPr>
                <w:sz w:val="18"/>
              </w:rPr>
            </w:pPr>
            <w:r>
              <w:rPr>
                <w:sz w:val="18"/>
              </w:rPr>
              <w:t>Grain</w:t>
            </w:r>
          </w:p>
        </w:tc>
      </w:tr>
      <w:tr>
        <w:tc>
          <w:tcPr>
            <w:tcW w:w="5217" w:type="dxa"/>
            <w:tcBorders>
              <w:right w:val="single" w:sz="4" w:space="0" w:color="auto"/>
            </w:tcBorders>
          </w:tcPr>
          <w:p>
            <w:pPr>
              <w:pStyle w:val="yTable"/>
              <w:spacing w:before="50"/>
              <w:rPr>
                <w:sz w:val="18"/>
              </w:rPr>
            </w:pPr>
            <w:r>
              <w:rPr>
                <w:sz w:val="18"/>
              </w:rPr>
              <w:t>4,000 and 2,000 grains ..........................................................................</w:t>
            </w:r>
          </w:p>
        </w:tc>
        <w:tc>
          <w:tcPr>
            <w:tcW w:w="1871" w:type="dxa"/>
            <w:tcBorders>
              <w:left w:val="single" w:sz="4" w:space="0" w:color="auto"/>
            </w:tcBorders>
          </w:tcPr>
          <w:p>
            <w:pPr>
              <w:pStyle w:val="yTable"/>
              <w:spacing w:before="50"/>
              <w:jc w:val="center"/>
              <w:rPr>
                <w:sz w:val="18"/>
              </w:rPr>
            </w:pPr>
            <w:r>
              <w:rPr>
                <w:sz w:val="18"/>
              </w:rPr>
              <w:t>0.5</w:t>
            </w:r>
          </w:p>
        </w:tc>
      </w:tr>
      <w:tr>
        <w:tc>
          <w:tcPr>
            <w:tcW w:w="5217" w:type="dxa"/>
            <w:tcBorders>
              <w:right w:val="single" w:sz="4" w:space="0" w:color="auto"/>
            </w:tcBorders>
          </w:tcPr>
          <w:p>
            <w:pPr>
              <w:pStyle w:val="yTable"/>
              <w:spacing w:before="50"/>
              <w:rPr>
                <w:sz w:val="18"/>
              </w:rPr>
            </w:pPr>
            <w:r>
              <w:rPr>
                <w:sz w:val="18"/>
              </w:rPr>
              <w:t>1,000 and 500 grains .............................................................................</w:t>
            </w:r>
          </w:p>
        </w:tc>
        <w:tc>
          <w:tcPr>
            <w:tcW w:w="1871" w:type="dxa"/>
            <w:tcBorders>
              <w:left w:val="single" w:sz="4" w:space="0" w:color="auto"/>
            </w:tcBorders>
          </w:tcPr>
          <w:p>
            <w:pPr>
              <w:pStyle w:val="yTable"/>
              <w:spacing w:before="50"/>
              <w:jc w:val="center"/>
              <w:rPr>
                <w:sz w:val="18"/>
              </w:rPr>
            </w:pPr>
            <w:r>
              <w:rPr>
                <w:sz w:val="18"/>
              </w:rPr>
              <w:t>0.2</w:t>
            </w:r>
          </w:p>
        </w:tc>
      </w:tr>
      <w:tr>
        <w:tc>
          <w:tcPr>
            <w:tcW w:w="5217" w:type="dxa"/>
            <w:tcBorders>
              <w:right w:val="single" w:sz="4" w:space="0" w:color="auto"/>
            </w:tcBorders>
          </w:tcPr>
          <w:p>
            <w:pPr>
              <w:pStyle w:val="yTable"/>
              <w:spacing w:before="50"/>
              <w:rPr>
                <w:sz w:val="18"/>
              </w:rPr>
            </w:pPr>
            <w:r>
              <w:rPr>
                <w:sz w:val="18"/>
              </w:rPr>
              <w:t>300 to 100 grains inclusive ...................................................................</w:t>
            </w:r>
          </w:p>
        </w:tc>
        <w:tc>
          <w:tcPr>
            <w:tcW w:w="1871" w:type="dxa"/>
            <w:tcBorders>
              <w:left w:val="single" w:sz="4" w:space="0" w:color="auto"/>
            </w:tcBorders>
          </w:tcPr>
          <w:p>
            <w:pPr>
              <w:pStyle w:val="yTable"/>
              <w:spacing w:before="50"/>
              <w:jc w:val="center"/>
              <w:rPr>
                <w:sz w:val="18"/>
              </w:rPr>
            </w:pPr>
            <w:r>
              <w:rPr>
                <w:sz w:val="18"/>
              </w:rPr>
              <w:t>0.1</w:t>
            </w:r>
          </w:p>
        </w:tc>
      </w:tr>
      <w:tr>
        <w:tc>
          <w:tcPr>
            <w:tcW w:w="5217" w:type="dxa"/>
            <w:tcBorders>
              <w:right w:val="single" w:sz="4" w:space="0" w:color="auto"/>
            </w:tcBorders>
          </w:tcPr>
          <w:p>
            <w:pPr>
              <w:pStyle w:val="yTable"/>
              <w:spacing w:before="50"/>
              <w:rPr>
                <w:sz w:val="18"/>
              </w:rPr>
            </w:pPr>
            <w:r>
              <w:rPr>
                <w:sz w:val="18"/>
              </w:rPr>
              <w:t>50 to 10 grains inclusive .......................................................................</w:t>
            </w:r>
          </w:p>
        </w:tc>
        <w:tc>
          <w:tcPr>
            <w:tcW w:w="1871" w:type="dxa"/>
            <w:tcBorders>
              <w:left w:val="single" w:sz="4" w:space="0" w:color="auto"/>
            </w:tcBorders>
          </w:tcPr>
          <w:p>
            <w:pPr>
              <w:pStyle w:val="yTable"/>
              <w:spacing w:before="50"/>
              <w:jc w:val="center"/>
              <w:rPr>
                <w:sz w:val="18"/>
              </w:rPr>
            </w:pPr>
            <w:r>
              <w:rPr>
                <w:sz w:val="18"/>
              </w:rPr>
              <w:t>0.05</w:t>
            </w:r>
          </w:p>
        </w:tc>
      </w:tr>
      <w:tr>
        <w:tc>
          <w:tcPr>
            <w:tcW w:w="5217" w:type="dxa"/>
            <w:tcBorders>
              <w:right w:val="single" w:sz="4" w:space="0" w:color="auto"/>
            </w:tcBorders>
          </w:tcPr>
          <w:p>
            <w:pPr>
              <w:pStyle w:val="yTable"/>
              <w:spacing w:before="50"/>
              <w:rPr>
                <w:sz w:val="18"/>
              </w:rPr>
            </w:pPr>
            <w:r>
              <w:rPr>
                <w:sz w:val="18"/>
              </w:rPr>
              <w:t>5 and 3 grains ........................................................................................</w:t>
            </w:r>
          </w:p>
        </w:tc>
        <w:tc>
          <w:tcPr>
            <w:tcW w:w="1871" w:type="dxa"/>
            <w:tcBorders>
              <w:left w:val="single" w:sz="4" w:space="0" w:color="auto"/>
            </w:tcBorders>
          </w:tcPr>
          <w:p>
            <w:pPr>
              <w:pStyle w:val="yTable"/>
              <w:spacing w:before="50"/>
              <w:jc w:val="center"/>
              <w:rPr>
                <w:sz w:val="18"/>
              </w:rPr>
            </w:pPr>
            <w:r>
              <w:rPr>
                <w:sz w:val="18"/>
              </w:rPr>
              <w:t>0.02</w:t>
            </w:r>
          </w:p>
        </w:tc>
      </w:tr>
      <w:tr>
        <w:tc>
          <w:tcPr>
            <w:tcW w:w="5217" w:type="dxa"/>
            <w:tcBorders>
              <w:right w:val="single" w:sz="4" w:space="0" w:color="auto"/>
            </w:tcBorders>
          </w:tcPr>
          <w:p>
            <w:pPr>
              <w:pStyle w:val="yTable"/>
              <w:spacing w:before="50"/>
              <w:rPr>
                <w:sz w:val="18"/>
              </w:rPr>
            </w:pPr>
            <w:r>
              <w:rPr>
                <w:sz w:val="18"/>
              </w:rPr>
              <w:t>2 to .5 grains inclusive ..........................................................................</w:t>
            </w:r>
          </w:p>
        </w:tc>
        <w:tc>
          <w:tcPr>
            <w:tcW w:w="1871" w:type="dxa"/>
            <w:tcBorders>
              <w:left w:val="single" w:sz="4" w:space="0" w:color="auto"/>
            </w:tcBorders>
          </w:tcPr>
          <w:p>
            <w:pPr>
              <w:pStyle w:val="yTable"/>
              <w:spacing w:before="50"/>
              <w:jc w:val="center"/>
              <w:rPr>
                <w:sz w:val="18"/>
              </w:rPr>
            </w:pPr>
            <w:r>
              <w:rPr>
                <w:sz w:val="18"/>
              </w:rPr>
              <w:t>0.01</w:t>
            </w:r>
          </w:p>
        </w:tc>
      </w:tr>
      <w:tr>
        <w:tc>
          <w:tcPr>
            <w:tcW w:w="5217" w:type="dxa"/>
            <w:tcBorders>
              <w:right w:val="single" w:sz="4" w:space="0" w:color="auto"/>
            </w:tcBorders>
          </w:tcPr>
          <w:p>
            <w:pPr>
              <w:pStyle w:val="yTable"/>
              <w:spacing w:before="50"/>
              <w:rPr>
                <w:sz w:val="18"/>
              </w:rPr>
            </w:pPr>
            <w:r>
              <w:rPr>
                <w:sz w:val="18"/>
              </w:rPr>
              <w:t>.3 grain ..................................................................................................</w:t>
            </w:r>
          </w:p>
        </w:tc>
        <w:tc>
          <w:tcPr>
            <w:tcW w:w="1871" w:type="dxa"/>
            <w:tcBorders>
              <w:left w:val="single" w:sz="4" w:space="0" w:color="auto"/>
            </w:tcBorders>
          </w:tcPr>
          <w:p>
            <w:pPr>
              <w:pStyle w:val="yTable"/>
              <w:spacing w:before="50"/>
              <w:jc w:val="center"/>
              <w:rPr>
                <w:sz w:val="18"/>
              </w:rPr>
            </w:pPr>
            <w:r>
              <w:rPr>
                <w:sz w:val="18"/>
              </w:rPr>
              <w:t>0.005</w:t>
            </w:r>
          </w:p>
        </w:tc>
      </w:tr>
      <w:tr>
        <w:tc>
          <w:tcPr>
            <w:tcW w:w="5217" w:type="dxa"/>
            <w:tcBorders>
              <w:right w:val="single" w:sz="4" w:space="0" w:color="auto"/>
            </w:tcBorders>
          </w:tcPr>
          <w:p>
            <w:pPr>
              <w:pStyle w:val="yTable"/>
              <w:spacing w:before="50"/>
              <w:rPr>
                <w:sz w:val="18"/>
              </w:rPr>
            </w:pPr>
            <w:r>
              <w:rPr>
                <w:sz w:val="18"/>
              </w:rPr>
              <w:t>.2 and .1 grain ........................................................................................</w:t>
            </w:r>
          </w:p>
        </w:tc>
        <w:tc>
          <w:tcPr>
            <w:tcW w:w="1871" w:type="dxa"/>
            <w:tcBorders>
              <w:left w:val="single" w:sz="4" w:space="0" w:color="auto"/>
            </w:tcBorders>
          </w:tcPr>
          <w:p>
            <w:pPr>
              <w:pStyle w:val="yTable"/>
              <w:spacing w:before="50"/>
              <w:jc w:val="center"/>
              <w:rPr>
                <w:sz w:val="18"/>
              </w:rPr>
            </w:pPr>
            <w:r>
              <w:rPr>
                <w:sz w:val="18"/>
              </w:rPr>
              <w:t>0.002</w:t>
            </w:r>
          </w:p>
        </w:tc>
      </w:tr>
      <w:tr>
        <w:tc>
          <w:tcPr>
            <w:tcW w:w="5217" w:type="dxa"/>
            <w:tcBorders>
              <w:bottom w:val="single" w:sz="4" w:space="0" w:color="auto"/>
              <w:right w:val="single" w:sz="4" w:space="0" w:color="auto"/>
            </w:tcBorders>
          </w:tcPr>
          <w:p>
            <w:pPr>
              <w:pStyle w:val="yTable"/>
              <w:spacing w:before="50"/>
              <w:rPr>
                <w:sz w:val="18"/>
              </w:rPr>
            </w:pPr>
            <w:r>
              <w:rPr>
                <w:sz w:val="18"/>
              </w:rPr>
              <w:t>.05 to .01 grain ......................................................................................</w:t>
            </w:r>
          </w:p>
        </w:tc>
        <w:tc>
          <w:tcPr>
            <w:tcW w:w="1871" w:type="dxa"/>
            <w:tcBorders>
              <w:left w:val="single" w:sz="4" w:space="0" w:color="auto"/>
              <w:bottom w:val="single" w:sz="4" w:space="0" w:color="auto"/>
            </w:tcBorders>
          </w:tcPr>
          <w:p>
            <w:pPr>
              <w:pStyle w:val="yTable"/>
              <w:spacing w:before="50"/>
              <w:jc w:val="center"/>
              <w:rPr>
                <w:sz w:val="18"/>
              </w:rPr>
            </w:pPr>
            <w:r>
              <w:rPr>
                <w:sz w:val="18"/>
              </w:rPr>
              <w:t>0.001</w:t>
            </w:r>
          </w:p>
        </w:tc>
      </w:tr>
    </w:tbl>
    <w:p>
      <w:pPr>
        <w:pStyle w:val="yMiscellaneousHeading"/>
        <w:spacing w:after="80"/>
        <w:rPr>
          <w:i/>
          <w:snapToGrid w:val="0"/>
        </w:rPr>
      </w:pPr>
      <w:r>
        <w:rPr>
          <w:i/>
          <w:snapToGrid w:val="0"/>
        </w:rPr>
        <w:t xml:space="preserve">Troy </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17"/>
        <w:gridCol w:w="1871"/>
      </w:tblGrid>
      <w:tr>
        <w:trPr>
          <w:tblHeader/>
        </w:trPr>
        <w:tc>
          <w:tcPr>
            <w:tcW w:w="5217" w:type="dxa"/>
            <w:tcBorders>
              <w:top w:val="single" w:sz="4" w:space="0" w:color="auto"/>
              <w:bottom w:val="single" w:sz="4" w:space="0" w:color="auto"/>
            </w:tcBorders>
          </w:tcPr>
          <w:p>
            <w:pPr>
              <w:pStyle w:val="yTable"/>
              <w:jc w:val="center"/>
              <w:rPr>
                <w:b/>
                <w:sz w:val="18"/>
              </w:rPr>
            </w:pPr>
            <w:r>
              <w:rPr>
                <w:b/>
                <w:sz w:val="18"/>
              </w:rPr>
              <w:t>Denomination</w:t>
            </w:r>
          </w:p>
        </w:tc>
        <w:tc>
          <w:tcPr>
            <w:tcW w:w="1871" w:type="dxa"/>
            <w:tcBorders>
              <w:top w:val="single" w:sz="4" w:space="0" w:color="auto"/>
              <w:bottom w:val="single" w:sz="4" w:space="0" w:color="auto"/>
            </w:tcBorders>
          </w:tcPr>
          <w:p>
            <w:pPr>
              <w:pStyle w:val="yTable"/>
              <w:jc w:val="center"/>
              <w:rPr>
                <w:b/>
                <w:sz w:val="18"/>
              </w:rPr>
            </w:pPr>
            <w:r>
              <w:rPr>
                <w:b/>
                <w:sz w:val="18"/>
              </w:rPr>
              <w:t>Error in Excess only</w:t>
            </w:r>
          </w:p>
        </w:tc>
      </w:tr>
      <w:tr>
        <w:trPr>
          <w:tblHeader/>
        </w:trPr>
        <w:tc>
          <w:tcPr>
            <w:tcW w:w="5217" w:type="dxa"/>
            <w:tcBorders>
              <w:top w:val="nil"/>
            </w:tcBorders>
          </w:tcPr>
          <w:p>
            <w:pPr>
              <w:pStyle w:val="yTable"/>
              <w:rPr>
                <w:sz w:val="18"/>
              </w:rPr>
            </w:pPr>
          </w:p>
        </w:tc>
        <w:tc>
          <w:tcPr>
            <w:tcW w:w="1871" w:type="dxa"/>
            <w:tcBorders>
              <w:top w:val="nil"/>
            </w:tcBorders>
          </w:tcPr>
          <w:p>
            <w:pPr>
              <w:pStyle w:val="yTable"/>
              <w:jc w:val="center"/>
              <w:rPr>
                <w:sz w:val="18"/>
              </w:rPr>
            </w:pPr>
            <w:r>
              <w:rPr>
                <w:sz w:val="18"/>
              </w:rPr>
              <w:t>Grains</w:t>
            </w:r>
          </w:p>
        </w:tc>
      </w:tr>
      <w:tr>
        <w:tc>
          <w:tcPr>
            <w:tcW w:w="5217" w:type="dxa"/>
          </w:tcPr>
          <w:p>
            <w:pPr>
              <w:pStyle w:val="yTable"/>
              <w:spacing w:before="50"/>
              <w:rPr>
                <w:sz w:val="18"/>
              </w:rPr>
            </w:pPr>
            <w:r>
              <w:rPr>
                <w:sz w:val="18"/>
              </w:rPr>
              <w:t>500 and 300 oz. .....................................................................................</w:t>
            </w:r>
          </w:p>
        </w:tc>
        <w:tc>
          <w:tcPr>
            <w:tcW w:w="1871" w:type="dxa"/>
          </w:tcPr>
          <w:p>
            <w:pPr>
              <w:pStyle w:val="yTable"/>
              <w:spacing w:before="50"/>
              <w:jc w:val="center"/>
              <w:rPr>
                <w:sz w:val="18"/>
              </w:rPr>
            </w:pPr>
            <w:r>
              <w:rPr>
                <w:sz w:val="18"/>
              </w:rPr>
              <w:t>5</w:t>
            </w:r>
          </w:p>
        </w:tc>
      </w:tr>
      <w:tr>
        <w:tc>
          <w:tcPr>
            <w:tcW w:w="5217" w:type="dxa"/>
          </w:tcPr>
          <w:p>
            <w:pPr>
              <w:pStyle w:val="yTable"/>
              <w:spacing w:before="50"/>
              <w:rPr>
                <w:sz w:val="18"/>
              </w:rPr>
            </w:pPr>
            <w:r>
              <w:rPr>
                <w:sz w:val="18"/>
              </w:rPr>
              <w:t>200 and 100 oz. .....................................................................................</w:t>
            </w:r>
          </w:p>
        </w:tc>
        <w:tc>
          <w:tcPr>
            <w:tcW w:w="1871" w:type="dxa"/>
          </w:tcPr>
          <w:p>
            <w:pPr>
              <w:pStyle w:val="yTable"/>
              <w:spacing w:before="50"/>
              <w:jc w:val="center"/>
              <w:rPr>
                <w:sz w:val="18"/>
              </w:rPr>
            </w:pPr>
            <w:r>
              <w:rPr>
                <w:sz w:val="18"/>
              </w:rPr>
              <w:t>4</w:t>
            </w:r>
          </w:p>
        </w:tc>
      </w:tr>
      <w:tr>
        <w:tc>
          <w:tcPr>
            <w:tcW w:w="5217" w:type="dxa"/>
          </w:tcPr>
          <w:p>
            <w:pPr>
              <w:pStyle w:val="yTable"/>
              <w:rPr>
                <w:sz w:val="18"/>
              </w:rPr>
            </w:pPr>
            <w:r>
              <w:rPr>
                <w:sz w:val="18"/>
              </w:rPr>
              <w:t>50 oz ......................................................................................................</w:t>
            </w:r>
          </w:p>
        </w:tc>
        <w:tc>
          <w:tcPr>
            <w:tcW w:w="1871" w:type="dxa"/>
          </w:tcPr>
          <w:p>
            <w:pPr>
              <w:pStyle w:val="yTable"/>
              <w:jc w:val="center"/>
              <w:rPr>
                <w:sz w:val="18"/>
              </w:rPr>
            </w:pPr>
            <w:r>
              <w:rPr>
                <w:sz w:val="18"/>
              </w:rPr>
              <w:t>2</w:t>
            </w:r>
          </w:p>
        </w:tc>
      </w:tr>
      <w:tr>
        <w:tc>
          <w:tcPr>
            <w:tcW w:w="5217" w:type="dxa"/>
          </w:tcPr>
          <w:p>
            <w:pPr>
              <w:pStyle w:val="yTable"/>
              <w:rPr>
                <w:sz w:val="18"/>
              </w:rPr>
            </w:pPr>
            <w:r>
              <w:rPr>
                <w:sz w:val="18"/>
              </w:rPr>
              <w:t>30 and 20 oz. .........................................................................................</w:t>
            </w:r>
          </w:p>
        </w:tc>
        <w:tc>
          <w:tcPr>
            <w:tcW w:w="1871" w:type="dxa"/>
          </w:tcPr>
          <w:p>
            <w:pPr>
              <w:pStyle w:val="yTable"/>
              <w:jc w:val="center"/>
              <w:rPr>
                <w:sz w:val="18"/>
              </w:rPr>
            </w:pPr>
            <w:r>
              <w:rPr>
                <w:sz w:val="18"/>
              </w:rPr>
              <w:t>1</w:t>
            </w:r>
          </w:p>
        </w:tc>
      </w:tr>
      <w:tr>
        <w:tc>
          <w:tcPr>
            <w:tcW w:w="5217" w:type="dxa"/>
          </w:tcPr>
          <w:p>
            <w:pPr>
              <w:pStyle w:val="yTable"/>
              <w:rPr>
                <w:sz w:val="18"/>
              </w:rPr>
            </w:pPr>
            <w:r>
              <w:rPr>
                <w:sz w:val="18"/>
              </w:rPr>
              <w:t>10 oz. .....................................................................................................</w:t>
            </w:r>
          </w:p>
        </w:tc>
        <w:tc>
          <w:tcPr>
            <w:tcW w:w="1871" w:type="dxa"/>
          </w:tcPr>
          <w:p>
            <w:pPr>
              <w:pStyle w:val="yTable"/>
              <w:jc w:val="center"/>
              <w:rPr>
                <w:sz w:val="18"/>
              </w:rPr>
            </w:pPr>
            <w:r>
              <w:rPr>
                <w:sz w:val="18"/>
              </w:rPr>
              <w:t>0.7</w:t>
            </w:r>
          </w:p>
        </w:tc>
      </w:tr>
      <w:tr>
        <w:tc>
          <w:tcPr>
            <w:tcW w:w="5217" w:type="dxa"/>
          </w:tcPr>
          <w:p>
            <w:pPr>
              <w:pStyle w:val="yTable"/>
              <w:rPr>
                <w:sz w:val="18"/>
              </w:rPr>
            </w:pPr>
            <w:r>
              <w:rPr>
                <w:sz w:val="18"/>
              </w:rPr>
              <w:t>5 oz. .......................................................................................................</w:t>
            </w:r>
          </w:p>
        </w:tc>
        <w:tc>
          <w:tcPr>
            <w:tcW w:w="1871" w:type="dxa"/>
          </w:tcPr>
          <w:p>
            <w:pPr>
              <w:pStyle w:val="yTable"/>
              <w:jc w:val="center"/>
              <w:rPr>
                <w:sz w:val="18"/>
              </w:rPr>
            </w:pPr>
            <w:r>
              <w:rPr>
                <w:sz w:val="18"/>
              </w:rPr>
              <w:t>0.5</w:t>
            </w:r>
          </w:p>
        </w:tc>
      </w:tr>
      <w:tr>
        <w:tc>
          <w:tcPr>
            <w:tcW w:w="5217" w:type="dxa"/>
          </w:tcPr>
          <w:p>
            <w:pPr>
              <w:pStyle w:val="yTable"/>
              <w:rPr>
                <w:sz w:val="18"/>
              </w:rPr>
            </w:pPr>
            <w:r>
              <w:rPr>
                <w:sz w:val="18"/>
              </w:rPr>
              <w:t>3 oz. .......................................................................................................</w:t>
            </w:r>
          </w:p>
        </w:tc>
        <w:tc>
          <w:tcPr>
            <w:tcW w:w="1871" w:type="dxa"/>
          </w:tcPr>
          <w:p>
            <w:pPr>
              <w:pStyle w:val="yTable"/>
              <w:jc w:val="center"/>
              <w:rPr>
                <w:sz w:val="18"/>
              </w:rPr>
            </w:pPr>
            <w:r>
              <w:rPr>
                <w:sz w:val="18"/>
              </w:rPr>
              <w:t>0.4</w:t>
            </w:r>
          </w:p>
        </w:tc>
      </w:tr>
      <w:tr>
        <w:tc>
          <w:tcPr>
            <w:tcW w:w="5217" w:type="dxa"/>
          </w:tcPr>
          <w:p>
            <w:pPr>
              <w:pStyle w:val="yTable"/>
              <w:rPr>
                <w:sz w:val="18"/>
              </w:rPr>
            </w:pPr>
            <w:r>
              <w:rPr>
                <w:sz w:val="18"/>
              </w:rPr>
              <w:t>2 oz. .......................................................................................................</w:t>
            </w:r>
          </w:p>
        </w:tc>
        <w:tc>
          <w:tcPr>
            <w:tcW w:w="1871" w:type="dxa"/>
          </w:tcPr>
          <w:p>
            <w:pPr>
              <w:pStyle w:val="yTable"/>
              <w:jc w:val="center"/>
              <w:rPr>
                <w:sz w:val="18"/>
              </w:rPr>
            </w:pPr>
            <w:r>
              <w:rPr>
                <w:sz w:val="18"/>
              </w:rPr>
              <w:t>0.3</w:t>
            </w:r>
          </w:p>
        </w:tc>
      </w:tr>
      <w:tr>
        <w:tc>
          <w:tcPr>
            <w:tcW w:w="5217" w:type="dxa"/>
          </w:tcPr>
          <w:p>
            <w:pPr>
              <w:pStyle w:val="yTable"/>
              <w:rPr>
                <w:sz w:val="18"/>
              </w:rPr>
            </w:pPr>
            <w:r>
              <w:rPr>
                <w:sz w:val="18"/>
              </w:rPr>
              <w:t>1 oz. ......................................................................................................</w:t>
            </w:r>
          </w:p>
        </w:tc>
        <w:tc>
          <w:tcPr>
            <w:tcW w:w="1871" w:type="dxa"/>
          </w:tcPr>
          <w:p>
            <w:pPr>
              <w:pStyle w:val="yTable"/>
              <w:jc w:val="center"/>
              <w:rPr>
                <w:sz w:val="18"/>
              </w:rPr>
            </w:pPr>
            <w:r>
              <w:rPr>
                <w:sz w:val="18"/>
              </w:rPr>
              <w:t>0.2</w:t>
            </w:r>
          </w:p>
        </w:tc>
      </w:tr>
      <w:tr>
        <w:tc>
          <w:tcPr>
            <w:tcW w:w="5217" w:type="dxa"/>
          </w:tcPr>
          <w:p>
            <w:pPr>
              <w:pStyle w:val="yTable"/>
              <w:rPr>
                <w:sz w:val="18"/>
              </w:rPr>
            </w:pPr>
            <w:r>
              <w:rPr>
                <w:sz w:val="18"/>
              </w:rPr>
              <w:t>.5 to .1 oz. inclusive ..............................................................................</w:t>
            </w:r>
          </w:p>
        </w:tc>
        <w:tc>
          <w:tcPr>
            <w:tcW w:w="1871" w:type="dxa"/>
          </w:tcPr>
          <w:p>
            <w:pPr>
              <w:pStyle w:val="yTable"/>
              <w:jc w:val="center"/>
              <w:rPr>
                <w:sz w:val="18"/>
              </w:rPr>
            </w:pPr>
            <w:r>
              <w:rPr>
                <w:sz w:val="18"/>
              </w:rPr>
              <w:t>0.1</w:t>
            </w:r>
          </w:p>
        </w:tc>
      </w:tr>
      <w:tr>
        <w:tc>
          <w:tcPr>
            <w:tcW w:w="5217" w:type="dxa"/>
          </w:tcPr>
          <w:p>
            <w:pPr>
              <w:pStyle w:val="yTable"/>
              <w:rPr>
                <w:sz w:val="18"/>
              </w:rPr>
            </w:pPr>
            <w:r>
              <w:rPr>
                <w:sz w:val="18"/>
              </w:rPr>
              <w:t>.05 to .04 oz. inclusive ..........................................................................</w:t>
            </w:r>
          </w:p>
        </w:tc>
        <w:tc>
          <w:tcPr>
            <w:tcW w:w="1871" w:type="dxa"/>
          </w:tcPr>
          <w:p>
            <w:pPr>
              <w:pStyle w:val="yTable"/>
              <w:jc w:val="center"/>
              <w:rPr>
                <w:sz w:val="18"/>
              </w:rPr>
            </w:pPr>
            <w:r>
              <w:rPr>
                <w:sz w:val="18"/>
              </w:rPr>
              <w:t>0.05</w:t>
            </w:r>
          </w:p>
        </w:tc>
      </w:tr>
      <w:tr>
        <w:tc>
          <w:tcPr>
            <w:tcW w:w="5217" w:type="dxa"/>
          </w:tcPr>
          <w:p>
            <w:pPr>
              <w:pStyle w:val="yTable"/>
              <w:rPr>
                <w:sz w:val="18"/>
              </w:rPr>
            </w:pPr>
            <w:r>
              <w:rPr>
                <w:sz w:val="18"/>
              </w:rPr>
              <w:t>.01 oz. ....................................................................................................</w:t>
            </w:r>
          </w:p>
        </w:tc>
        <w:tc>
          <w:tcPr>
            <w:tcW w:w="1871" w:type="dxa"/>
          </w:tcPr>
          <w:p>
            <w:pPr>
              <w:pStyle w:val="yTable"/>
              <w:jc w:val="center"/>
              <w:rPr>
                <w:sz w:val="18"/>
              </w:rPr>
            </w:pPr>
            <w:r>
              <w:rPr>
                <w:sz w:val="18"/>
              </w:rPr>
              <w:t>0.02</w:t>
            </w:r>
          </w:p>
        </w:tc>
      </w:tr>
      <w:tr>
        <w:tc>
          <w:tcPr>
            <w:tcW w:w="5217" w:type="dxa"/>
          </w:tcPr>
          <w:p>
            <w:pPr>
              <w:pStyle w:val="yTable"/>
              <w:rPr>
                <w:sz w:val="18"/>
              </w:rPr>
            </w:pPr>
            <w:r>
              <w:rPr>
                <w:sz w:val="18"/>
              </w:rPr>
              <w:t>.005 to .001 oz. inclusive ......................................................................</w:t>
            </w:r>
          </w:p>
        </w:tc>
        <w:tc>
          <w:tcPr>
            <w:tcW w:w="1871" w:type="dxa"/>
          </w:tcPr>
          <w:p>
            <w:pPr>
              <w:pStyle w:val="yTable"/>
              <w:jc w:val="center"/>
              <w:rPr>
                <w:sz w:val="18"/>
              </w:rPr>
            </w:pPr>
            <w:r>
              <w:rPr>
                <w:sz w:val="18"/>
              </w:rPr>
              <w:t>0.01</w:t>
            </w:r>
          </w:p>
        </w:tc>
      </w:tr>
      <w:tr>
        <w:tc>
          <w:tcPr>
            <w:tcW w:w="5217" w:type="dxa"/>
          </w:tcPr>
          <w:p>
            <w:pPr>
              <w:pStyle w:val="yTable"/>
              <w:rPr>
                <w:sz w:val="18"/>
              </w:rPr>
            </w:pPr>
            <w:r>
              <w:rPr>
                <w:sz w:val="18"/>
              </w:rPr>
              <w:t>240 grains to 72 grains inclusive ...........................................................</w:t>
            </w:r>
          </w:p>
        </w:tc>
        <w:tc>
          <w:tcPr>
            <w:tcW w:w="1871" w:type="dxa"/>
          </w:tcPr>
          <w:p>
            <w:pPr>
              <w:pStyle w:val="yTable"/>
              <w:jc w:val="center"/>
              <w:rPr>
                <w:sz w:val="18"/>
              </w:rPr>
            </w:pPr>
            <w:r>
              <w:rPr>
                <w:sz w:val="18"/>
              </w:rPr>
              <w:t>0.1</w:t>
            </w:r>
          </w:p>
        </w:tc>
      </w:tr>
      <w:tr>
        <w:tc>
          <w:tcPr>
            <w:tcW w:w="5217" w:type="dxa"/>
          </w:tcPr>
          <w:p>
            <w:pPr>
              <w:pStyle w:val="yTable"/>
              <w:rPr>
                <w:sz w:val="18"/>
              </w:rPr>
            </w:pPr>
            <w:r>
              <w:rPr>
                <w:sz w:val="18"/>
              </w:rPr>
              <w:t>48, 24 and 12 grains .............................................................................</w:t>
            </w:r>
          </w:p>
        </w:tc>
        <w:tc>
          <w:tcPr>
            <w:tcW w:w="1871" w:type="dxa"/>
          </w:tcPr>
          <w:p>
            <w:pPr>
              <w:pStyle w:val="yTable"/>
              <w:jc w:val="center"/>
              <w:rPr>
                <w:sz w:val="18"/>
              </w:rPr>
            </w:pPr>
            <w:r>
              <w:rPr>
                <w:sz w:val="18"/>
              </w:rPr>
              <w:t>0.05</w:t>
            </w:r>
          </w:p>
        </w:tc>
      </w:tr>
      <w:tr>
        <w:tc>
          <w:tcPr>
            <w:tcW w:w="5217" w:type="dxa"/>
          </w:tcPr>
          <w:p>
            <w:pPr>
              <w:pStyle w:val="yTable"/>
              <w:rPr>
                <w:sz w:val="18"/>
              </w:rPr>
            </w:pPr>
            <w:r>
              <w:rPr>
                <w:sz w:val="18"/>
              </w:rPr>
              <w:t>6, 5 and 3 grains ...................................................................................</w:t>
            </w:r>
          </w:p>
        </w:tc>
        <w:tc>
          <w:tcPr>
            <w:tcW w:w="1871" w:type="dxa"/>
          </w:tcPr>
          <w:p>
            <w:pPr>
              <w:pStyle w:val="yTable"/>
              <w:jc w:val="center"/>
              <w:rPr>
                <w:sz w:val="18"/>
              </w:rPr>
            </w:pPr>
            <w:r>
              <w:rPr>
                <w:sz w:val="18"/>
              </w:rPr>
              <w:t>0.02</w:t>
            </w:r>
          </w:p>
        </w:tc>
      </w:tr>
      <w:tr>
        <w:tc>
          <w:tcPr>
            <w:tcW w:w="5217" w:type="dxa"/>
          </w:tcPr>
          <w:p>
            <w:pPr>
              <w:pStyle w:val="yTable"/>
              <w:rPr>
                <w:sz w:val="18"/>
              </w:rPr>
            </w:pPr>
            <w:r>
              <w:rPr>
                <w:sz w:val="18"/>
              </w:rPr>
              <w:t>2 and 1 grains ........................................................................................</w:t>
            </w:r>
          </w:p>
        </w:tc>
        <w:tc>
          <w:tcPr>
            <w:tcW w:w="1871" w:type="dxa"/>
          </w:tcPr>
          <w:p>
            <w:pPr>
              <w:pStyle w:val="yTable"/>
              <w:jc w:val="center"/>
              <w:rPr>
                <w:sz w:val="18"/>
              </w:rPr>
            </w:pPr>
            <w:r>
              <w:rPr>
                <w:sz w:val="18"/>
              </w:rPr>
              <w:t>0.01</w:t>
            </w:r>
          </w:p>
        </w:tc>
      </w:tr>
    </w:tbl>
    <w:p>
      <w:pPr>
        <w:pStyle w:val="yMiscellaneousHeading"/>
        <w:spacing w:after="80"/>
        <w:rPr>
          <w:i/>
          <w:snapToGrid w:val="0"/>
        </w:rPr>
      </w:pPr>
      <w:r>
        <w:rPr>
          <w:i/>
          <w:snapToGrid w:val="0"/>
        </w:rPr>
        <w:t xml:space="preserve">Apothecaries’ </w:t>
      </w:r>
    </w:p>
    <w:tbl>
      <w:tblPr>
        <w:tblW w:w="0" w:type="auto"/>
        <w:tblInd w:w="56" w:type="dxa"/>
        <w:tblBorders>
          <w:top w:val="single" w:sz="4" w:space="0" w:color="auto"/>
          <w:bottom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820"/>
        <w:gridCol w:w="425"/>
        <w:gridCol w:w="1843"/>
      </w:tblGrid>
      <w:tr>
        <w:trPr>
          <w:tblHeader/>
        </w:trPr>
        <w:tc>
          <w:tcPr>
            <w:tcW w:w="4820" w:type="dxa"/>
            <w:tcBorders>
              <w:top w:val="single" w:sz="4" w:space="0" w:color="auto"/>
              <w:bottom w:val="single" w:sz="4" w:space="0" w:color="auto"/>
              <w:right w:val="nil"/>
            </w:tcBorders>
          </w:tcPr>
          <w:p>
            <w:pPr>
              <w:pStyle w:val="yTable"/>
              <w:jc w:val="center"/>
              <w:rPr>
                <w:b/>
                <w:sz w:val="18"/>
              </w:rPr>
            </w:pPr>
            <w:r>
              <w:rPr>
                <w:b/>
                <w:sz w:val="18"/>
              </w:rPr>
              <w:t>Denomination</w:t>
            </w:r>
          </w:p>
        </w:tc>
        <w:tc>
          <w:tcPr>
            <w:tcW w:w="425" w:type="dxa"/>
            <w:tcBorders>
              <w:top w:val="single" w:sz="4" w:space="0" w:color="auto"/>
              <w:left w:val="nil"/>
              <w:bottom w:val="single" w:sz="4" w:space="0" w:color="auto"/>
            </w:tcBorders>
          </w:tcPr>
          <w:p>
            <w:pPr>
              <w:pStyle w:val="yTable"/>
              <w:jc w:val="center"/>
              <w:rPr>
                <w:b/>
                <w:sz w:val="18"/>
              </w:rPr>
            </w:pPr>
          </w:p>
        </w:tc>
        <w:tc>
          <w:tcPr>
            <w:tcW w:w="1843" w:type="dxa"/>
            <w:tcBorders>
              <w:top w:val="single" w:sz="4" w:space="0" w:color="auto"/>
              <w:bottom w:val="single" w:sz="4" w:space="0" w:color="auto"/>
            </w:tcBorders>
          </w:tcPr>
          <w:p>
            <w:pPr>
              <w:pStyle w:val="yTable"/>
              <w:jc w:val="center"/>
              <w:rPr>
                <w:b/>
                <w:sz w:val="18"/>
              </w:rPr>
            </w:pPr>
            <w:r>
              <w:rPr>
                <w:b/>
                <w:sz w:val="18"/>
              </w:rPr>
              <w:t>Error in Excess only</w:t>
            </w:r>
          </w:p>
        </w:tc>
      </w:tr>
      <w:tr>
        <w:tc>
          <w:tcPr>
            <w:tcW w:w="4820" w:type="dxa"/>
            <w:tcBorders>
              <w:top w:val="nil"/>
              <w:right w:val="nil"/>
            </w:tcBorders>
          </w:tcPr>
          <w:p>
            <w:pPr>
              <w:pStyle w:val="yTable"/>
              <w:rPr>
                <w:sz w:val="18"/>
              </w:rPr>
            </w:pPr>
          </w:p>
        </w:tc>
        <w:tc>
          <w:tcPr>
            <w:tcW w:w="425" w:type="dxa"/>
            <w:tcBorders>
              <w:top w:val="nil"/>
              <w:left w:val="nil"/>
            </w:tcBorders>
          </w:tcPr>
          <w:p>
            <w:pPr>
              <w:pStyle w:val="yTable"/>
              <w:rPr>
                <w:sz w:val="18"/>
              </w:rPr>
            </w:pPr>
          </w:p>
        </w:tc>
        <w:tc>
          <w:tcPr>
            <w:tcW w:w="1843" w:type="dxa"/>
            <w:tcBorders>
              <w:top w:val="nil"/>
            </w:tcBorders>
          </w:tcPr>
          <w:p>
            <w:pPr>
              <w:pStyle w:val="yTable"/>
              <w:jc w:val="center"/>
              <w:rPr>
                <w:sz w:val="18"/>
              </w:rPr>
            </w:pPr>
            <w:r>
              <w:rPr>
                <w:sz w:val="18"/>
              </w:rPr>
              <w:t>Grain</w:t>
            </w:r>
          </w:p>
        </w:tc>
      </w:tr>
      <w:tr>
        <w:tc>
          <w:tcPr>
            <w:tcW w:w="4820" w:type="dxa"/>
            <w:tcBorders>
              <w:right w:val="nil"/>
            </w:tcBorders>
          </w:tcPr>
          <w:p>
            <w:pPr>
              <w:pStyle w:val="yTable"/>
              <w:rPr>
                <w:sz w:val="18"/>
              </w:rPr>
            </w:pPr>
            <w:r>
              <w:rPr>
                <w:sz w:val="18"/>
              </w:rPr>
              <w:t>1 oz. ...............................................................................................</w:t>
            </w:r>
          </w:p>
        </w:tc>
        <w:tc>
          <w:tcPr>
            <w:tcW w:w="425" w:type="dxa"/>
            <w:tcBorders>
              <w:left w:val="nil"/>
            </w:tcBorders>
          </w:tcPr>
          <w:p>
            <w:pPr>
              <w:pStyle w:val="yTable"/>
              <w:rPr>
                <w:sz w:val="18"/>
              </w:rPr>
            </w:pPr>
          </w:p>
        </w:tc>
        <w:tc>
          <w:tcPr>
            <w:tcW w:w="1843" w:type="dxa"/>
          </w:tcPr>
          <w:p>
            <w:pPr>
              <w:pStyle w:val="yTable"/>
              <w:jc w:val="center"/>
              <w:rPr>
                <w:sz w:val="18"/>
              </w:rPr>
            </w:pPr>
            <w:r>
              <w:rPr>
                <w:sz w:val="18"/>
              </w:rPr>
              <w:t>0.2</w:t>
            </w:r>
          </w:p>
        </w:tc>
      </w:tr>
      <w:tr>
        <w:trPr>
          <w:cantSplit/>
        </w:trPr>
        <w:tc>
          <w:tcPr>
            <w:tcW w:w="4820" w:type="dxa"/>
            <w:tcBorders>
              <w:right w:val="nil"/>
            </w:tcBorders>
          </w:tcPr>
          <w:p>
            <w:pPr>
              <w:pStyle w:val="yTable"/>
              <w:rPr>
                <w:sz w:val="18"/>
              </w:rPr>
            </w:pPr>
            <w:r>
              <w:rPr>
                <w:sz w:val="18"/>
              </w:rPr>
              <w:t>4 drachms .......................................................................................</w:t>
            </w:r>
          </w:p>
        </w:tc>
        <w:tc>
          <w:tcPr>
            <w:tcW w:w="425" w:type="dxa"/>
            <w:vMerge w:val="restart"/>
            <w:tcBorders>
              <w:left w:val="nil"/>
            </w:tcBorders>
          </w:tcPr>
          <w:p>
            <w:pPr>
              <w:pStyle w:val="yTable"/>
              <w:jc w:val="center"/>
              <w:rPr>
                <w:sz w:val="18"/>
              </w:rPr>
            </w:pPr>
            <w:r>
              <w:rPr>
                <w:noProof/>
                <w:sz w:val="18"/>
              </w:rPr>
              <w:drawing>
                <wp:inline distT="0" distB="0" distL="0" distR="0">
                  <wp:extent cx="118745" cy="4159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8745" cy="415925"/>
                          </a:xfrm>
                          <a:prstGeom prst="rect">
                            <a:avLst/>
                          </a:prstGeom>
                          <a:noFill/>
                          <a:ln>
                            <a:noFill/>
                          </a:ln>
                        </pic:spPr>
                      </pic:pic>
                    </a:graphicData>
                  </a:graphic>
                </wp:inline>
              </w:drawing>
            </w:r>
          </w:p>
        </w:tc>
        <w:tc>
          <w:tcPr>
            <w:tcW w:w="1843" w:type="dxa"/>
            <w:vMerge w:val="restart"/>
            <w:vAlign w:val="center"/>
          </w:tcPr>
          <w:p>
            <w:pPr>
              <w:pStyle w:val="yTable"/>
              <w:jc w:val="center"/>
              <w:rPr>
                <w:sz w:val="18"/>
              </w:rPr>
            </w:pPr>
            <w:r>
              <w:rPr>
                <w:sz w:val="18"/>
              </w:rPr>
              <w:t>0.1</w:t>
            </w:r>
          </w:p>
        </w:tc>
      </w:tr>
      <w:tr>
        <w:trPr>
          <w:cantSplit/>
        </w:trPr>
        <w:tc>
          <w:tcPr>
            <w:tcW w:w="4820" w:type="dxa"/>
            <w:tcBorders>
              <w:right w:val="nil"/>
            </w:tcBorders>
          </w:tcPr>
          <w:p>
            <w:pPr>
              <w:pStyle w:val="yTable"/>
              <w:rPr>
                <w:sz w:val="18"/>
              </w:rPr>
            </w:pPr>
            <w:r>
              <w:rPr>
                <w:sz w:val="18"/>
              </w:rPr>
              <w:t>2 drachms .......................................................................................</w:t>
            </w:r>
          </w:p>
        </w:tc>
        <w:tc>
          <w:tcPr>
            <w:tcW w:w="425" w:type="dxa"/>
            <w:vMerge/>
            <w:tcBorders>
              <w:left w:val="nil"/>
            </w:tcBorders>
          </w:tcPr>
          <w:p>
            <w:pPr>
              <w:pStyle w:val="yTable"/>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1 drachm  .......................................................................................</w:t>
            </w:r>
          </w:p>
        </w:tc>
        <w:tc>
          <w:tcPr>
            <w:tcW w:w="425" w:type="dxa"/>
            <w:vMerge/>
            <w:tcBorders>
              <w:left w:val="nil"/>
            </w:tcBorders>
          </w:tcPr>
          <w:p>
            <w:pPr>
              <w:pStyle w:val="yTable"/>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2 scruples  ......................................................................................</w:t>
            </w:r>
          </w:p>
        </w:tc>
        <w:tc>
          <w:tcPr>
            <w:tcW w:w="425" w:type="dxa"/>
            <w:vMerge w:val="restart"/>
            <w:tcBorders>
              <w:left w:val="nil"/>
            </w:tcBorders>
          </w:tcPr>
          <w:p>
            <w:pPr>
              <w:pStyle w:val="yTable"/>
              <w:jc w:val="center"/>
              <w:rPr>
                <w:sz w:val="18"/>
              </w:rPr>
            </w:pPr>
            <w:r>
              <w:rPr>
                <w:noProof/>
                <w:sz w:val="18"/>
              </w:rPr>
              <w:drawing>
                <wp:inline distT="0" distB="0" distL="0" distR="0">
                  <wp:extent cx="118745" cy="60579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8745" cy="605790"/>
                          </a:xfrm>
                          <a:prstGeom prst="rect">
                            <a:avLst/>
                          </a:prstGeom>
                          <a:noFill/>
                          <a:ln>
                            <a:noFill/>
                          </a:ln>
                        </pic:spPr>
                      </pic:pic>
                    </a:graphicData>
                  </a:graphic>
                </wp:inline>
              </w:drawing>
            </w:r>
          </w:p>
        </w:tc>
        <w:tc>
          <w:tcPr>
            <w:tcW w:w="1843" w:type="dxa"/>
            <w:vMerge w:val="restart"/>
          </w:tcPr>
          <w:p>
            <w:pPr>
              <w:pStyle w:val="yTable"/>
              <w:spacing w:before="480"/>
              <w:jc w:val="center"/>
              <w:rPr>
                <w:sz w:val="18"/>
              </w:rPr>
            </w:pPr>
            <w:r>
              <w:rPr>
                <w:sz w:val="18"/>
              </w:rPr>
              <w:t>0.05</w:t>
            </w:r>
          </w:p>
        </w:tc>
      </w:tr>
      <w:tr>
        <w:trPr>
          <w:cantSplit/>
        </w:trPr>
        <w:tc>
          <w:tcPr>
            <w:tcW w:w="4820" w:type="dxa"/>
            <w:tcBorders>
              <w:right w:val="nil"/>
            </w:tcBorders>
          </w:tcPr>
          <w:p>
            <w:pPr>
              <w:pStyle w:val="yTable"/>
              <w:rPr>
                <w:sz w:val="18"/>
              </w:rPr>
            </w:pPr>
            <w:r>
              <w:rPr>
                <w:sz w:val="18"/>
              </w:rPr>
              <w:t>1 ½  scruples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1 scruple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½ scruple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6 grains  .........................................................................................</w:t>
            </w:r>
          </w:p>
        </w:tc>
        <w:tc>
          <w:tcPr>
            <w:tcW w:w="425" w:type="dxa"/>
            <w:vMerge w:val="restart"/>
            <w:tcBorders>
              <w:left w:val="nil"/>
            </w:tcBorders>
          </w:tcPr>
          <w:p>
            <w:pPr>
              <w:pStyle w:val="yTable"/>
              <w:jc w:val="center"/>
              <w:rPr>
                <w:sz w:val="18"/>
              </w:rPr>
            </w:pPr>
            <w:r>
              <w:rPr>
                <w:noProof/>
                <w:sz w:val="18"/>
              </w:rPr>
              <w:drawing>
                <wp:inline distT="0" distB="0" distL="0" distR="0">
                  <wp:extent cx="118745" cy="7600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8745" cy="760095"/>
                          </a:xfrm>
                          <a:prstGeom prst="rect">
                            <a:avLst/>
                          </a:prstGeom>
                          <a:noFill/>
                          <a:ln>
                            <a:noFill/>
                          </a:ln>
                        </pic:spPr>
                      </pic:pic>
                    </a:graphicData>
                  </a:graphic>
                </wp:inline>
              </w:drawing>
            </w:r>
          </w:p>
        </w:tc>
        <w:tc>
          <w:tcPr>
            <w:tcW w:w="1843" w:type="dxa"/>
            <w:vMerge w:val="restart"/>
            <w:vAlign w:val="center"/>
          </w:tcPr>
          <w:p>
            <w:pPr>
              <w:pStyle w:val="yTable"/>
              <w:jc w:val="center"/>
              <w:rPr>
                <w:sz w:val="18"/>
              </w:rPr>
            </w:pPr>
            <w:r>
              <w:rPr>
                <w:sz w:val="18"/>
              </w:rPr>
              <w:t>0.02</w:t>
            </w:r>
          </w:p>
        </w:tc>
      </w:tr>
      <w:tr>
        <w:trPr>
          <w:cantSplit/>
        </w:trPr>
        <w:tc>
          <w:tcPr>
            <w:tcW w:w="4820" w:type="dxa"/>
            <w:tcBorders>
              <w:right w:val="nil"/>
            </w:tcBorders>
          </w:tcPr>
          <w:p>
            <w:pPr>
              <w:pStyle w:val="yTable"/>
              <w:rPr>
                <w:sz w:val="18"/>
              </w:rPr>
            </w:pPr>
            <w:r>
              <w:rPr>
                <w:sz w:val="18"/>
              </w:rPr>
              <w:t>5 grains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4 grains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3 grains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2 grains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1 grain  ..........................................................................................</w:t>
            </w:r>
          </w:p>
        </w:tc>
        <w:tc>
          <w:tcPr>
            <w:tcW w:w="425" w:type="dxa"/>
            <w:vMerge w:val="restart"/>
            <w:tcBorders>
              <w:left w:val="nil"/>
            </w:tcBorders>
          </w:tcPr>
          <w:p>
            <w:pPr>
              <w:pStyle w:val="yTable"/>
              <w:jc w:val="center"/>
              <w:rPr>
                <w:sz w:val="18"/>
              </w:rPr>
            </w:pPr>
            <w:r>
              <w:rPr>
                <w:noProof/>
                <w:sz w:val="18"/>
              </w:rPr>
              <w:drawing>
                <wp:inline distT="0" distB="0" distL="0" distR="0">
                  <wp:extent cx="118745" cy="2851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8745" cy="285115"/>
                          </a:xfrm>
                          <a:prstGeom prst="rect">
                            <a:avLst/>
                          </a:prstGeom>
                          <a:noFill/>
                          <a:ln>
                            <a:noFill/>
                          </a:ln>
                        </pic:spPr>
                      </pic:pic>
                    </a:graphicData>
                  </a:graphic>
                </wp:inline>
              </w:drawing>
            </w:r>
          </w:p>
        </w:tc>
        <w:tc>
          <w:tcPr>
            <w:tcW w:w="1843" w:type="dxa"/>
            <w:vMerge w:val="restart"/>
          </w:tcPr>
          <w:p>
            <w:pPr>
              <w:pStyle w:val="yTable"/>
              <w:spacing w:before="200"/>
              <w:jc w:val="center"/>
              <w:rPr>
                <w:sz w:val="18"/>
              </w:rPr>
            </w:pPr>
            <w:r>
              <w:rPr>
                <w:sz w:val="18"/>
              </w:rPr>
              <w:t>0.01</w:t>
            </w:r>
          </w:p>
        </w:tc>
      </w:tr>
      <w:tr>
        <w:trPr>
          <w:cantSplit/>
        </w:trPr>
        <w:tc>
          <w:tcPr>
            <w:tcW w:w="4820" w:type="dxa"/>
            <w:tcBorders>
              <w:right w:val="nil"/>
            </w:tcBorders>
          </w:tcPr>
          <w:p>
            <w:pPr>
              <w:pStyle w:val="yTable"/>
              <w:rPr>
                <w:sz w:val="18"/>
              </w:rPr>
            </w:pPr>
            <w:r>
              <w:rPr>
                <w:sz w:val="18"/>
              </w:rPr>
              <w:t>½ grain  ..........................................................................................</w:t>
            </w:r>
          </w:p>
        </w:tc>
        <w:tc>
          <w:tcPr>
            <w:tcW w:w="425" w:type="dxa"/>
            <w:vMerge/>
            <w:tcBorders>
              <w:left w:val="nil"/>
              <w:bottom w:val="single" w:sz="4" w:space="0" w:color="auto"/>
            </w:tcBorders>
          </w:tcPr>
          <w:p>
            <w:pPr>
              <w:pStyle w:val="yTable"/>
              <w:jc w:val="center"/>
              <w:rPr>
                <w:sz w:val="18"/>
              </w:rPr>
            </w:pPr>
          </w:p>
        </w:tc>
        <w:tc>
          <w:tcPr>
            <w:tcW w:w="1843" w:type="dxa"/>
            <w:vMerge/>
          </w:tcPr>
          <w:p>
            <w:pPr>
              <w:pStyle w:val="yTable"/>
              <w:jc w:val="center"/>
              <w:rPr>
                <w:sz w:val="18"/>
              </w:rPr>
            </w:pPr>
          </w:p>
        </w:tc>
      </w:tr>
    </w:tbl>
    <w:p>
      <w:pPr>
        <w:pStyle w:val="yMiscellaneousHeading"/>
        <w:spacing w:after="80"/>
        <w:rPr>
          <w:i/>
          <w:snapToGrid w:val="0"/>
        </w:rPr>
      </w:pPr>
      <w:r>
        <w:rPr>
          <w:i/>
          <w:snapToGrid w:val="0"/>
        </w:rPr>
        <w:t xml:space="preserve">Metric Carat </w:t>
      </w:r>
    </w:p>
    <w:tbl>
      <w:tblPr>
        <w:tblW w:w="0" w:type="auto"/>
        <w:tblInd w:w="113" w:type="dxa"/>
        <w:tblBorders>
          <w:top w:val="single" w:sz="4" w:space="0" w:color="auto"/>
          <w:bottom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17"/>
        <w:gridCol w:w="1871"/>
      </w:tblGrid>
      <w:tr>
        <w:trPr>
          <w:tblHeader/>
        </w:trPr>
        <w:tc>
          <w:tcPr>
            <w:tcW w:w="5217" w:type="dxa"/>
            <w:tcBorders>
              <w:bottom w:val="nil"/>
            </w:tcBorders>
          </w:tcPr>
          <w:p>
            <w:pPr>
              <w:pStyle w:val="yTable"/>
              <w:jc w:val="center"/>
              <w:rPr>
                <w:b/>
                <w:sz w:val="18"/>
              </w:rPr>
            </w:pPr>
            <w:r>
              <w:rPr>
                <w:b/>
                <w:sz w:val="18"/>
              </w:rPr>
              <w:t>Denomination</w:t>
            </w:r>
          </w:p>
        </w:tc>
        <w:tc>
          <w:tcPr>
            <w:tcW w:w="1871" w:type="dxa"/>
            <w:tcBorders>
              <w:bottom w:val="nil"/>
            </w:tcBorders>
          </w:tcPr>
          <w:p>
            <w:pPr>
              <w:pStyle w:val="yTable"/>
              <w:jc w:val="center"/>
              <w:rPr>
                <w:b/>
                <w:sz w:val="18"/>
              </w:rPr>
            </w:pPr>
            <w:r>
              <w:rPr>
                <w:b/>
                <w:sz w:val="18"/>
              </w:rPr>
              <w:t>Error in Excess only</w:t>
            </w:r>
          </w:p>
        </w:tc>
      </w:tr>
      <w:tr>
        <w:tc>
          <w:tcPr>
            <w:tcW w:w="5217" w:type="dxa"/>
            <w:tcBorders>
              <w:bottom w:val="nil"/>
            </w:tcBorders>
          </w:tcPr>
          <w:p>
            <w:pPr>
              <w:pStyle w:val="yTable"/>
              <w:rPr>
                <w:sz w:val="18"/>
              </w:rPr>
            </w:pPr>
            <w:r>
              <w:rPr>
                <w:sz w:val="18"/>
              </w:rPr>
              <w:t>Carats</w:t>
            </w:r>
          </w:p>
        </w:tc>
        <w:tc>
          <w:tcPr>
            <w:tcW w:w="1871" w:type="dxa"/>
            <w:tcBorders>
              <w:bottom w:val="nil"/>
            </w:tcBorders>
          </w:tcPr>
          <w:p>
            <w:pPr>
              <w:pStyle w:val="yTable"/>
              <w:jc w:val="center"/>
              <w:rPr>
                <w:sz w:val="18"/>
              </w:rPr>
            </w:pPr>
            <w:r>
              <w:rPr>
                <w:sz w:val="18"/>
              </w:rPr>
              <w:t>Milligrammes</w:t>
            </w:r>
          </w:p>
        </w:tc>
      </w:tr>
      <w:tr>
        <w:tc>
          <w:tcPr>
            <w:tcW w:w="5217" w:type="dxa"/>
            <w:tcBorders>
              <w:top w:val="nil"/>
              <w:bottom w:val="nil"/>
            </w:tcBorders>
          </w:tcPr>
          <w:p>
            <w:pPr>
              <w:pStyle w:val="yTable"/>
              <w:rPr>
                <w:sz w:val="18"/>
              </w:rPr>
            </w:pPr>
            <w:r>
              <w:rPr>
                <w:sz w:val="18"/>
              </w:rPr>
              <w:t>500  ........................................................................................................</w:t>
            </w:r>
          </w:p>
        </w:tc>
        <w:tc>
          <w:tcPr>
            <w:tcW w:w="1871" w:type="dxa"/>
            <w:tcBorders>
              <w:top w:val="nil"/>
              <w:bottom w:val="nil"/>
            </w:tcBorders>
          </w:tcPr>
          <w:p>
            <w:pPr>
              <w:pStyle w:val="yTable"/>
              <w:jc w:val="center"/>
              <w:rPr>
                <w:sz w:val="18"/>
              </w:rPr>
            </w:pPr>
            <w:r>
              <w:rPr>
                <w:sz w:val="18"/>
              </w:rPr>
              <w:t>100</w:t>
            </w:r>
          </w:p>
        </w:tc>
      </w:tr>
      <w:tr>
        <w:tc>
          <w:tcPr>
            <w:tcW w:w="5217" w:type="dxa"/>
            <w:tcBorders>
              <w:top w:val="nil"/>
              <w:bottom w:val="nil"/>
            </w:tcBorders>
          </w:tcPr>
          <w:p>
            <w:pPr>
              <w:pStyle w:val="yTable"/>
              <w:rPr>
                <w:sz w:val="18"/>
              </w:rPr>
            </w:pPr>
            <w:r>
              <w:rPr>
                <w:sz w:val="18"/>
              </w:rPr>
              <w:t>200  ........................................................................................................</w:t>
            </w:r>
          </w:p>
        </w:tc>
        <w:tc>
          <w:tcPr>
            <w:tcW w:w="1871" w:type="dxa"/>
            <w:tcBorders>
              <w:top w:val="nil"/>
              <w:bottom w:val="nil"/>
            </w:tcBorders>
          </w:tcPr>
          <w:p>
            <w:pPr>
              <w:pStyle w:val="yTable"/>
              <w:jc w:val="center"/>
              <w:rPr>
                <w:sz w:val="18"/>
              </w:rPr>
            </w:pPr>
            <w:r>
              <w:rPr>
                <w:sz w:val="18"/>
              </w:rPr>
              <w:t>50</w:t>
            </w:r>
          </w:p>
        </w:tc>
      </w:tr>
      <w:tr>
        <w:tc>
          <w:tcPr>
            <w:tcW w:w="5217" w:type="dxa"/>
            <w:tcBorders>
              <w:top w:val="nil"/>
              <w:bottom w:val="nil"/>
            </w:tcBorders>
          </w:tcPr>
          <w:p>
            <w:pPr>
              <w:pStyle w:val="yTable"/>
              <w:rPr>
                <w:sz w:val="18"/>
              </w:rPr>
            </w:pPr>
            <w:r>
              <w:rPr>
                <w:sz w:val="18"/>
              </w:rPr>
              <w:t>100  ........................................................................................................</w:t>
            </w:r>
          </w:p>
        </w:tc>
        <w:tc>
          <w:tcPr>
            <w:tcW w:w="1871" w:type="dxa"/>
            <w:tcBorders>
              <w:top w:val="nil"/>
              <w:bottom w:val="nil"/>
            </w:tcBorders>
          </w:tcPr>
          <w:p>
            <w:pPr>
              <w:pStyle w:val="yTable"/>
              <w:jc w:val="center"/>
              <w:rPr>
                <w:sz w:val="18"/>
              </w:rPr>
            </w:pPr>
            <w:r>
              <w:rPr>
                <w:sz w:val="18"/>
              </w:rPr>
              <w:t>50</w:t>
            </w:r>
          </w:p>
        </w:tc>
      </w:tr>
      <w:tr>
        <w:tc>
          <w:tcPr>
            <w:tcW w:w="5217" w:type="dxa"/>
            <w:tcBorders>
              <w:top w:val="nil"/>
              <w:bottom w:val="nil"/>
            </w:tcBorders>
          </w:tcPr>
          <w:p>
            <w:pPr>
              <w:pStyle w:val="yTable"/>
              <w:rPr>
                <w:sz w:val="18"/>
              </w:rPr>
            </w:pPr>
            <w:r>
              <w:rPr>
                <w:sz w:val="18"/>
              </w:rPr>
              <w:t xml:space="preserve"> 50  .........................................................................................................</w:t>
            </w:r>
          </w:p>
        </w:tc>
        <w:tc>
          <w:tcPr>
            <w:tcW w:w="1871" w:type="dxa"/>
            <w:tcBorders>
              <w:top w:val="nil"/>
              <w:bottom w:val="nil"/>
            </w:tcBorders>
          </w:tcPr>
          <w:p>
            <w:pPr>
              <w:pStyle w:val="yTable"/>
              <w:jc w:val="center"/>
              <w:rPr>
                <w:sz w:val="18"/>
              </w:rPr>
            </w:pPr>
            <w:r>
              <w:rPr>
                <w:sz w:val="18"/>
              </w:rPr>
              <w:t>25</w:t>
            </w:r>
          </w:p>
        </w:tc>
      </w:tr>
      <w:tr>
        <w:tc>
          <w:tcPr>
            <w:tcW w:w="5217" w:type="dxa"/>
            <w:tcBorders>
              <w:top w:val="nil"/>
              <w:bottom w:val="nil"/>
            </w:tcBorders>
          </w:tcPr>
          <w:p>
            <w:pPr>
              <w:pStyle w:val="yTable"/>
              <w:rPr>
                <w:sz w:val="18"/>
              </w:rPr>
            </w:pPr>
            <w:r>
              <w:rPr>
                <w:sz w:val="18"/>
              </w:rPr>
              <w:t xml:space="preserve"> 20  .........................................................................................................</w:t>
            </w:r>
          </w:p>
        </w:tc>
        <w:tc>
          <w:tcPr>
            <w:tcW w:w="1871" w:type="dxa"/>
            <w:tcBorders>
              <w:top w:val="nil"/>
              <w:bottom w:val="nil"/>
            </w:tcBorders>
          </w:tcPr>
          <w:p>
            <w:pPr>
              <w:pStyle w:val="yTable"/>
              <w:jc w:val="center"/>
              <w:rPr>
                <w:sz w:val="18"/>
              </w:rPr>
            </w:pPr>
            <w:r>
              <w:rPr>
                <w:sz w:val="18"/>
              </w:rPr>
              <w:t>25</w:t>
            </w:r>
          </w:p>
        </w:tc>
      </w:tr>
      <w:tr>
        <w:tc>
          <w:tcPr>
            <w:tcW w:w="5217" w:type="dxa"/>
            <w:tcBorders>
              <w:top w:val="nil"/>
              <w:bottom w:val="nil"/>
            </w:tcBorders>
          </w:tcPr>
          <w:p>
            <w:pPr>
              <w:pStyle w:val="yTable"/>
              <w:rPr>
                <w:sz w:val="18"/>
              </w:rPr>
            </w:pPr>
            <w:r>
              <w:rPr>
                <w:sz w:val="18"/>
              </w:rPr>
              <w:t xml:space="preserve"> 10  .........................................................................................................</w:t>
            </w:r>
          </w:p>
        </w:tc>
        <w:tc>
          <w:tcPr>
            <w:tcW w:w="1871" w:type="dxa"/>
            <w:tcBorders>
              <w:top w:val="nil"/>
              <w:bottom w:val="nil"/>
            </w:tcBorders>
          </w:tcPr>
          <w:p>
            <w:pPr>
              <w:pStyle w:val="yTable"/>
              <w:jc w:val="center"/>
              <w:rPr>
                <w:sz w:val="18"/>
              </w:rPr>
            </w:pPr>
            <w:r>
              <w:rPr>
                <w:sz w:val="18"/>
              </w:rPr>
              <w:t>20</w:t>
            </w:r>
          </w:p>
        </w:tc>
      </w:tr>
      <w:tr>
        <w:tc>
          <w:tcPr>
            <w:tcW w:w="5217" w:type="dxa"/>
            <w:tcBorders>
              <w:top w:val="nil"/>
              <w:bottom w:val="nil"/>
            </w:tcBorders>
          </w:tcPr>
          <w:p>
            <w:pPr>
              <w:pStyle w:val="yTable"/>
              <w:rPr>
                <w:sz w:val="18"/>
              </w:rPr>
            </w:pPr>
            <w:r>
              <w:rPr>
                <w:sz w:val="18"/>
              </w:rPr>
              <w:t xml:space="preserve">  5  ..........................................................................................................</w:t>
            </w:r>
          </w:p>
        </w:tc>
        <w:tc>
          <w:tcPr>
            <w:tcW w:w="1871" w:type="dxa"/>
            <w:tcBorders>
              <w:top w:val="nil"/>
              <w:bottom w:val="nil"/>
            </w:tcBorders>
          </w:tcPr>
          <w:p>
            <w:pPr>
              <w:pStyle w:val="yTable"/>
              <w:jc w:val="center"/>
              <w:rPr>
                <w:sz w:val="18"/>
              </w:rPr>
            </w:pPr>
            <w:r>
              <w:rPr>
                <w:sz w:val="18"/>
              </w:rPr>
              <w:t>10</w:t>
            </w:r>
          </w:p>
        </w:tc>
      </w:tr>
      <w:tr>
        <w:tc>
          <w:tcPr>
            <w:tcW w:w="5217" w:type="dxa"/>
            <w:tcBorders>
              <w:top w:val="nil"/>
              <w:bottom w:val="nil"/>
            </w:tcBorders>
          </w:tcPr>
          <w:p>
            <w:pPr>
              <w:pStyle w:val="yTable"/>
              <w:rPr>
                <w:sz w:val="18"/>
              </w:rPr>
            </w:pPr>
            <w:r>
              <w:rPr>
                <w:sz w:val="18"/>
              </w:rPr>
              <w:t xml:space="preserve">  2  ..........................................................................................................</w:t>
            </w:r>
          </w:p>
        </w:tc>
        <w:tc>
          <w:tcPr>
            <w:tcW w:w="1871" w:type="dxa"/>
            <w:tcBorders>
              <w:top w:val="nil"/>
              <w:bottom w:val="nil"/>
            </w:tcBorders>
          </w:tcPr>
          <w:p>
            <w:pPr>
              <w:pStyle w:val="yTable"/>
              <w:jc w:val="center"/>
              <w:rPr>
                <w:sz w:val="18"/>
              </w:rPr>
            </w:pPr>
            <w:r>
              <w:rPr>
                <w:sz w:val="18"/>
              </w:rPr>
              <w:t>5</w:t>
            </w:r>
          </w:p>
        </w:tc>
      </w:tr>
      <w:tr>
        <w:tc>
          <w:tcPr>
            <w:tcW w:w="5217" w:type="dxa"/>
            <w:tcBorders>
              <w:top w:val="nil"/>
              <w:bottom w:val="nil"/>
            </w:tcBorders>
          </w:tcPr>
          <w:p>
            <w:pPr>
              <w:pStyle w:val="yTable"/>
              <w:rPr>
                <w:sz w:val="18"/>
              </w:rPr>
            </w:pPr>
            <w:r>
              <w:rPr>
                <w:sz w:val="18"/>
              </w:rPr>
              <w:t xml:space="preserve">  1  ..........................................................................................................</w:t>
            </w:r>
          </w:p>
        </w:tc>
        <w:tc>
          <w:tcPr>
            <w:tcW w:w="1871" w:type="dxa"/>
            <w:tcBorders>
              <w:top w:val="nil"/>
              <w:bottom w:val="nil"/>
            </w:tcBorders>
          </w:tcPr>
          <w:p>
            <w:pPr>
              <w:pStyle w:val="yTable"/>
              <w:jc w:val="center"/>
              <w:rPr>
                <w:sz w:val="18"/>
              </w:rPr>
            </w:pPr>
            <w:r>
              <w:rPr>
                <w:sz w:val="18"/>
              </w:rPr>
              <w:t>2</w:t>
            </w:r>
          </w:p>
        </w:tc>
      </w:tr>
      <w:tr>
        <w:tc>
          <w:tcPr>
            <w:tcW w:w="5217" w:type="dxa"/>
            <w:tcBorders>
              <w:top w:val="nil"/>
              <w:bottom w:val="nil"/>
            </w:tcBorders>
          </w:tcPr>
          <w:p>
            <w:pPr>
              <w:pStyle w:val="yTable"/>
              <w:rPr>
                <w:sz w:val="18"/>
              </w:rPr>
            </w:pPr>
            <w:r>
              <w:rPr>
                <w:sz w:val="18"/>
              </w:rPr>
              <w:t xml:space="preserve">  0.5  .......................................................................................................</w:t>
            </w:r>
          </w:p>
        </w:tc>
        <w:tc>
          <w:tcPr>
            <w:tcW w:w="1871" w:type="dxa"/>
            <w:tcBorders>
              <w:top w:val="nil"/>
              <w:bottom w:val="nil"/>
            </w:tcBorders>
          </w:tcPr>
          <w:p>
            <w:pPr>
              <w:pStyle w:val="yTable"/>
              <w:jc w:val="center"/>
              <w:rPr>
                <w:sz w:val="18"/>
              </w:rPr>
            </w:pPr>
            <w:r>
              <w:rPr>
                <w:sz w:val="18"/>
              </w:rPr>
              <w:t>1</w:t>
            </w:r>
          </w:p>
        </w:tc>
      </w:tr>
      <w:tr>
        <w:tc>
          <w:tcPr>
            <w:tcW w:w="5217" w:type="dxa"/>
            <w:tcBorders>
              <w:top w:val="nil"/>
              <w:bottom w:val="nil"/>
            </w:tcBorders>
          </w:tcPr>
          <w:p>
            <w:pPr>
              <w:pStyle w:val="yTable"/>
              <w:rPr>
                <w:sz w:val="18"/>
              </w:rPr>
            </w:pPr>
            <w:r>
              <w:rPr>
                <w:sz w:val="18"/>
              </w:rPr>
              <w:t xml:space="preserve">  0.2  .......................................................................................................</w:t>
            </w:r>
          </w:p>
        </w:tc>
        <w:tc>
          <w:tcPr>
            <w:tcW w:w="1871" w:type="dxa"/>
            <w:tcBorders>
              <w:top w:val="nil"/>
              <w:bottom w:val="nil"/>
            </w:tcBorders>
          </w:tcPr>
          <w:p>
            <w:pPr>
              <w:pStyle w:val="yTable"/>
              <w:jc w:val="center"/>
              <w:rPr>
                <w:sz w:val="18"/>
              </w:rPr>
            </w:pPr>
            <w:r>
              <w:rPr>
                <w:sz w:val="18"/>
              </w:rPr>
              <w:t>0.5</w:t>
            </w:r>
          </w:p>
        </w:tc>
      </w:tr>
      <w:tr>
        <w:tc>
          <w:tcPr>
            <w:tcW w:w="5217" w:type="dxa"/>
            <w:tcBorders>
              <w:top w:val="nil"/>
              <w:bottom w:val="nil"/>
            </w:tcBorders>
          </w:tcPr>
          <w:p>
            <w:pPr>
              <w:pStyle w:val="yTable"/>
              <w:rPr>
                <w:sz w:val="18"/>
              </w:rPr>
            </w:pPr>
            <w:r>
              <w:rPr>
                <w:sz w:val="18"/>
              </w:rPr>
              <w:t xml:space="preserve">  0.1  .......................................................................................................</w:t>
            </w:r>
          </w:p>
        </w:tc>
        <w:tc>
          <w:tcPr>
            <w:tcW w:w="1871" w:type="dxa"/>
            <w:tcBorders>
              <w:top w:val="nil"/>
              <w:bottom w:val="nil"/>
            </w:tcBorders>
          </w:tcPr>
          <w:p>
            <w:pPr>
              <w:pStyle w:val="yTable"/>
              <w:jc w:val="center"/>
              <w:rPr>
                <w:sz w:val="18"/>
              </w:rPr>
            </w:pPr>
            <w:r>
              <w:rPr>
                <w:sz w:val="18"/>
              </w:rPr>
              <w:t>0.2</w:t>
            </w:r>
          </w:p>
        </w:tc>
      </w:tr>
      <w:tr>
        <w:tc>
          <w:tcPr>
            <w:tcW w:w="5217" w:type="dxa"/>
            <w:tcBorders>
              <w:top w:val="nil"/>
              <w:bottom w:val="nil"/>
            </w:tcBorders>
          </w:tcPr>
          <w:p>
            <w:pPr>
              <w:pStyle w:val="yTable"/>
              <w:rPr>
                <w:sz w:val="18"/>
              </w:rPr>
            </w:pPr>
            <w:r>
              <w:rPr>
                <w:sz w:val="18"/>
              </w:rPr>
              <w:t xml:space="preserve">  0.05  .....................................................................................................</w:t>
            </w:r>
          </w:p>
        </w:tc>
        <w:tc>
          <w:tcPr>
            <w:tcW w:w="1871" w:type="dxa"/>
            <w:tcBorders>
              <w:top w:val="nil"/>
              <w:bottom w:val="nil"/>
            </w:tcBorders>
          </w:tcPr>
          <w:p>
            <w:pPr>
              <w:pStyle w:val="yTable"/>
              <w:jc w:val="center"/>
              <w:rPr>
                <w:sz w:val="18"/>
              </w:rPr>
            </w:pPr>
            <w:r>
              <w:rPr>
                <w:sz w:val="18"/>
              </w:rPr>
              <w:t>0.1</w:t>
            </w:r>
          </w:p>
        </w:tc>
      </w:tr>
      <w:tr>
        <w:tc>
          <w:tcPr>
            <w:tcW w:w="5217" w:type="dxa"/>
            <w:tcBorders>
              <w:top w:val="nil"/>
              <w:bottom w:val="nil"/>
            </w:tcBorders>
          </w:tcPr>
          <w:p>
            <w:pPr>
              <w:pStyle w:val="yTable"/>
              <w:rPr>
                <w:sz w:val="18"/>
              </w:rPr>
            </w:pPr>
            <w:r>
              <w:rPr>
                <w:sz w:val="18"/>
              </w:rPr>
              <w:t xml:space="preserve">  0.02  .....................................................................................................</w:t>
            </w:r>
          </w:p>
        </w:tc>
        <w:tc>
          <w:tcPr>
            <w:tcW w:w="1871" w:type="dxa"/>
            <w:tcBorders>
              <w:top w:val="nil"/>
              <w:bottom w:val="nil"/>
            </w:tcBorders>
          </w:tcPr>
          <w:p>
            <w:pPr>
              <w:pStyle w:val="yTable"/>
              <w:jc w:val="center"/>
              <w:rPr>
                <w:sz w:val="18"/>
              </w:rPr>
            </w:pPr>
            <w:r>
              <w:rPr>
                <w:sz w:val="18"/>
              </w:rPr>
              <w:t>0.05</w:t>
            </w:r>
          </w:p>
        </w:tc>
      </w:tr>
      <w:tr>
        <w:tc>
          <w:tcPr>
            <w:tcW w:w="5217" w:type="dxa"/>
            <w:tcBorders>
              <w:top w:val="nil"/>
              <w:bottom w:val="nil"/>
            </w:tcBorders>
          </w:tcPr>
          <w:p>
            <w:pPr>
              <w:pStyle w:val="yTable"/>
              <w:rPr>
                <w:sz w:val="18"/>
              </w:rPr>
            </w:pPr>
            <w:r>
              <w:rPr>
                <w:sz w:val="18"/>
              </w:rPr>
              <w:t xml:space="preserve">  0.01  .....................................................................................................</w:t>
            </w:r>
          </w:p>
        </w:tc>
        <w:tc>
          <w:tcPr>
            <w:tcW w:w="1871" w:type="dxa"/>
            <w:tcBorders>
              <w:top w:val="nil"/>
              <w:bottom w:val="nil"/>
            </w:tcBorders>
          </w:tcPr>
          <w:p>
            <w:pPr>
              <w:pStyle w:val="yTable"/>
              <w:jc w:val="center"/>
              <w:rPr>
                <w:sz w:val="18"/>
              </w:rPr>
            </w:pPr>
            <w:r>
              <w:rPr>
                <w:sz w:val="18"/>
              </w:rPr>
              <w:t>0.03</w:t>
            </w:r>
          </w:p>
        </w:tc>
      </w:tr>
      <w:tr>
        <w:tc>
          <w:tcPr>
            <w:tcW w:w="5217" w:type="dxa"/>
            <w:tcBorders>
              <w:top w:val="nil"/>
            </w:tcBorders>
          </w:tcPr>
          <w:p>
            <w:pPr>
              <w:pStyle w:val="yTable"/>
              <w:rPr>
                <w:sz w:val="18"/>
              </w:rPr>
            </w:pPr>
            <w:r>
              <w:rPr>
                <w:sz w:val="18"/>
              </w:rPr>
              <w:t xml:space="preserve">  0.005  ...................................................................................................</w:t>
            </w:r>
          </w:p>
        </w:tc>
        <w:tc>
          <w:tcPr>
            <w:tcW w:w="1871" w:type="dxa"/>
            <w:tcBorders>
              <w:top w:val="nil"/>
            </w:tcBorders>
          </w:tcPr>
          <w:p>
            <w:pPr>
              <w:pStyle w:val="yTable"/>
              <w:jc w:val="center"/>
              <w:rPr>
                <w:sz w:val="18"/>
              </w:rPr>
            </w:pPr>
            <w:r>
              <w:rPr>
                <w:sz w:val="18"/>
              </w:rPr>
              <w:t>0.03</w:t>
            </w:r>
          </w:p>
        </w:tc>
      </w:tr>
    </w:tbl>
    <w:p>
      <w:pPr>
        <w:pStyle w:val="yScheduleHeading"/>
      </w:pPr>
      <w:bookmarkStart w:id="237" w:name="_Toc390077262"/>
      <w:r>
        <w:rPr>
          <w:rStyle w:val="CharSchNo"/>
        </w:rPr>
        <w:t>Table IV</w:t>
      </w:r>
      <w:bookmarkEnd w:id="237"/>
    </w:p>
    <w:p>
      <w:pPr>
        <w:pStyle w:val="yMiscellaneousHeading"/>
        <w:spacing w:after="80"/>
        <w:rPr>
          <w:i/>
          <w:snapToGrid w:val="0"/>
        </w:rPr>
      </w:pPr>
      <w:r>
        <w:rPr>
          <w:i/>
          <w:snapToGrid w:val="0"/>
        </w:rPr>
        <w:t>Measures of Length</w:t>
      </w:r>
    </w:p>
    <w:tbl>
      <w:tblPr>
        <w:tblW w:w="0" w:type="auto"/>
        <w:tblInd w:w="283" w:type="dxa"/>
        <w:tblLayout w:type="fixed"/>
        <w:tblCellMar>
          <w:left w:w="85" w:type="dxa"/>
          <w:right w:w="85" w:type="dxa"/>
        </w:tblCellMar>
        <w:tblLook w:val="0000" w:firstRow="0" w:lastRow="0" w:firstColumn="0" w:lastColumn="0" w:noHBand="0" w:noVBand="0"/>
      </w:tblPr>
      <w:tblGrid>
        <w:gridCol w:w="1181"/>
        <w:gridCol w:w="322"/>
        <w:gridCol w:w="2268"/>
        <w:gridCol w:w="1560"/>
        <w:gridCol w:w="1559"/>
      </w:tblGrid>
      <w:tr>
        <w:trPr>
          <w:cantSplit/>
        </w:trPr>
        <w:tc>
          <w:tcPr>
            <w:tcW w:w="3771" w:type="dxa"/>
            <w:gridSpan w:val="3"/>
            <w:vMerge w:val="restart"/>
            <w:tcBorders>
              <w:top w:val="single" w:sz="4" w:space="0" w:color="auto"/>
              <w:bottom w:val="single" w:sz="4" w:space="0" w:color="auto"/>
              <w:right w:val="single" w:sz="4" w:space="0" w:color="auto"/>
            </w:tcBorders>
          </w:tcPr>
          <w:p>
            <w:pPr>
              <w:pStyle w:val="yTable"/>
              <w:jc w:val="center"/>
              <w:rPr>
                <w:b/>
                <w:sz w:val="18"/>
              </w:rPr>
            </w:pPr>
            <w:r>
              <w:rPr>
                <w:b/>
                <w:sz w:val="18"/>
              </w:rPr>
              <w:t>Denomination</w:t>
            </w:r>
          </w:p>
        </w:tc>
        <w:tc>
          <w:tcPr>
            <w:tcW w:w="3119" w:type="dxa"/>
            <w:gridSpan w:val="2"/>
            <w:tcBorders>
              <w:top w:val="single" w:sz="4" w:space="0" w:color="auto"/>
              <w:left w:val="single" w:sz="4" w:space="0" w:color="auto"/>
              <w:bottom w:val="single" w:sz="4" w:space="0" w:color="auto"/>
            </w:tcBorders>
          </w:tcPr>
          <w:p>
            <w:pPr>
              <w:pStyle w:val="yTable"/>
              <w:jc w:val="center"/>
              <w:rPr>
                <w:b/>
                <w:sz w:val="18"/>
              </w:rPr>
            </w:pPr>
            <w:r>
              <w:rPr>
                <w:b/>
                <w:sz w:val="18"/>
              </w:rPr>
              <w:t>Error in Parts of an Inch.</w:t>
            </w:r>
          </w:p>
        </w:tc>
      </w:tr>
      <w:tr>
        <w:trPr>
          <w:cantSplit/>
        </w:trPr>
        <w:tc>
          <w:tcPr>
            <w:tcW w:w="3771" w:type="dxa"/>
            <w:gridSpan w:val="3"/>
            <w:vMerge/>
            <w:tcBorders>
              <w:top w:val="single" w:sz="4" w:space="0" w:color="auto"/>
              <w:right w:val="single" w:sz="4" w:space="0" w:color="auto"/>
            </w:tcBorders>
          </w:tcPr>
          <w:p>
            <w:pPr>
              <w:pStyle w:val="yTable"/>
              <w:rPr>
                <w:b/>
                <w:sz w:val="18"/>
              </w:rPr>
            </w:pPr>
          </w:p>
        </w:tc>
        <w:tc>
          <w:tcPr>
            <w:tcW w:w="1560" w:type="dxa"/>
            <w:tcBorders>
              <w:top w:val="single" w:sz="4" w:space="0" w:color="auto"/>
              <w:left w:val="single" w:sz="4" w:space="0" w:color="auto"/>
              <w:right w:val="single" w:sz="4" w:space="0" w:color="auto"/>
            </w:tcBorders>
          </w:tcPr>
          <w:p>
            <w:pPr>
              <w:pStyle w:val="yTable"/>
              <w:jc w:val="center"/>
              <w:rPr>
                <w:b/>
                <w:sz w:val="18"/>
              </w:rPr>
            </w:pPr>
            <w:r>
              <w:rPr>
                <w:b/>
                <w:sz w:val="18"/>
              </w:rPr>
              <w:t>Long, or in Excess</w:t>
            </w:r>
          </w:p>
        </w:tc>
        <w:tc>
          <w:tcPr>
            <w:tcW w:w="1559" w:type="dxa"/>
            <w:tcBorders>
              <w:top w:val="single" w:sz="4" w:space="0" w:color="auto"/>
              <w:left w:val="single" w:sz="4" w:space="0" w:color="auto"/>
            </w:tcBorders>
          </w:tcPr>
          <w:p>
            <w:pPr>
              <w:pStyle w:val="yTable"/>
              <w:jc w:val="center"/>
              <w:rPr>
                <w:b/>
                <w:sz w:val="18"/>
              </w:rPr>
            </w:pPr>
            <w:r>
              <w:rPr>
                <w:b/>
                <w:sz w:val="18"/>
              </w:rPr>
              <w:t>Short, or in Deficiency</w:t>
            </w:r>
          </w:p>
        </w:tc>
      </w:tr>
      <w:tr>
        <w:trPr>
          <w:cantSplit/>
        </w:trPr>
        <w:tc>
          <w:tcPr>
            <w:tcW w:w="3771" w:type="dxa"/>
            <w:gridSpan w:val="3"/>
            <w:tcBorders>
              <w:top w:val="single" w:sz="4" w:space="0" w:color="auto"/>
              <w:right w:val="single" w:sz="4" w:space="0" w:color="auto"/>
            </w:tcBorders>
          </w:tcPr>
          <w:p>
            <w:pPr>
              <w:pStyle w:val="yTable"/>
              <w:rPr>
                <w:sz w:val="18"/>
              </w:rPr>
            </w:pPr>
            <w:r>
              <w:rPr>
                <w:sz w:val="18"/>
              </w:rPr>
              <w:t>10 feet and upwards ..............................................</w:t>
            </w:r>
          </w:p>
        </w:tc>
        <w:tc>
          <w:tcPr>
            <w:tcW w:w="1560" w:type="dxa"/>
            <w:tcBorders>
              <w:top w:val="single" w:sz="4" w:space="0" w:color="auto"/>
              <w:left w:val="single" w:sz="4" w:space="0" w:color="auto"/>
              <w:right w:val="single" w:sz="4" w:space="0" w:color="auto"/>
            </w:tcBorders>
          </w:tcPr>
          <w:p>
            <w:pPr>
              <w:pStyle w:val="yTable"/>
              <w:jc w:val="center"/>
              <w:rPr>
                <w:sz w:val="18"/>
              </w:rPr>
            </w:pPr>
            <w:r>
              <w:rPr>
                <w:sz w:val="18"/>
              </w:rPr>
              <w:t>0.2</w:t>
            </w:r>
          </w:p>
        </w:tc>
        <w:tc>
          <w:tcPr>
            <w:tcW w:w="1559" w:type="dxa"/>
            <w:tcBorders>
              <w:top w:val="single" w:sz="4" w:space="0" w:color="auto"/>
              <w:left w:val="single" w:sz="4" w:space="0" w:color="auto"/>
            </w:tcBorders>
          </w:tcPr>
          <w:p>
            <w:pPr>
              <w:pStyle w:val="yTable"/>
              <w:jc w:val="center"/>
              <w:rPr>
                <w:sz w:val="18"/>
              </w:rPr>
            </w:pPr>
            <w:r>
              <w:rPr>
                <w:sz w:val="18"/>
              </w:rPr>
              <w:t>0.1</w:t>
            </w:r>
          </w:p>
        </w:tc>
      </w:tr>
      <w:tr>
        <w:trPr>
          <w:cantSplit/>
        </w:trPr>
        <w:tc>
          <w:tcPr>
            <w:tcW w:w="3771" w:type="dxa"/>
            <w:gridSpan w:val="3"/>
            <w:tcBorders>
              <w:right w:val="single" w:sz="4" w:space="0" w:color="auto"/>
            </w:tcBorders>
          </w:tcPr>
          <w:p>
            <w:pPr>
              <w:pStyle w:val="yTable"/>
              <w:rPr>
                <w:sz w:val="18"/>
              </w:rPr>
            </w:pPr>
            <w:r>
              <w:rPr>
                <w:sz w:val="18"/>
              </w:rPr>
              <w:t>Under 10 feet and over 3 feet ................................</w:t>
            </w:r>
          </w:p>
        </w:tc>
        <w:tc>
          <w:tcPr>
            <w:tcW w:w="1560" w:type="dxa"/>
            <w:tcBorders>
              <w:left w:val="single" w:sz="4" w:space="0" w:color="auto"/>
              <w:right w:val="single" w:sz="4" w:space="0" w:color="auto"/>
            </w:tcBorders>
          </w:tcPr>
          <w:p>
            <w:pPr>
              <w:pStyle w:val="yTable"/>
              <w:jc w:val="center"/>
              <w:rPr>
                <w:sz w:val="18"/>
              </w:rPr>
            </w:pPr>
            <w:r>
              <w:rPr>
                <w:sz w:val="18"/>
              </w:rPr>
              <w:t>0.05</w:t>
            </w:r>
          </w:p>
        </w:tc>
        <w:tc>
          <w:tcPr>
            <w:tcW w:w="1559" w:type="dxa"/>
            <w:tcBorders>
              <w:left w:val="single" w:sz="4" w:space="0" w:color="auto"/>
            </w:tcBorders>
          </w:tcPr>
          <w:p>
            <w:pPr>
              <w:pStyle w:val="yTable"/>
              <w:jc w:val="center"/>
              <w:rPr>
                <w:sz w:val="18"/>
              </w:rPr>
            </w:pPr>
            <w:r>
              <w:rPr>
                <w:sz w:val="18"/>
              </w:rPr>
              <w:t>0.025</w:t>
            </w:r>
          </w:p>
        </w:tc>
      </w:tr>
      <w:tr>
        <w:trPr>
          <w:cantSplit/>
        </w:trPr>
        <w:tc>
          <w:tcPr>
            <w:tcW w:w="1181" w:type="dxa"/>
          </w:tcPr>
          <w:p>
            <w:pPr>
              <w:pStyle w:val="yTable"/>
              <w:rPr>
                <w:sz w:val="18"/>
              </w:rPr>
            </w:pPr>
            <w:r>
              <w:rPr>
                <w:sz w:val="18"/>
              </w:rPr>
              <w:t>1 yard</w:t>
            </w:r>
          </w:p>
          <w:p>
            <w:pPr>
              <w:pStyle w:val="yTable"/>
              <w:rPr>
                <w:sz w:val="18"/>
              </w:rPr>
            </w:pPr>
            <w:r>
              <w:rPr>
                <w:sz w:val="18"/>
              </w:rPr>
              <w:t>2 feet</w:t>
            </w:r>
          </w:p>
          <w:p>
            <w:pPr>
              <w:pStyle w:val="yTable"/>
              <w:rPr>
                <w:sz w:val="18"/>
              </w:rPr>
            </w:pPr>
            <w:r>
              <w:rPr>
                <w:sz w:val="18"/>
              </w:rPr>
              <w:t>1 foot</w:t>
            </w:r>
          </w:p>
        </w:tc>
        <w:tc>
          <w:tcPr>
            <w:tcW w:w="322" w:type="dxa"/>
          </w:tcPr>
          <w:p>
            <w:pPr>
              <w:pStyle w:val="yTable"/>
              <w:rPr>
                <w:sz w:val="18"/>
              </w:rPr>
            </w:pPr>
            <w:r>
              <w:rPr>
                <w:noProof/>
                <w:sz w:val="18"/>
              </w:rPr>
              <w:drawing>
                <wp:inline distT="0" distB="0" distL="0" distR="0">
                  <wp:extent cx="118745" cy="4514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8745" cy="451485"/>
                          </a:xfrm>
                          <a:prstGeom prst="rect">
                            <a:avLst/>
                          </a:prstGeom>
                          <a:noFill/>
                          <a:ln>
                            <a:noFill/>
                          </a:ln>
                        </pic:spPr>
                      </pic:pic>
                    </a:graphicData>
                  </a:graphic>
                </wp:inline>
              </w:drawing>
            </w:r>
          </w:p>
        </w:tc>
        <w:tc>
          <w:tcPr>
            <w:tcW w:w="2268" w:type="dxa"/>
            <w:tcBorders>
              <w:right w:val="single" w:sz="4" w:space="0" w:color="auto"/>
            </w:tcBorders>
            <w:vAlign w:val="center"/>
          </w:tcPr>
          <w:p>
            <w:pPr>
              <w:pStyle w:val="yTable"/>
              <w:rPr>
                <w:sz w:val="18"/>
              </w:rPr>
            </w:pPr>
            <w:r>
              <w:rPr>
                <w:sz w:val="18"/>
              </w:rPr>
              <w:t>..............................................</w:t>
            </w:r>
          </w:p>
        </w:tc>
        <w:tc>
          <w:tcPr>
            <w:tcW w:w="1560" w:type="dxa"/>
            <w:tcBorders>
              <w:left w:val="single" w:sz="4" w:space="0" w:color="auto"/>
              <w:right w:val="single" w:sz="4" w:space="0" w:color="auto"/>
            </w:tcBorders>
            <w:vAlign w:val="center"/>
          </w:tcPr>
          <w:p>
            <w:pPr>
              <w:pStyle w:val="yTable"/>
              <w:jc w:val="center"/>
              <w:rPr>
                <w:sz w:val="18"/>
              </w:rPr>
            </w:pPr>
            <w:r>
              <w:rPr>
                <w:sz w:val="18"/>
              </w:rPr>
              <w:t>0.03</w:t>
            </w:r>
          </w:p>
        </w:tc>
        <w:tc>
          <w:tcPr>
            <w:tcW w:w="1559" w:type="dxa"/>
            <w:tcBorders>
              <w:left w:val="single" w:sz="4" w:space="0" w:color="auto"/>
            </w:tcBorders>
            <w:vAlign w:val="center"/>
          </w:tcPr>
          <w:p>
            <w:pPr>
              <w:pStyle w:val="yTable"/>
              <w:jc w:val="center"/>
              <w:rPr>
                <w:sz w:val="18"/>
              </w:rPr>
            </w:pPr>
            <w:r>
              <w:rPr>
                <w:sz w:val="18"/>
              </w:rPr>
              <w:t>0.015</w:t>
            </w:r>
          </w:p>
        </w:tc>
      </w:tr>
      <w:tr>
        <w:trPr>
          <w:cantSplit/>
        </w:trPr>
        <w:tc>
          <w:tcPr>
            <w:tcW w:w="3771" w:type="dxa"/>
            <w:gridSpan w:val="3"/>
            <w:tcBorders>
              <w:bottom w:val="single" w:sz="4" w:space="0" w:color="auto"/>
              <w:right w:val="single" w:sz="4" w:space="0" w:color="auto"/>
            </w:tcBorders>
          </w:tcPr>
          <w:p>
            <w:pPr>
              <w:pStyle w:val="yTable"/>
              <w:rPr>
                <w:sz w:val="18"/>
              </w:rPr>
            </w:pPr>
            <w:r>
              <w:rPr>
                <w:sz w:val="18"/>
              </w:rPr>
              <w:t>1 inch .....................................................................</w:t>
            </w:r>
          </w:p>
        </w:tc>
        <w:tc>
          <w:tcPr>
            <w:tcW w:w="1560" w:type="dxa"/>
            <w:tcBorders>
              <w:left w:val="single" w:sz="4" w:space="0" w:color="auto"/>
              <w:bottom w:val="single" w:sz="4" w:space="0" w:color="auto"/>
              <w:right w:val="single" w:sz="4" w:space="0" w:color="auto"/>
            </w:tcBorders>
          </w:tcPr>
          <w:p>
            <w:pPr>
              <w:pStyle w:val="yTable"/>
              <w:jc w:val="center"/>
              <w:rPr>
                <w:sz w:val="18"/>
              </w:rPr>
            </w:pPr>
            <w:r>
              <w:rPr>
                <w:sz w:val="18"/>
              </w:rPr>
              <w:t>0.01</w:t>
            </w:r>
          </w:p>
        </w:tc>
        <w:tc>
          <w:tcPr>
            <w:tcW w:w="1559" w:type="dxa"/>
            <w:tcBorders>
              <w:left w:val="single" w:sz="4" w:space="0" w:color="auto"/>
              <w:bottom w:val="single" w:sz="4" w:space="0" w:color="auto"/>
            </w:tcBorders>
          </w:tcPr>
          <w:p>
            <w:pPr>
              <w:pStyle w:val="yTable"/>
              <w:jc w:val="center"/>
              <w:rPr>
                <w:sz w:val="18"/>
              </w:rPr>
            </w:pPr>
            <w:r>
              <w:rPr>
                <w:sz w:val="18"/>
              </w:rPr>
              <w:t>0.01</w:t>
            </w:r>
          </w:p>
        </w:tc>
      </w:tr>
    </w:tbl>
    <w:p>
      <w:pPr>
        <w:pStyle w:val="yScheduleHeading"/>
      </w:pPr>
      <w:bookmarkStart w:id="238" w:name="_Toc390077263"/>
      <w:r>
        <w:rPr>
          <w:rStyle w:val="CharSchNo"/>
        </w:rPr>
        <w:t>Table V</w:t>
      </w:r>
      <w:bookmarkEnd w:id="238"/>
    </w:p>
    <w:p>
      <w:pPr>
        <w:pStyle w:val="MiscellaneousHeading"/>
        <w:rPr>
          <w:snapToGrid w:val="0"/>
        </w:rPr>
      </w:pPr>
      <w:r>
        <w:rPr>
          <w:snapToGrid w:val="0"/>
        </w:rPr>
        <w:t>MEASURES OF CAPACITY</w:t>
      </w:r>
    </w:p>
    <w:p>
      <w:pPr>
        <w:pStyle w:val="yMiscellaneousHeading"/>
        <w:rPr>
          <w:i/>
          <w:snapToGrid w:val="0"/>
        </w:rPr>
      </w:pPr>
      <w:r>
        <w:rPr>
          <w:i/>
          <w:snapToGrid w:val="0"/>
        </w:rPr>
        <w:t>Liquid Measures</w:t>
      </w:r>
    </w:p>
    <w:p>
      <w:pPr>
        <w:pStyle w:val="yMiscellaneousHeading"/>
        <w:spacing w:after="80"/>
        <w:rPr>
          <w:i/>
          <w:snapToGrid w:val="0"/>
        </w:rPr>
      </w:pPr>
      <w:r>
        <w:rPr>
          <w:i/>
          <w:snapToGrid w:val="0"/>
        </w:rPr>
        <w:t>Cylindrical Shape</w:t>
      </w:r>
    </w:p>
    <w:tbl>
      <w:tblPr>
        <w:tblW w:w="0" w:type="auto"/>
        <w:tblInd w:w="113" w:type="dxa"/>
        <w:tblLayout w:type="fixed"/>
        <w:tblCellMar>
          <w:left w:w="85" w:type="dxa"/>
          <w:right w:w="85" w:type="dxa"/>
        </w:tblCellMar>
        <w:tblLook w:val="0000" w:firstRow="0" w:lastRow="0" w:firstColumn="0" w:lastColumn="0" w:noHBand="0" w:noVBand="0"/>
      </w:tblPr>
      <w:tblGrid>
        <w:gridCol w:w="5216"/>
        <w:gridCol w:w="1871"/>
      </w:tblGrid>
      <w:tr>
        <w:tc>
          <w:tcPr>
            <w:tcW w:w="5216" w:type="dxa"/>
            <w:tcBorders>
              <w:top w:val="single" w:sz="4" w:space="0" w:color="auto"/>
              <w:right w:val="single" w:sz="4" w:space="0" w:color="auto"/>
            </w:tcBorders>
          </w:tcPr>
          <w:p>
            <w:pPr>
              <w:pStyle w:val="yTable"/>
              <w:jc w:val="center"/>
              <w:rPr>
                <w:b/>
                <w:sz w:val="18"/>
              </w:rPr>
            </w:pPr>
            <w:r>
              <w:rPr>
                <w:b/>
                <w:sz w:val="18"/>
              </w:rPr>
              <w:t>Denomination</w:t>
            </w:r>
          </w:p>
        </w:tc>
        <w:tc>
          <w:tcPr>
            <w:tcW w:w="1871" w:type="dxa"/>
            <w:tcBorders>
              <w:top w:val="single" w:sz="4" w:space="0" w:color="auto"/>
              <w:left w:val="single" w:sz="4" w:space="0" w:color="auto"/>
            </w:tcBorders>
          </w:tcPr>
          <w:p>
            <w:pPr>
              <w:pStyle w:val="yTable"/>
              <w:jc w:val="center"/>
              <w:rPr>
                <w:b/>
                <w:sz w:val="18"/>
              </w:rPr>
            </w:pPr>
            <w:r>
              <w:rPr>
                <w:b/>
                <w:sz w:val="18"/>
              </w:rPr>
              <w:t>Error in Excess only</w:t>
            </w:r>
          </w:p>
        </w:tc>
      </w:tr>
      <w:tr>
        <w:tc>
          <w:tcPr>
            <w:tcW w:w="5216" w:type="dxa"/>
            <w:tcBorders>
              <w:top w:val="single" w:sz="4" w:space="0" w:color="auto"/>
              <w:right w:val="single" w:sz="4" w:space="0" w:color="auto"/>
            </w:tcBorders>
          </w:tcPr>
          <w:p>
            <w:pPr>
              <w:pStyle w:val="yTable"/>
              <w:rPr>
                <w:sz w:val="18"/>
              </w:rPr>
            </w:pPr>
            <w:r>
              <w:rPr>
                <w:sz w:val="18"/>
              </w:rPr>
              <w:t>32 gallons to 20 gallons ........................................................................</w:t>
            </w:r>
          </w:p>
        </w:tc>
        <w:tc>
          <w:tcPr>
            <w:tcW w:w="1871" w:type="dxa"/>
            <w:tcBorders>
              <w:top w:val="single" w:sz="4" w:space="0" w:color="auto"/>
              <w:left w:val="single" w:sz="4" w:space="0" w:color="auto"/>
            </w:tcBorders>
          </w:tcPr>
          <w:p>
            <w:pPr>
              <w:pStyle w:val="yTable"/>
              <w:jc w:val="center"/>
              <w:rPr>
                <w:sz w:val="18"/>
              </w:rPr>
            </w:pPr>
            <w:r>
              <w:rPr>
                <w:sz w:val="18"/>
              </w:rPr>
              <w:t>10 fluid ounces</w:t>
            </w:r>
          </w:p>
        </w:tc>
      </w:tr>
      <w:tr>
        <w:tc>
          <w:tcPr>
            <w:tcW w:w="5216" w:type="dxa"/>
            <w:tcBorders>
              <w:right w:val="single" w:sz="4" w:space="0" w:color="auto"/>
            </w:tcBorders>
          </w:tcPr>
          <w:p>
            <w:pPr>
              <w:pStyle w:val="yTable"/>
              <w:rPr>
                <w:sz w:val="18"/>
              </w:rPr>
            </w:pPr>
            <w:r>
              <w:rPr>
                <w:sz w:val="18"/>
              </w:rPr>
              <w:t>Under 20 gallons to 8 gallons ...............................................................</w:t>
            </w:r>
          </w:p>
        </w:tc>
        <w:tc>
          <w:tcPr>
            <w:tcW w:w="1871" w:type="dxa"/>
            <w:tcBorders>
              <w:left w:val="single" w:sz="4" w:space="0" w:color="auto"/>
            </w:tcBorders>
          </w:tcPr>
          <w:p>
            <w:pPr>
              <w:pStyle w:val="yTable"/>
              <w:jc w:val="center"/>
              <w:rPr>
                <w:sz w:val="18"/>
              </w:rPr>
            </w:pPr>
            <w:r>
              <w:rPr>
                <w:sz w:val="18"/>
              </w:rPr>
              <w:t>5 fluid ounces</w:t>
            </w:r>
          </w:p>
        </w:tc>
      </w:tr>
      <w:tr>
        <w:tc>
          <w:tcPr>
            <w:tcW w:w="5216" w:type="dxa"/>
            <w:tcBorders>
              <w:right w:val="single" w:sz="4" w:space="0" w:color="auto"/>
            </w:tcBorders>
          </w:tcPr>
          <w:p>
            <w:pPr>
              <w:pStyle w:val="yTable"/>
              <w:rPr>
                <w:sz w:val="18"/>
              </w:rPr>
            </w:pPr>
            <w:r>
              <w:rPr>
                <w:sz w:val="18"/>
              </w:rPr>
              <w:t>Under 8 gallons to 4 gallons .................................................................</w:t>
            </w:r>
          </w:p>
        </w:tc>
        <w:tc>
          <w:tcPr>
            <w:tcW w:w="1871" w:type="dxa"/>
            <w:tcBorders>
              <w:left w:val="single" w:sz="4" w:space="0" w:color="auto"/>
            </w:tcBorders>
          </w:tcPr>
          <w:p>
            <w:pPr>
              <w:pStyle w:val="yTable"/>
              <w:jc w:val="center"/>
              <w:rPr>
                <w:sz w:val="18"/>
              </w:rPr>
            </w:pPr>
            <w:r>
              <w:rPr>
                <w:sz w:val="18"/>
              </w:rPr>
              <w:t>3 fluid ounces</w:t>
            </w:r>
          </w:p>
        </w:tc>
      </w:tr>
      <w:tr>
        <w:tc>
          <w:tcPr>
            <w:tcW w:w="5216" w:type="dxa"/>
            <w:tcBorders>
              <w:right w:val="single" w:sz="4" w:space="0" w:color="auto"/>
            </w:tcBorders>
          </w:tcPr>
          <w:p>
            <w:pPr>
              <w:pStyle w:val="yTable"/>
              <w:rPr>
                <w:sz w:val="18"/>
              </w:rPr>
            </w:pPr>
            <w:r>
              <w:rPr>
                <w:sz w:val="18"/>
              </w:rPr>
              <w:t>3 and 2 gallons  .....................................................................................</w:t>
            </w:r>
          </w:p>
        </w:tc>
        <w:tc>
          <w:tcPr>
            <w:tcW w:w="1871" w:type="dxa"/>
            <w:tcBorders>
              <w:left w:val="single" w:sz="4" w:space="0" w:color="auto"/>
            </w:tcBorders>
          </w:tcPr>
          <w:p>
            <w:pPr>
              <w:pStyle w:val="yTable"/>
              <w:jc w:val="center"/>
              <w:rPr>
                <w:sz w:val="18"/>
              </w:rPr>
            </w:pPr>
            <w:r>
              <w:rPr>
                <w:sz w:val="18"/>
              </w:rPr>
              <w:t>2 fluid ounces</w:t>
            </w:r>
          </w:p>
        </w:tc>
      </w:tr>
      <w:tr>
        <w:tc>
          <w:tcPr>
            <w:tcW w:w="5216" w:type="dxa"/>
            <w:tcBorders>
              <w:right w:val="single" w:sz="4" w:space="0" w:color="auto"/>
            </w:tcBorders>
          </w:tcPr>
          <w:p>
            <w:pPr>
              <w:pStyle w:val="yTable"/>
              <w:rPr>
                <w:sz w:val="18"/>
              </w:rPr>
            </w:pPr>
            <w:r>
              <w:rPr>
                <w:sz w:val="18"/>
              </w:rPr>
              <w:t>1 gallon and ½</w:t>
            </w:r>
            <w:r>
              <w:rPr>
                <w:sz w:val="18"/>
              </w:rPr>
              <w:noBreakHyphen/>
              <w:t>gallon ............................................................................</w:t>
            </w:r>
          </w:p>
        </w:tc>
        <w:tc>
          <w:tcPr>
            <w:tcW w:w="1871" w:type="dxa"/>
            <w:tcBorders>
              <w:left w:val="single" w:sz="4" w:space="0" w:color="auto"/>
            </w:tcBorders>
          </w:tcPr>
          <w:p>
            <w:pPr>
              <w:pStyle w:val="yTable"/>
              <w:jc w:val="center"/>
              <w:rPr>
                <w:sz w:val="18"/>
              </w:rPr>
            </w:pPr>
            <w:r>
              <w:rPr>
                <w:sz w:val="18"/>
              </w:rPr>
              <w:t>1 fluid ounces</w:t>
            </w:r>
          </w:p>
        </w:tc>
      </w:tr>
      <w:tr>
        <w:tc>
          <w:tcPr>
            <w:tcW w:w="5216" w:type="dxa"/>
            <w:tcBorders>
              <w:right w:val="single" w:sz="4" w:space="0" w:color="auto"/>
            </w:tcBorders>
          </w:tcPr>
          <w:p>
            <w:pPr>
              <w:pStyle w:val="yTable"/>
              <w:rPr>
                <w:sz w:val="18"/>
              </w:rPr>
            </w:pPr>
            <w:r>
              <w:rPr>
                <w:sz w:val="18"/>
              </w:rPr>
              <w:t>Quart and pint ........................................................................................</w:t>
            </w:r>
          </w:p>
        </w:tc>
        <w:tc>
          <w:tcPr>
            <w:tcW w:w="1871" w:type="dxa"/>
            <w:tcBorders>
              <w:left w:val="single" w:sz="4" w:space="0" w:color="auto"/>
            </w:tcBorders>
          </w:tcPr>
          <w:p>
            <w:pPr>
              <w:pStyle w:val="yTable"/>
              <w:jc w:val="center"/>
              <w:rPr>
                <w:sz w:val="18"/>
              </w:rPr>
            </w:pPr>
            <w:r>
              <w:rPr>
                <w:sz w:val="18"/>
              </w:rPr>
              <w:t>4 fluid drachms</w:t>
            </w:r>
          </w:p>
        </w:tc>
      </w:tr>
      <w:tr>
        <w:tc>
          <w:tcPr>
            <w:tcW w:w="5216" w:type="dxa"/>
            <w:tcBorders>
              <w:right w:val="single" w:sz="4" w:space="0" w:color="auto"/>
            </w:tcBorders>
          </w:tcPr>
          <w:p>
            <w:pPr>
              <w:pStyle w:val="yTable"/>
              <w:rPr>
                <w:sz w:val="18"/>
              </w:rPr>
            </w:pPr>
            <w:r>
              <w:rPr>
                <w:sz w:val="18"/>
              </w:rPr>
              <w:t>Half</w:t>
            </w:r>
            <w:r>
              <w:rPr>
                <w:sz w:val="18"/>
              </w:rPr>
              <w:noBreakHyphen/>
              <w:t>pint ................................................................................................</w:t>
            </w:r>
          </w:p>
        </w:tc>
        <w:tc>
          <w:tcPr>
            <w:tcW w:w="1871" w:type="dxa"/>
            <w:tcBorders>
              <w:left w:val="single" w:sz="4" w:space="0" w:color="auto"/>
            </w:tcBorders>
          </w:tcPr>
          <w:p>
            <w:pPr>
              <w:pStyle w:val="yTable"/>
              <w:jc w:val="center"/>
              <w:rPr>
                <w:sz w:val="18"/>
              </w:rPr>
            </w:pPr>
            <w:r>
              <w:rPr>
                <w:sz w:val="18"/>
              </w:rPr>
              <w:t>3 fluid drachms</w:t>
            </w:r>
          </w:p>
        </w:tc>
      </w:tr>
      <w:tr>
        <w:tc>
          <w:tcPr>
            <w:tcW w:w="5216" w:type="dxa"/>
            <w:tcBorders>
              <w:right w:val="single" w:sz="4" w:space="0" w:color="auto"/>
            </w:tcBorders>
          </w:tcPr>
          <w:p>
            <w:pPr>
              <w:pStyle w:val="yTable"/>
              <w:rPr>
                <w:sz w:val="18"/>
              </w:rPr>
            </w:pPr>
            <w:r>
              <w:rPr>
                <w:sz w:val="18"/>
              </w:rPr>
              <w:t>Gill  .......................................................................................................</w:t>
            </w:r>
          </w:p>
        </w:tc>
        <w:tc>
          <w:tcPr>
            <w:tcW w:w="1871" w:type="dxa"/>
            <w:tcBorders>
              <w:left w:val="single" w:sz="4" w:space="0" w:color="auto"/>
            </w:tcBorders>
          </w:tcPr>
          <w:p>
            <w:pPr>
              <w:pStyle w:val="yTable"/>
              <w:jc w:val="center"/>
              <w:rPr>
                <w:sz w:val="18"/>
              </w:rPr>
            </w:pPr>
            <w:r>
              <w:rPr>
                <w:sz w:val="18"/>
              </w:rPr>
              <w:t>2 fluid drachms</w:t>
            </w:r>
          </w:p>
        </w:tc>
      </w:tr>
      <w:tr>
        <w:tc>
          <w:tcPr>
            <w:tcW w:w="5216" w:type="dxa"/>
            <w:tcBorders>
              <w:right w:val="single" w:sz="4" w:space="0" w:color="auto"/>
            </w:tcBorders>
          </w:tcPr>
          <w:p>
            <w:pPr>
              <w:pStyle w:val="yTable"/>
              <w:rPr>
                <w:sz w:val="18"/>
              </w:rPr>
            </w:pPr>
            <w:r>
              <w:rPr>
                <w:sz w:val="18"/>
              </w:rPr>
              <w:t>Half</w:t>
            </w:r>
            <w:r>
              <w:rPr>
                <w:sz w:val="18"/>
              </w:rPr>
              <w:noBreakHyphen/>
              <w:t>gill  ................................................................................................</w:t>
            </w:r>
          </w:p>
        </w:tc>
        <w:tc>
          <w:tcPr>
            <w:tcW w:w="1871" w:type="dxa"/>
            <w:tcBorders>
              <w:left w:val="single" w:sz="4" w:space="0" w:color="auto"/>
            </w:tcBorders>
          </w:tcPr>
          <w:p>
            <w:pPr>
              <w:pStyle w:val="yTable"/>
              <w:jc w:val="center"/>
              <w:rPr>
                <w:sz w:val="18"/>
              </w:rPr>
            </w:pPr>
            <w:r>
              <w:rPr>
                <w:sz w:val="18"/>
              </w:rPr>
              <w:t>1 fluid drachm</w:t>
            </w:r>
          </w:p>
        </w:tc>
      </w:tr>
      <w:tr>
        <w:tc>
          <w:tcPr>
            <w:tcW w:w="5216" w:type="dxa"/>
            <w:tcBorders>
              <w:bottom w:val="single" w:sz="4" w:space="0" w:color="auto"/>
              <w:right w:val="single" w:sz="4" w:space="0" w:color="auto"/>
            </w:tcBorders>
          </w:tcPr>
          <w:p>
            <w:pPr>
              <w:pStyle w:val="yTable"/>
              <w:rPr>
                <w:sz w:val="18"/>
              </w:rPr>
            </w:pPr>
            <w:r>
              <w:rPr>
                <w:sz w:val="18"/>
              </w:rPr>
              <w:t>Quarter</w:t>
            </w:r>
            <w:r>
              <w:rPr>
                <w:sz w:val="18"/>
              </w:rPr>
              <w:noBreakHyphen/>
              <w:t>gill ............................................................................................</w:t>
            </w:r>
          </w:p>
        </w:tc>
        <w:tc>
          <w:tcPr>
            <w:tcW w:w="1871" w:type="dxa"/>
            <w:tcBorders>
              <w:left w:val="single" w:sz="4" w:space="0" w:color="auto"/>
              <w:bottom w:val="single" w:sz="4" w:space="0" w:color="auto"/>
            </w:tcBorders>
          </w:tcPr>
          <w:p>
            <w:pPr>
              <w:pStyle w:val="yTable"/>
              <w:jc w:val="center"/>
              <w:rPr>
                <w:sz w:val="18"/>
              </w:rPr>
            </w:pPr>
            <w:r>
              <w:rPr>
                <w:sz w:val="18"/>
              </w:rPr>
              <w:t>½ fluid drachm</w:t>
            </w:r>
          </w:p>
        </w:tc>
      </w:tr>
    </w:tbl>
    <w:p>
      <w:pPr>
        <w:pStyle w:val="yMiscellaneousBody"/>
        <w:tabs>
          <w:tab w:val="left" w:pos="284"/>
        </w:tabs>
        <w:spacing w:before="80"/>
        <w:rPr>
          <w:snapToGrid w:val="0"/>
          <w:sz w:val="18"/>
        </w:rPr>
      </w:pPr>
      <w:r>
        <w:rPr>
          <w:snapToGrid w:val="0"/>
          <w:sz w:val="18"/>
        </w:rPr>
        <w:tab/>
        <w:t>On conical metal measures only one</w:t>
      </w:r>
      <w:r>
        <w:rPr>
          <w:snapToGrid w:val="0"/>
          <w:sz w:val="18"/>
        </w:rPr>
        <w:noBreakHyphen/>
        <w:t>half the above amount of error shall be allowed.</w:t>
      </w:r>
    </w:p>
    <w:p>
      <w:pPr>
        <w:pStyle w:val="yMiscellaneousBody"/>
        <w:tabs>
          <w:tab w:val="left" w:pos="284"/>
        </w:tabs>
        <w:spacing w:before="80"/>
        <w:rPr>
          <w:snapToGrid w:val="0"/>
          <w:sz w:val="18"/>
        </w:rPr>
      </w:pPr>
      <w:r>
        <w:rPr>
          <w:snapToGrid w:val="0"/>
          <w:sz w:val="18"/>
        </w:rPr>
        <w:tab/>
        <w:t>On measures of enamelled metal or glass where the capacity is defined by the brim and on cylindrical milk measures having a lip or retaining edge, and on cylindrical milk cans with conical tops twice the above amount of error shall be allowed.</w:t>
      </w:r>
    </w:p>
    <w:p>
      <w:pPr>
        <w:pStyle w:val="yMiscellaneousBody"/>
        <w:tabs>
          <w:tab w:val="left" w:pos="284"/>
          <w:tab w:val="left" w:pos="3402"/>
        </w:tabs>
        <w:spacing w:before="80"/>
        <w:rPr>
          <w:snapToGrid w:val="0"/>
          <w:sz w:val="18"/>
        </w:rPr>
      </w:pPr>
      <w:r>
        <w:rPr>
          <w:snapToGrid w:val="0"/>
          <w:sz w:val="18"/>
        </w:rPr>
        <w:tab/>
        <w:t xml:space="preserve">1 fluid oz = 437½ grains </w:t>
      </w:r>
      <w:r>
        <w:rPr>
          <w:snapToGrid w:val="0"/>
          <w:sz w:val="18"/>
        </w:rPr>
        <w:tab/>
        <w:t>1 pint = 20 fluid ounces</w:t>
      </w:r>
    </w:p>
    <w:p>
      <w:pPr>
        <w:pStyle w:val="CentredBaseLine"/>
        <w:spacing w:after="120"/>
        <w:jc w:val="center"/>
      </w:pPr>
    </w:p>
    <w:tbl>
      <w:tblPr>
        <w:tblW w:w="0" w:type="auto"/>
        <w:tblInd w:w="113" w:type="dxa"/>
        <w:tblBorders>
          <w:top w:val="single" w:sz="4" w:space="0" w:color="auto"/>
          <w:bottom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119"/>
        <w:gridCol w:w="3969"/>
      </w:tblGrid>
      <w:tr>
        <w:tc>
          <w:tcPr>
            <w:tcW w:w="3119" w:type="dxa"/>
          </w:tcPr>
          <w:p>
            <w:pPr>
              <w:pStyle w:val="yTable"/>
              <w:jc w:val="center"/>
              <w:rPr>
                <w:b/>
                <w:sz w:val="18"/>
              </w:rPr>
            </w:pPr>
            <w:r>
              <w:rPr>
                <w:b/>
                <w:sz w:val="18"/>
              </w:rPr>
              <w:t>Class</w:t>
            </w:r>
          </w:p>
        </w:tc>
        <w:tc>
          <w:tcPr>
            <w:tcW w:w="3969" w:type="dxa"/>
          </w:tcPr>
          <w:p>
            <w:pPr>
              <w:pStyle w:val="yTable"/>
              <w:jc w:val="center"/>
              <w:rPr>
                <w:b/>
                <w:sz w:val="18"/>
              </w:rPr>
            </w:pPr>
            <w:r>
              <w:rPr>
                <w:b/>
                <w:sz w:val="18"/>
              </w:rPr>
              <w:t>Error in Excess Only</w:t>
            </w:r>
          </w:p>
        </w:tc>
      </w:tr>
      <w:tr>
        <w:tc>
          <w:tcPr>
            <w:tcW w:w="3119" w:type="dxa"/>
          </w:tcPr>
          <w:p>
            <w:pPr>
              <w:pStyle w:val="yTable"/>
              <w:rPr>
                <w:sz w:val="18"/>
              </w:rPr>
            </w:pPr>
            <w:r>
              <w:rPr>
                <w:sz w:val="18"/>
              </w:rPr>
              <w:t>Wholesale Flow Meters</w:t>
            </w:r>
          </w:p>
        </w:tc>
        <w:tc>
          <w:tcPr>
            <w:tcW w:w="3969" w:type="dxa"/>
          </w:tcPr>
          <w:p>
            <w:pPr>
              <w:pStyle w:val="yTable"/>
              <w:rPr>
                <w:sz w:val="18"/>
              </w:rPr>
            </w:pPr>
            <w:r>
              <w:rPr>
                <w:sz w:val="18"/>
              </w:rPr>
              <w:t>One quarter of 1% of the quantity to be delivered</w:t>
            </w:r>
          </w:p>
        </w:tc>
      </w:tr>
    </w:tbl>
    <w:p>
      <w:pPr>
        <w:pStyle w:val="yMiscellaneousBody"/>
        <w:spacing w:before="80"/>
        <w:jc w:val="center"/>
        <w:rPr>
          <w:snapToGrid w:val="0"/>
          <w:sz w:val="18"/>
        </w:rPr>
      </w:pPr>
      <w:r>
        <w:rPr>
          <w:snapToGrid w:val="0"/>
          <w:sz w:val="18"/>
        </w:rPr>
        <w:t>On wholesale flow meters one</w:t>
      </w:r>
      <w:r>
        <w:rPr>
          <w:snapToGrid w:val="0"/>
          <w:sz w:val="18"/>
        </w:rPr>
        <w:noBreakHyphen/>
        <w:t>twelfth of 1% shall be allowed in deficiency.</w:t>
      </w:r>
    </w:p>
    <w:p>
      <w:pPr>
        <w:pStyle w:val="yMiscellaneousHeading"/>
        <w:spacing w:after="80"/>
        <w:rPr>
          <w:snapToGrid w:val="0"/>
        </w:rPr>
      </w:pPr>
      <w:r>
        <w:rPr>
          <w:snapToGrid w:val="0"/>
        </w:rPr>
        <w:t>Retail Flow Meters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410"/>
        <w:gridCol w:w="2410"/>
        <w:gridCol w:w="2268"/>
      </w:tblGrid>
      <w:tr>
        <w:trPr>
          <w:cantSplit/>
          <w:tblHeader/>
        </w:trPr>
        <w:tc>
          <w:tcPr>
            <w:tcW w:w="2410" w:type="dxa"/>
            <w:vMerge w:val="restart"/>
            <w:tcBorders>
              <w:top w:val="single" w:sz="4" w:space="0" w:color="auto"/>
              <w:bottom w:val="nil"/>
            </w:tcBorders>
          </w:tcPr>
          <w:p>
            <w:pPr>
              <w:pStyle w:val="yTable"/>
              <w:jc w:val="center"/>
              <w:rPr>
                <w:b/>
                <w:sz w:val="18"/>
              </w:rPr>
            </w:pPr>
            <w:r>
              <w:rPr>
                <w:b/>
                <w:sz w:val="18"/>
              </w:rPr>
              <w:t>Denomination</w:t>
            </w:r>
          </w:p>
        </w:tc>
        <w:tc>
          <w:tcPr>
            <w:tcW w:w="4678" w:type="dxa"/>
            <w:gridSpan w:val="2"/>
            <w:tcBorders>
              <w:top w:val="single" w:sz="4" w:space="0" w:color="auto"/>
              <w:bottom w:val="nil"/>
            </w:tcBorders>
          </w:tcPr>
          <w:p>
            <w:pPr>
              <w:pStyle w:val="yTable"/>
              <w:jc w:val="center"/>
              <w:rPr>
                <w:b/>
                <w:sz w:val="18"/>
              </w:rPr>
            </w:pPr>
            <w:r>
              <w:rPr>
                <w:b/>
                <w:sz w:val="18"/>
              </w:rPr>
              <w:t>Tolerance</w:t>
            </w:r>
          </w:p>
        </w:tc>
      </w:tr>
      <w:tr>
        <w:trPr>
          <w:cantSplit/>
          <w:tblHeader/>
        </w:trPr>
        <w:tc>
          <w:tcPr>
            <w:tcW w:w="2410" w:type="dxa"/>
            <w:vMerge/>
            <w:tcBorders>
              <w:top w:val="nil"/>
              <w:bottom w:val="single" w:sz="4" w:space="0" w:color="auto"/>
            </w:tcBorders>
          </w:tcPr>
          <w:p>
            <w:pPr>
              <w:pStyle w:val="yTable"/>
              <w:jc w:val="center"/>
              <w:rPr>
                <w:b/>
                <w:sz w:val="18"/>
              </w:rPr>
            </w:pPr>
          </w:p>
        </w:tc>
        <w:tc>
          <w:tcPr>
            <w:tcW w:w="2410" w:type="dxa"/>
            <w:tcBorders>
              <w:top w:val="single" w:sz="4" w:space="0" w:color="auto"/>
              <w:bottom w:val="single" w:sz="4" w:space="0" w:color="auto"/>
              <w:right w:val="single" w:sz="4" w:space="0" w:color="auto"/>
            </w:tcBorders>
          </w:tcPr>
          <w:p>
            <w:pPr>
              <w:pStyle w:val="yTable"/>
              <w:jc w:val="center"/>
              <w:rPr>
                <w:b/>
                <w:sz w:val="18"/>
              </w:rPr>
            </w:pPr>
            <w:r>
              <w:rPr>
                <w:b/>
                <w:sz w:val="18"/>
              </w:rPr>
              <w:t>Excess</w:t>
            </w:r>
          </w:p>
        </w:tc>
        <w:tc>
          <w:tcPr>
            <w:tcW w:w="2268" w:type="dxa"/>
            <w:tcBorders>
              <w:top w:val="single" w:sz="4" w:space="0" w:color="auto"/>
              <w:left w:val="single" w:sz="4" w:space="0" w:color="auto"/>
              <w:bottom w:val="single" w:sz="4" w:space="0" w:color="auto"/>
            </w:tcBorders>
          </w:tcPr>
          <w:p>
            <w:pPr>
              <w:pStyle w:val="yTable"/>
              <w:jc w:val="center"/>
              <w:rPr>
                <w:b/>
                <w:sz w:val="18"/>
              </w:rPr>
            </w:pPr>
            <w:r>
              <w:rPr>
                <w:b/>
                <w:sz w:val="18"/>
              </w:rPr>
              <w:t>Deficiency</w:t>
            </w:r>
          </w:p>
        </w:tc>
      </w:tr>
      <w:tr>
        <w:trPr>
          <w:cantSplit/>
        </w:trPr>
        <w:tc>
          <w:tcPr>
            <w:tcW w:w="2410" w:type="dxa"/>
            <w:tcBorders>
              <w:top w:val="nil"/>
            </w:tcBorders>
          </w:tcPr>
          <w:p>
            <w:pPr>
              <w:pStyle w:val="yTable"/>
              <w:jc w:val="center"/>
              <w:rPr>
                <w:sz w:val="18"/>
              </w:rPr>
            </w:pPr>
            <w:r>
              <w:rPr>
                <w:sz w:val="18"/>
              </w:rPr>
              <w:t>1 gallon</w:t>
            </w:r>
          </w:p>
        </w:tc>
        <w:tc>
          <w:tcPr>
            <w:tcW w:w="2410" w:type="dxa"/>
            <w:tcBorders>
              <w:top w:val="nil"/>
            </w:tcBorders>
          </w:tcPr>
          <w:p>
            <w:pPr>
              <w:pStyle w:val="yTable"/>
              <w:ind w:left="171" w:hanging="171"/>
              <w:rPr>
                <w:sz w:val="18"/>
              </w:rPr>
            </w:pPr>
            <w:r>
              <w:rPr>
                <w:sz w:val="18"/>
              </w:rPr>
              <w:t>1 fluid ounce</w:t>
            </w:r>
          </w:p>
        </w:tc>
        <w:tc>
          <w:tcPr>
            <w:tcW w:w="2268" w:type="dxa"/>
            <w:tcBorders>
              <w:top w:val="nil"/>
            </w:tcBorders>
          </w:tcPr>
          <w:p>
            <w:pPr>
              <w:pStyle w:val="yTable"/>
              <w:ind w:left="170" w:hanging="170"/>
              <w:rPr>
                <w:sz w:val="18"/>
              </w:rPr>
            </w:pPr>
            <w:r>
              <w:rPr>
                <w:sz w:val="18"/>
              </w:rPr>
              <w:t>½ fluid ounce</w:t>
            </w:r>
          </w:p>
        </w:tc>
      </w:tr>
      <w:tr>
        <w:trPr>
          <w:cantSplit/>
        </w:trPr>
        <w:tc>
          <w:tcPr>
            <w:tcW w:w="2410" w:type="dxa"/>
          </w:tcPr>
          <w:p>
            <w:pPr>
              <w:pStyle w:val="yTable"/>
              <w:jc w:val="center"/>
              <w:rPr>
                <w:sz w:val="18"/>
              </w:rPr>
            </w:pPr>
            <w:r>
              <w:rPr>
                <w:sz w:val="18"/>
              </w:rPr>
              <w:t>2 gallons</w:t>
            </w:r>
          </w:p>
        </w:tc>
        <w:tc>
          <w:tcPr>
            <w:tcW w:w="2410" w:type="dxa"/>
          </w:tcPr>
          <w:p>
            <w:pPr>
              <w:pStyle w:val="yTable"/>
              <w:ind w:left="171" w:hanging="171"/>
              <w:rPr>
                <w:sz w:val="18"/>
              </w:rPr>
            </w:pPr>
            <w:r>
              <w:rPr>
                <w:sz w:val="18"/>
              </w:rPr>
              <w:t>1 ½ fluid ounces</w:t>
            </w:r>
          </w:p>
        </w:tc>
        <w:tc>
          <w:tcPr>
            <w:tcW w:w="2268" w:type="dxa"/>
          </w:tcPr>
          <w:p>
            <w:pPr>
              <w:pStyle w:val="yTable"/>
              <w:ind w:left="170" w:hanging="170"/>
              <w:rPr>
                <w:sz w:val="18"/>
              </w:rPr>
            </w:pPr>
            <w:r>
              <w:rPr>
                <w:sz w:val="18"/>
              </w:rPr>
              <w:t>¾ fluid ounce</w:t>
            </w:r>
          </w:p>
        </w:tc>
      </w:tr>
      <w:tr>
        <w:trPr>
          <w:cantSplit/>
        </w:trPr>
        <w:tc>
          <w:tcPr>
            <w:tcW w:w="2410" w:type="dxa"/>
          </w:tcPr>
          <w:p>
            <w:pPr>
              <w:pStyle w:val="yTable"/>
              <w:jc w:val="center"/>
              <w:rPr>
                <w:sz w:val="18"/>
              </w:rPr>
            </w:pPr>
            <w:r>
              <w:rPr>
                <w:sz w:val="18"/>
              </w:rPr>
              <w:t>3 gallons</w:t>
            </w:r>
          </w:p>
        </w:tc>
        <w:tc>
          <w:tcPr>
            <w:tcW w:w="2410" w:type="dxa"/>
          </w:tcPr>
          <w:p>
            <w:pPr>
              <w:pStyle w:val="yTable"/>
              <w:ind w:left="171" w:hanging="171"/>
              <w:rPr>
                <w:sz w:val="18"/>
              </w:rPr>
            </w:pPr>
            <w:r>
              <w:rPr>
                <w:sz w:val="18"/>
              </w:rPr>
              <w:t>2 fluid ounces</w:t>
            </w:r>
          </w:p>
        </w:tc>
        <w:tc>
          <w:tcPr>
            <w:tcW w:w="2268" w:type="dxa"/>
          </w:tcPr>
          <w:p>
            <w:pPr>
              <w:pStyle w:val="yTable"/>
              <w:ind w:left="170" w:hanging="170"/>
              <w:rPr>
                <w:sz w:val="18"/>
              </w:rPr>
            </w:pPr>
            <w:r>
              <w:rPr>
                <w:sz w:val="18"/>
              </w:rPr>
              <w:t>1 fluid ounce</w:t>
            </w:r>
          </w:p>
        </w:tc>
      </w:tr>
      <w:tr>
        <w:trPr>
          <w:cantSplit/>
        </w:trPr>
        <w:tc>
          <w:tcPr>
            <w:tcW w:w="2410" w:type="dxa"/>
          </w:tcPr>
          <w:p>
            <w:pPr>
              <w:pStyle w:val="yTable"/>
              <w:jc w:val="center"/>
              <w:rPr>
                <w:sz w:val="18"/>
              </w:rPr>
            </w:pPr>
            <w:r>
              <w:rPr>
                <w:sz w:val="18"/>
              </w:rPr>
              <w:t>4 gallons</w:t>
            </w:r>
          </w:p>
        </w:tc>
        <w:tc>
          <w:tcPr>
            <w:tcW w:w="2410" w:type="dxa"/>
          </w:tcPr>
          <w:p>
            <w:pPr>
              <w:pStyle w:val="yTable"/>
              <w:ind w:left="171" w:hanging="171"/>
              <w:rPr>
                <w:sz w:val="18"/>
              </w:rPr>
            </w:pPr>
            <w:r>
              <w:rPr>
                <w:sz w:val="18"/>
              </w:rPr>
              <w:t>2 ½ fluid ounces</w:t>
            </w:r>
          </w:p>
        </w:tc>
        <w:tc>
          <w:tcPr>
            <w:tcW w:w="2268" w:type="dxa"/>
          </w:tcPr>
          <w:p>
            <w:pPr>
              <w:pStyle w:val="yTable"/>
              <w:ind w:left="170" w:hanging="170"/>
              <w:rPr>
                <w:sz w:val="18"/>
              </w:rPr>
            </w:pPr>
            <w:r>
              <w:rPr>
                <w:sz w:val="18"/>
              </w:rPr>
              <w:t>1 ¼ fluid ounces</w:t>
            </w:r>
          </w:p>
        </w:tc>
      </w:tr>
      <w:tr>
        <w:trPr>
          <w:cantSplit/>
        </w:trPr>
        <w:tc>
          <w:tcPr>
            <w:tcW w:w="2410" w:type="dxa"/>
          </w:tcPr>
          <w:p>
            <w:pPr>
              <w:pStyle w:val="yTable"/>
              <w:jc w:val="center"/>
              <w:rPr>
                <w:sz w:val="18"/>
              </w:rPr>
            </w:pPr>
            <w:r>
              <w:rPr>
                <w:sz w:val="18"/>
              </w:rPr>
              <w:t>5 gallons</w:t>
            </w:r>
          </w:p>
        </w:tc>
        <w:tc>
          <w:tcPr>
            <w:tcW w:w="2410" w:type="dxa"/>
          </w:tcPr>
          <w:p>
            <w:pPr>
              <w:pStyle w:val="yTable"/>
              <w:ind w:left="171" w:hanging="171"/>
              <w:rPr>
                <w:sz w:val="18"/>
              </w:rPr>
            </w:pPr>
            <w:r>
              <w:rPr>
                <w:sz w:val="18"/>
              </w:rPr>
              <w:t>3 fluid ounces</w:t>
            </w:r>
          </w:p>
        </w:tc>
        <w:tc>
          <w:tcPr>
            <w:tcW w:w="2268" w:type="dxa"/>
          </w:tcPr>
          <w:p>
            <w:pPr>
              <w:pStyle w:val="yTable"/>
              <w:ind w:left="170" w:hanging="170"/>
              <w:rPr>
                <w:sz w:val="18"/>
              </w:rPr>
            </w:pPr>
            <w:r>
              <w:rPr>
                <w:sz w:val="18"/>
              </w:rPr>
              <w:t>1 ½ fluid ounces</w:t>
            </w:r>
          </w:p>
        </w:tc>
      </w:tr>
      <w:tr>
        <w:trPr>
          <w:cantSplit/>
        </w:trPr>
        <w:tc>
          <w:tcPr>
            <w:tcW w:w="2410" w:type="dxa"/>
          </w:tcPr>
          <w:p>
            <w:pPr>
              <w:pStyle w:val="yTable"/>
              <w:jc w:val="center"/>
              <w:rPr>
                <w:sz w:val="18"/>
              </w:rPr>
            </w:pPr>
            <w:r>
              <w:rPr>
                <w:sz w:val="18"/>
              </w:rPr>
              <w:t>6 gallons</w:t>
            </w:r>
          </w:p>
        </w:tc>
        <w:tc>
          <w:tcPr>
            <w:tcW w:w="2410" w:type="dxa"/>
          </w:tcPr>
          <w:p>
            <w:pPr>
              <w:pStyle w:val="yTable"/>
              <w:ind w:left="171" w:hanging="171"/>
              <w:rPr>
                <w:sz w:val="18"/>
              </w:rPr>
            </w:pPr>
            <w:r>
              <w:rPr>
                <w:sz w:val="18"/>
              </w:rPr>
              <w:t>4 fluid ounces</w:t>
            </w:r>
          </w:p>
        </w:tc>
        <w:tc>
          <w:tcPr>
            <w:tcW w:w="2268" w:type="dxa"/>
          </w:tcPr>
          <w:p>
            <w:pPr>
              <w:pStyle w:val="yTable"/>
              <w:ind w:left="170" w:hanging="170"/>
              <w:rPr>
                <w:sz w:val="18"/>
              </w:rPr>
            </w:pPr>
            <w:r>
              <w:rPr>
                <w:sz w:val="18"/>
              </w:rPr>
              <w:t>2 fluid ounces</w:t>
            </w:r>
          </w:p>
        </w:tc>
      </w:tr>
      <w:tr>
        <w:trPr>
          <w:cantSplit/>
        </w:trPr>
        <w:tc>
          <w:tcPr>
            <w:tcW w:w="2410" w:type="dxa"/>
          </w:tcPr>
          <w:p>
            <w:pPr>
              <w:pStyle w:val="yTable"/>
              <w:jc w:val="center"/>
              <w:rPr>
                <w:sz w:val="18"/>
              </w:rPr>
            </w:pPr>
            <w:r>
              <w:rPr>
                <w:sz w:val="18"/>
              </w:rPr>
              <w:t>Over 6 gallons</w:t>
            </w:r>
          </w:p>
        </w:tc>
        <w:tc>
          <w:tcPr>
            <w:tcW w:w="2410" w:type="dxa"/>
          </w:tcPr>
          <w:p>
            <w:pPr>
              <w:pStyle w:val="yTable"/>
              <w:ind w:left="171" w:hanging="171"/>
              <w:rPr>
                <w:sz w:val="18"/>
              </w:rPr>
            </w:pPr>
            <w:r>
              <w:rPr>
                <w:sz w:val="18"/>
              </w:rPr>
              <w:t>4 fluid ounces plus an additional ½ fluid ounce for each gallon in excess of 6 gallons</w:t>
            </w:r>
          </w:p>
        </w:tc>
        <w:tc>
          <w:tcPr>
            <w:tcW w:w="2268" w:type="dxa"/>
          </w:tcPr>
          <w:p>
            <w:pPr>
              <w:pStyle w:val="yTable"/>
              <w:ind w:left="170" w:hanging="170"/>
              <w:rPr>
                <w:sz w:val="18"/>
              </w:rPr>
            </w:pPr>
            <w:r>
              <w:rPr>
                <w:sz w:val="18"/>
              </w:rPr>
              <w:t>2 fluid ounces plus ¼ fluid ounce for each gallon in excess of 6 gallons</w:t>
            </w:r>
          </w:p>
        </w:tc>
      </w:tr>
    </w:tbl>
    <w:p>
      <w:pPr>
        <w:pStyle w:val="yMiscellaneousBody"/>
        <w:tabs>
          <w:tab w:val="left" w:pos="284"/>
        </w:tabs>
        <w:rPr>
          <w:snapToGrid w:val="0"/>
        </w:rPr>
      </w:pPr>
      <w:r>
        <w:rPr>
          <w:snapToGrid w:val="0"/>
        </w:rPr>
        <w:tab/>
        <w:t>Provided, however, that the tolerance permitted for variation shall not exceed two</w:t>
      </w:r>
      <w:r>
        <w:rPr>
          <w:snapToGrid w:val="0"/>
        </w:rPr>
        <w:noBreakHyphen/>
        <w:t>thirds the permissible range of error allowed between excess and deficiency at the relevant denomination at which the test for variation is made. For example, where the range of error between the maximum excess and deficiency errors equals 3 fluid ounces the variation tolerance would be 2 fluid ounces.</w:t>
      </w:r>
    </w:p>
    <w:p>
      <w:pPr>
        <w:pStyle w:val="yMiscellaneousBody"/>
        <w:tabs>
          <w:tab w:val="left" w:pos="284"/>
        </w:tabs>
        <w:rPr>
          <w:snapToGrid w:val="0"/>
        </w:rPr>
      </w:pPr>
      <w:r>
        <w:rPr>
          <w:snapToGrid w:val="0"/>
        </w:rPr>
        <w:t>Provided further that any test for variation shall be as follows — </w:t>
      </w:r>
    </w:p>
    <w:p>
      <w:pPr>
        <w:pStyle w:val="yMiscellaneousBody"/>
        <w:ind w:left="567"/>
        <w:rPr>
          <w:snapToGrid w:val="0"/>
        </w:rPr>
      </w:pPr>
      <w:r>
        <w:rPr>
          <w:snapToGrid w:val="0"/>
        </w:rPr>
        <w:t>One test shall be at the maximum rate of flow, known as the “fast test”, and in the other test, known as the “slow test”, the rate of flow shall not be less than one</w:t>
      </w:r>
      <w:r>
        <w:rPr>
          <w:snapToGrid w:val="0"/>
        </w:rPr>
        <w:noBreakHyphen/>
        <w:t>third minute for each one gallon, e.g., a test of 3 gallons would take one minute; and</w:t>
      </w:r>
    </w:p>
    <w:p>
      <w:pPr>
        <w:pStyle w:val="yMiscellaneousHeading"/>
        <w:spacing w:after="80"/>
        <w:outlineLvl w:val="0"/>
        <w:rPr>
          <w:snapToGrid w:val="0"/>
        </w:rPr>
      </w:pPr>
      <w:r>
        <w:rPr>
          <w:snapToGrid w:val="0"/>
        </w:rPr>
        <w:t>Farm Milk Tanks</w:t>
      </w:r>
    </w:p>
    <w:tbl>
      <w:tblPr>
        <w:tblW w:w="0" w:type="auto"/>
        <w:tblInd w:w="113" w:type="dxa"/>
        <w:tblBorders>
          <w:top w:val="single" w:sz="4" w:space="0" w:color="auto"/>
          <w:bottom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62"/>
        <w:gridCol w:w="2126"/>
      </w:tblGrid>
      <w:tr>
        <w:tc>
          <w:tcPr>
            <w:tcW w:w="4962" w:type="dxa"/>
            <w:tcBorders>
              <w:bottom w:val="nil"/>
            </w:tcBorders>
          </w:tcPr>
          <w:p>
            <w:pPr>
              <w:pStyle w:val="yTable"/>
              <w:jc w:val="center"/>
              <w:rPr>
                <w:b/>
                <w:sz w:val="18"/>
              </w:rPr>
            </w:pPr>
            <w:r>
              <w:rPr>
                <w:b/>
                <w:sz w:val="18"/>
              </w:rPr>
              <w:t>Indicated Gallonage</w:t>
            </w:r>
          </w:p>
        </w:tc>
        <w:tc>
          <w:tcPr>
            <w:tcW w:w="2126" w:type="dxa"/>
            <w:tcBorders>
              <w:bottom w:val="nil"/>
            </w:tcBorders>
          </w:tcPr>
          <w:p>
            <w:pPr>
              <w:pStyle w:val="yTable"/>
              <w:jc w:val="center"/>
              <w:rPr>
                <w:b/>
                <w:sz w:val="18"/>
              </w:rPr>
            </w:pPr>
            <w:r>
              <w:rPr>
                <w:b/>
                <w:sz w:val="18"/>
              </w:rPr>
              <w:t xml:space="preserve">Tolerance </w:t>
            </w:r>
            <w:r>
              <w:rPr>
                <w:b/>
                <w:sz w:val="18"/>
              </w:rPr>
              <w:br/>
              <w:t>Excess or Deficiency</w:t>
            </w:r>
            <w:r>
              <w:rPr>
                <w:b/>
                <w:sz w:val="18"/>
              </w:rPr>
              <w:br/>
              <w:t>Gallons</w:t>
            </w:r>
          </w:p>
        </w:tc>
      </w:tr>
      <w:tr>
        <w:tc>
          <w:tcPr>
            <w:tcW w:w="4962" w:type="dxa"/>
            <w:tcBorders>
              <w:bottom w:val="nil"/>
            </w:tcBorders>
          </w:tcPr>
          <w:p>
            <w:pPr>
              <w:pStyle w:val="yTable"/>
              <w:rPr>
                <w:sz w:val="18"/>
              </w:rPr>
            </w:pPr>
            <w:r>
              <w:rPr>
                <w:sz w:val="18"/>
              </w:rPr>
              <w:t>100 or less ........................................................................................</w:t>
            </w:r>
          </w:p>
        </w:tc>
        <w:tc>
          <w:tcPr>
            <w:tcW w:w="2126" w:type="dxa"/>
            <w:tcBorders>
              <w:bottom w:val="nil"/>
            </w:tcBorders>
          </w:tcPr>
          <w:p>
            <w:pPr>
              <w:pStyle w:val="yTable"/>
              <w:jc w:val="center"/>
              <w:rPr>
                <w:sz w:val="18"/>
              </w:rPr>
            </w:pPr>
            <w:r>
              <w:rPr>
                <w:sz w:val="18"/>
                <w:vertAlign w:val="superscript"/>
              </w:rPr>
              <w:t>1</w:t>
            </w:r>
            <w:r>
              <w:rPr>
                <w:sz w:val="18"/>
              </w:rPr>
              <w:t>/</w:t>
            </w:r>
            <w:r>
              <w:rPr>
                <w:sz w:val="18"/>
                <w:vertAlign w:val="subscript"/>
              </w:rPr>
              <w:t>8</w:t>
            </w:r>
          </w:p>
        </w:tc>
      </w:tr>
      <w:tr>
        <w:tc>
          <w:tcPr>
            <w:tcW w:w="4962" w:type="dxa"/>
            <w:tcBorders>
              <w:top w:val="nil"/>
              <w:bottom w:val="nil"/>
            </w:tcBorders>
          </w:tcPr>
          <w:p>
            <w:pPr>
              <w:pStyle w:val="yTable"/>
              <w:rPr>
                <w:sz w:val="18"/>
              </w:rPr>
            </w:pPr>
            <w:r>
              <w:rPr>
                <w:sz w:val="18"/>
              </w:rPr>
              <w:t>101 to 200 inclusive ........................................................................</w:t>
            </w:r>
          </w:p>
        </w:tc>
        <w:tc>
          <w:tcPr>
            <w:tcW w:w="2126" w:type="dxa"/>
            <w:tcBorders>
              <w:top w:val="nil"/>
              <w:bottom w:val="nil"/>
            </w:tcBorders>
          </w:tcPr>
          <w:p>
            <w:pPr>
              <w:pStyle w:val="yTable"/>
              <w:jc w:val="center"/>
              <w:rPr>
                <w:sz w:val="18"/>
              </w:rPr>
            </w:pPr>
            <w:r>
              <w:rPr>
                <w:sz w:val="18"/>
              </w:rPr>
              <w:t>¼</w:t>
            </w:r>
          </w:p>
        </w:tc>
      </w:tr>
      <w:tr>
        <w:tc>
          <w:tcPr>
            <w:tcW w:w="4962" w:type="dxa"/>
            <w:tcBorders>
              <w:top w:val="nil"/>
              <w:bottom w:val="nil"/>
            </w:tcBorders>
          </w:tcPr>
          <w:p>
            <w:pPr>
              <w:pStyle w:val="yTable"/>
              <w:rPr>
                <w:sz w:val="18"/>
              </w:rPr>
            </w:pPr>
            <w:r>
              <w:rPr>
                <w:sz w:val="18"/>
              </w:rPr>
              <w:t>201 to 500 inclusive ........................................................................</w:t>
            </w:r>
          </w:p>
        </w:tc>
        <w:tc>
          <w:tcPr>
            <w:tcW w:w="2126" w:type="dxa"/>
            <w:tcBorders>
              <w:top w:val="nil"/>
              <w:bottom w:val="nil"/>
            </w:tcBorders>
          </w:tcPr>
          <w:p>
            <w:pPr>
              <w:pStyle w:val="yTable"/>
              <w:jc w:val="center"/>
              <w:rPr>
                <w:sz w:val="18"/>
              </w:rPr>
            </w:pPr>
            <w:r>
              <w:rPr>
                <w:sz w:val="18"/>
              </w:rPr>
              <w:t>½</w:t>
            </w:r>
          </w:p>
        </w:tc>
      </w:tr>
      <w:tr>
        <w:tc>
          <w:tcPr>
            <w:tcW w:w="4962" w:type="dxa"/>
            <w:tcBorders>
              <w:top w:val="nil"/>
              <w:bottom w:val="nil"/>
            </w:tcBorders>
          </w:tcPr>
          <w:p>
            <w:pPr>
              <w:pStyle w:val="yTable"/>
              <w:rPr>
                <w:sz w:val="18"/>
              </w:rPr>
            </w:pPr>
            <w:r>
              <w:rPr>
                <w:sz w:val="18"/>
              </w:rPr>
              <w:t>501 to 1,000 inclusive .....................................................................</w:t>
            </w:r>
          </w:p>
        </w:tc>
        <w:tc>
          <w:tcPr>
            <w:tcW w:w="2126" w:type="dxa"/>
            <w:tcBorders>
              <w:top w:val="nil"/>
              <w:bottom w:val="nil"/>
            </w:tcBorders>
          </w:tcPr>
          <w:p>
            <w:pPr>
              <w:pStyle w:val="yTable"/>
              <w:jc w:val="center"/>
              <w:rPr>
                <w:sz w:val="18"/>
              </w:rPr>
            </w:pPr>
            <w:r>
              <w:rPr>
                <w:sz w:val="18"/>
              </w:rPr>
              <w:t>1</w:t>
            </w:r>
          </w:p>
        </w:tc>
      </w:tr>
      <w:tr>
        <w:tc>
          <w:tcPr>
            <w:tcW w:w="4962" w:type="dxa"/>
            <w:tcBorders>
              <w:top w:val="nil"/>
              <w:bottom w:val="nil"/>
            </w:tcBorders>
          </w:tcPr>
          <w:p>
            <w:pPr>
              <w:pStyle w:val="yTable"/>
              <w:rPr>
                <w:sz w:val="18"/>
              </w:rPr>
            </w:pPr>
            <w:r>
              <w:rPr>
                <w:sz w:val="18"/>
              </w:rPr>
              <w:t>1,000 to 2,000 inclusive ..................................................................</w:t>
            </w:r>
          </w:p>
        </w:tc>
        <w:tc>
          <w:tcPr>
            <w:tcW w:w="2126" w:type="dxa"/>
            <w:tcBorders>
              <w:top w:val="nil"/>
              <w:bottom w:val="nil"/>
            </w:tcBorders>
          </w:tcPr>
          <w:p>
            <w:pPr>
              <w:pStyle w:val="yTable"/>
              <w:jc w:val="center"/>
              <w:rPr>
                <w:sz w:val="18"/>
              </w:rPr>
            </w:pPr>
            <w:r>
              <w:rPr>
                <w:sz w:val="18"/>
              </w:rPr>
              <w:t>2</w:t>
            </w:r>
          </w:p>
        </w:tc>
      </w:tr>
      <w:tr>
        <w:tc>
          <w:tcPr>
            <w:tcW w:w="4962" w:type="dxa"/>
            <w:tcBorders>
              <w:top w:val="nil"/>
            </w:tcBorders>
          </w:tcPr>
          <w:p>
            <w:pPr>
              <w:pStyle w:val="yTable"/>
              <w:rPr>
                <w:sz w:val="18"/>
              </w:rPr>
            </w:pPr>
            <w:r>
              <w:rPr>
                <w:sz w:val="18"/>
              </w:rPr>
              <w:t>Over 2,000 ......................................................................................</w:t>
            </w:r>
          </w:p>
        </w:tc>
        <w:tc>
          <w:tcPr>
            <w:tcW w:w="2126" w:type="dxa"/>
            <w:tcBorders>
              <w:top w:val="nil"/>
            </w:tcBorders>
          </w:tcPr>
          <w:p>
            <w:pPr>
              <w:pStyle w:val="yTable"/>
              <w:jc w:val="center"/>
              <w:rPr>
                <w:sz w:val="18"/>
              </w:rPr>
            </w:pPr>
            <w:r>
              <w:rPr>
                <w:sz w:val="18"/>
              </w:rPr>
              <w:t>2 ½</w:t>
            </w:r>
          </w:p>
        </w:tc>
      </w:tr>
    </w:tbl>
    <w:p>
      <w:pPr>
        <w:pStyle w:val="yMiscellaneousHeading"/>
        <w:spacing w:before="240"/>
        <w:rPr>
          <w:i/>
          <w:snapToGrid w:val="0"/>
        </w:rPr>
      </w:pPr>
      <w:r>
        <w:rPr>
          <w:i/>
          <w:snapToGrid w:val="0"/>
        </w:rPr>
        <w:t>Apothecaries’ Graduated Glass Measures</w:t>
      </w:r>
    </w:p>
    <w:p>
      <w:pPr>
        <w:pStyle w:val="yMiscellaneousHeading"/>
        <w:spacing w:after="80"/>
        <w:rPr>
          <w:i/>
          <w:snapToGrid w:val="0"/>
        </w:rPr>
      </w:pPr>
      <w:r>
        <w:rPr>
          <w:i/>
          <w:snapToGrid w:val="0"/>
        </w:rPr>
        <w:t>Cylindrical or Conical Shapes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62"/>
        <w:gridCol w:w="2126"/>
      </w:tblGrid>
      <w:tr>
        <w:trPr>
          <w:tblHeader/>
        </w:trPr>
        <w:tc>
          <w:tcPr>
            <w:tcW w:w="4962" w:type="dxa"/>
            <w:tcBorders>
              <w:top w:val="single" w:sz="4" w:space="0" w:color="auto"/>
              <w:bottom w:val="single" w:sz="4" w:space="0" w:color="auto"/>
            </w:tcBorders>
          </w:tcPr>
          <w:p>
            <w:pPr>
              <w:pStyle w:val="yTable"/>
              <w:jc w:val="center"/>
              <w:rPr>
                <w:b/>
                <w:sz w:val="18"/>
              </w:rPr>
            </w:pPr>
            <w:r>
              <w:rPr>
                <w:b/>
                <w:sz w:val="18"/>
              </w:rPr>
              <w:t>Approximate internal diameter of measure at graduation tested</w:t>
            </w:r>
          </w:p>
        </w:tc>
        <w:tc>
          <w:tcPr>
            <w:tcW w:w="2126" w:type="dxa"/>
            <w:tcBorders>
              <w:top w:val="single" w:sz="4" w:space="0" w:color="auto"/>
              <w:bottom w:val="single" w:sz="4" w:space="0" w:color="auto"/>
            </w:tcBorders>
          </w:tcPr>
          <w:p>
            <w:pPr>
              <w:pStyle w:val="yTable"/>
              <w:jc w:val="center"/>
              <w:rPr>
                <w:b/>
                <w:sz w:val="18"/>
              </w:rPr>
            </w:pPr>
            <w:r>
              <w:rPr>
                <w:b/>
                <w:sz w:val="18"/>
              </w:rPr>
              <w:t>Error in Excess or Deficiency</w:t>
            </w:r>
          </w:p>
        </w:tc>
      </w:tr>
      <w:tr>
        <w:trPr>
          <w:tblHeader/>
        </w:trPr>
        <w:tc>
          <w:tcPr>
            <w:tcW w:w="4962" w:type="dxa"/>
            <w:tcBorders>
              <w:top w:val="nil"/>
            </w:tcBorders>
          </w:tcPr>
          <w:p>
            <w:pPr>
              <w:pStyle w:val="yTable"/>
              <w:rPr>
                <w:sz w:val="18"/>
              </w:rPr>
            </w:pPr>
            <w:r>
              <w:rPr>
                <w:sz w:val="18"/>
              </w:rPr>
              <w:t>Inches</w:t>
            </w:r>
          </w:p>
        </w:tc>
        <w:tc>
          <w:tcPr>
            <w:tcW w:w="2126" w:type="dxa"/>
            <w:tcBorders>
              <w:top w:val="nil"/>
            </w:tcBorders>
          </w:tcPr>
          <w:p>
            <w:pPr>
              <w:pStyle w:val="yTable"/>
              <w:jc w:val="center"/>
              <w:rPr>
                <w:sz w:val="18"/>
              </w:rPr>
            </w:pPr>
            <w:r>
              <w:rPr>
                <w:sz w:val="18"/>
              </w:rPr>
              <w:t>Minims</w:t>
            </w:r>
          </w:p>
        </w:tc>
      </w:tr>
      <w:tr>
        <w:tc>
          <w:tcPr>
            <w:tcW w:w="4962" w:type="dxa"/>
          </w:tcPr>
          <w:p>
            <w:pPr>
              <w:pStyle w:val="yTable"/>
              <w:rPr>
                <w:sz w:val="18"/>
              </w:rPr>
            </w:pPr>
            <w:r>
              <w:rPr>
                <w:sz w:val="18"/>
              </w:rPr>
              <w:t>4 .......................................................................................................</w:t>
            </w:r>
          </w:p>
        </w:tc>
        <w:tc>
          <w:tcPr>
            <w:tcW w:w="2126" w:type="dxa"/>
          </w:tcPr>
          <w:p>
            <w:pPr>
              <w:pStyle w:val="yTable"/>
              <w:jc w:val="center"/>
              <w:rPr>
                <w:sz w:val="18"/>
              </w:rPr>
            </w:pPr>
            <w:r>
              <w:rPr>
                <w:sz w:val="18"/>
              </w:rPr>
              <w:t>25</w:t>
            </w:r>
          </w:p>
        </w:tc>
      </w:tr>
      <w:tr>
        <w:tc>
          <w:tcPr>
            <w:tcW w:w="4962" w:type="dxa"/>
          </w:tcPr>
          <w:p>
            <w:pPr>
              <w:pStyle w:val="yTable"/>
              <w:rPr>
                <w:sz w:val="18"/>
              </w:rPr>
            </w:pPr>
            <w:r>
              <w:rPr>
                <w:sz w:val="18"/>
              </w:rPr>
              <w:t>3 ½  ..................................................................................................</w:t>
            </w:r>
          </w:p>
        </w:tc>
        <w:tc>
          <w:tcPr>
            <w:tcW w:w="2126" w:type="dxa"/>
          </w:tcPr>
          <w:p>
            <w:pPr>
              <w:pStyle w:val="yTable"/>
              <w:jc w:val="center"/>
              <w:rPr>
                <w:sz w:val="18"/>
              </w:rPr>
            </w:pPr>
            <w:r>
              <w:rPr>
                <w:sz w:val="18"/>
              </w:rPr>
              <w:t>21</w:t>
            </w:r>
          </w:p>
        </w:tc>
      </w:tr>
      <w:tr>
        <w:tc>
          <w:tcPr>
            <w:tcW w:w="4962" w:type="dxa"/>
          </w:tcPr>
          <w:p>
            <w:pPr>
              <w:pStyle w:val="yTable"/>
              <w:rPr>
                <w:sz w:val="18"/>
              </w:rPr>
            </w:pPr>
            <w:r>
              <w:rPr>
                <w:sz w:val="18"/>
              </w:rPr>
              <w:t>3 .......................................................................................................</w:t>
            </w:r>
          </w:p>
        </w:tc>
        <w:tc>
          <w:tcPr>
            <w:tcW w:w="2126" w:type="dxa"/>
          </w:tcPr>
          <w:p>
            <w:pPr>
              <w:pStyle w:val="yTable"/>
              <w:jc w:val="center"/>
              <w:rPr>
                <w:sz w:val="18"/>
              </w:rPr>
            </w:pPr>
            <w:r>
              <w:rPr>
                <w:sz w:val="18"/>
              </w:rPr>
              <w:t>18</w:t>
            </w:r>
          </w:p>
        </w:tc>
      </w:tr>
      <w:tr>
        <w:tc>
          <w:tcPr>
            <w:tcW w:w="4962" w:type="dxa"/>
          </w:tcPr>
          <w:p>
            <w:pPr>
              <w:pStyle w:val="yTable"/>
              <w:rPr>
                <w:sz w:val="18"/>
              </w:rPr>
            </w:pPr>
            <w:r>
              <w:rPr>
                <w:sz w:val="18"/>
              </w:rPr>
              <w:t>2 ½  ..................................................................................................</w:t>
            </w:r>
          </w:p>
        </w:tc>
        <w:tc>
          <w:tcPr>
            <w:tcW w:w="2126" w:type="dxa"/>
          </w:tcPr>
          <w:p>
            <w:pPr>
              <w:pStyle w:val="yTable"/>
              <w:jc w:val="center"/>
              <w:rPr>
                <w:sz w:val="18"/>
              </w:rPr>
            </w:pPr>
            <w:r>
              <w:rPr>
                <w:sz w:val="18"/>
              </w:rPr>
              <w:t>14</w:t>
            </w:r>
          </w:p>
        </w:tc>
      </w:tr>
      <w:tr>
        <w:tc>
          <w:tcPr>
            <w:tcW w:w="4962" w:type="dxa"/>
          </w:tcPr>
          <w:p>
            <w:pPr>
              <w:pStyle w:val="yTable"/>
              <w:rPr>
                <w:sz w:val="18"/>
              </w:rPr>
            </w:pPr>
            <w:r>
              <w:rPr>
                <w:sz w:val="18"/>
              </w:rPr>
              <w:t>2 .......................................................................................................</w:t>
            </w:r>
          </w:p>
        </w:tc>
        <w:tc>
          <w:tcPr>
            <w:tcW w:w="2126" w:type="dxa"/>
          </w:tcPr>
          <w:p>
            <w:pPr>
              <w:pStyle w:val="yTable"/>
              <w:jc w:val="center"/>
              <w:rPr>
                <w:sz w:val="18"/>
              </w:rPr>
            </w:pPr>
            <w:r>
              <w:rPr>
                <w:sz w:val="18"/>
              </w:rPr>
              <w:t>11</w:t>
            </w:r>
          </w:p>
        </w:tc>
      </w:tr>
      <w:tr>
        <w:tc>
          <w:tcPr>
            <w:tcW w:w="4962" w:type="dxa"/>
          </w:tcPr>
          <w:p>
            <w:pPr>
              <w:pStyle w:val="yTable"/>
              <w:rPr>
                <w:sz w:val="18"/>
              </w:rPr>
            </w:pPr>
            <w:r>
              <w:rPr>
                <w:sz w:val="18"/>
              </w:rPr>
              <w:t>1 ¾  ..................................................................................................</w:t>
            </w:r>
          </w:p>
        </w:tc>
        <w:tc>
          <w:tcPr>
            <w:tcW w:w="2126" w:type="dxa"/>
          </w:tcPr>
          <w:p>
            <w:pPr>
              <w:pStyle w:val="yTable"/>
              <w:jc w:val="center"/>
              <w:rPr>
                <w:sz w:val="18"/>
              </w:rPr>
            </w:pPr>
            <w:r>
              <w:rPr>
                <w:sz w:val="18"/>
              </w:rPr>
              <w:t>9</w:t>
            </w:r>
          </w:p>
        </w:tc>
      </w:tr>
      <w:tr>
        <w:tc>
          <w:tcPr>
            <w:tcW w:w="4962" w:type="dxa"/>
          </w:tcPr>
          <w:p>
            <w:pPr>
              <w:pStyle w:val="yTable"/>
              <w:rPr>
                <w:sz w:val="18"/>
              </w:rPr>
            </w:pPr>
            <w:r>
              <w:rPr>
                <w:sz w:val="18"/>
              </w:rPr>
              <w:t>1 ½  ..................................................................................................</w:t>
            </w:r>
          </w:p>
        </w:tc>
        <w:tc>
          <w:tcPr>
            <w:tcW w:w="2126" w:type="dxa"/>
          </w:tcPr>
          <w:p>
            <w:pPr>
              <w:pStyle w:val="yTable"/>
              <w:jc w:val="center"/>
              <w:rPr>
                <w:sz w:val="18"/>
              </w:rPr>
            </w:pPr>
            <w:r>
              <w:rPr>
                <w:sz w:val="18"/>
              </w:rPr>
              <w:t>7</w:t>
            </w:r>
          </w:p>
        </w:tc>
      </w:tr>
      <w:tr>
        <w:tc>
          <w:tcPr>
            <w:tcW w:w="4962" w:type="dxa"/>
          </w:tcPr>
          <w:p>
            <w:pPr>
              <w:pStyle w:val="yTable"/>
              <w:rPr>
                <w:sz w:val="18"/>
              </w:rPr>
            </w:pPr>
            <w:r>
              <w:rPr>
                <w:sz w:val="18"/>
              </w:rPr>
              <w:t>1 ¼  ..................................................................................................</w:t>
            </w:r>
          </w:p>
        </w:tc>
        <w:tc>
          <w:tcPr>
            <w:tcW w:w="2126" w:type="dxa"/>
          </w:tcPr>
          <w:p>
            <w:pPr>
              <w:pStyle w:val="yTable"/>
              <w:jc w:val="center"/>
              <w:rPr>
                <w:sz w:val="18"/>
              </w:rPr>
            </w:pPr>
            <w:r>
              <w:rPr>
                <w:sz w:val="18"/>
              </w:rPr>
              <w:t>6</w:t>
            </w:r>
          </w:p>
        </w:tc>
      </w:tr>
      <w:tr>
        <w:tc>
          <w:tcPr>
            <w:tcW w:w="4962" w:type="dxa"/>
          </w:tcPr>
          <w:p>
            <w:pPr>
              <w:pStyle w:val="yTable"/>
              <w:rPr>
                <w:sz w:val="18"/>
              </w:rPr>
            </w:pPr>
            <w:r>
              <w:rPr>
                <w:sz w:val="18"/>
              </w:rPr>
              <w:t>1 .......................................................................................................</w:t>
            </w:r>
          </w:p>
        </w:tc>
        <w:tc>
          <w:tcPr>
            <w:tcW w:w="2126" w:type="dxa"/>
          </w:tcPr>
          <w:p>
            <w:pPr>
              <w:pStyle w:val="yTable"/>
              <w:jc w:val="center"/>
              <w:rPr>
                <w:sz w:val="18"/>
              </w:rPr>
            </w:pPr>
            <w:r>
              <w:rPr>
                <w:sz w:val="18"/>
              </w:rPr>
              <w:t>4</w:t>
            </w:r>
          </w:p>
        </w:tc>
      </w:tr>
      <w:tr>
        <w:tc>
          <w:tcPr>
            <w:tcW w:w="4962" w:type="dxa"/>
          </w:tcPr>
          <w:p>
            <w:pPr>
              <w:pStyle w:val="yTable"/>
              <w:rPr>
                <w:sz w:val="18"/>
              </w:rPr>
            </w:pPr>
            <w:r>
              <w:rPr>
                <w:sz w:val="18"/>
                <w:vertAlign w:val="superscript"/>
              </w:rPr>
              <w:t>7</w:t>
            </w:r>
            <w:r>
              <w:rPr>
                <w:sz w:val="18"/>
              </w:rPr>
              <w:t>/</w:t>
            </w:r>
            <w:r>
              <w:rPr>
                <w:sz w:val="18"/>
                <w:vertAlign w:val="subscript"/>
              </w:rPr>
              <w:t>8</w:t>
            </w:r>
            <w:r>
              <w:rPr>
                <w:sz w:val="18"/>
              </w:rPr>
              <w:t xml:space="preserve"> .....................................................................................................</w:t>
            </w:r>
          </w:p>
        </w:tc>
        <w:tc>
          <w:tcPr>
            <w:tcW w:w="2126" w:type="dxa"/>
          </w:tcPr>
          <w:p>
            <w:pPr>
              <w:pStyle w:val="yTable"/>
              <w:jc w:val="center"/>
              <w:rPr>
                <w:sz w:val="18"/>
              </w:rPr>
            </w:pPr>
            <w:r>
              <w:rPr>
                <w:sz w:val="18"/>
              </w:rPr>
              <w:t>3</w:t>
            </w:r>
          </w:p>
        </w:tc>
      </w:tr>
      <w:tr>
        <w:tc>
          <w:tcPr>
            <w:tcW w:w="4962" w:type="dxa"/>
          </w:tcPr>
          <w:p>
            <w:pPr>
              <w:pStyle w:val="yTable"/>
              <w:rPr>
                <w:sz w:val="18"/>
              </w:rPr>
            </w:pPr>
            <w:r>
              <w:rPr>
                <w:sz w:val="18"/>
              </w:rPr>
              <w:t>¾ ......................................................................................................</w:t>
            </w:r>
          </w:p>
        </w:tc>
        <w:tc>
          <w:tcPr>
            <w:tcW w:w="2126" w:type="dxa"/>
          </w:tcPr>
          <w:p>
            <w:pPr>
              <w:pStyle w:val="yTable"/>
              <w:jc w:val="center"/>
              <w:rPr>
                <w:sz w:val="18"/>
              </w:rPr>
            </w:pPr>
            <w:r>
              <w:rPr>
                <w:sz w:val="18"/>
              </w:rPr>
              <w:t>2</w:t>
            </w:r>
          </w:p>
        </w:tc>
      </w:tr>
      <w:tr>
        <w:tc>
          <w:tcPr>
            <w:tcW w:w="4962" w:type="dxa"/>
          </w:tcPr>
          <w:p>
            <w:pPr>
              <w:pStyle w:val="yTable"/>
              <w:rPr>
                <w:sz w:val="18"/>
              </w:rPr>
            </w:pPr>
            <w:r>
              <w:rPr>
                <w:sz w:val="18"/>
                <w:vertAlign w:val="superscript"/>
              </w:rPr>
              <w:t>5</w:t>
            </w:r>
            <w:r>
              <w:rPr>
                <w:sz w:val="18"/>
              </w:rPr>
              <w:t>/</w:t>
            </w:r>
            <w:r>
              <w:rPr>
                <w:sz w:val="18"/>
                <w:vertAlign w:val="subscript"/>
              </w:rPr>
              <w:t>8</w:t>
            </w:r>
            <w:r>
              <w:rPr>
                <w:sz w:val="18"/>
              </w:rPr>
              <w:t xml:space="preserve"> .....................................................................................................</w:t>
            </w:r>
          </w:p>
        </w:tc>
        <w:tc>
          <w:tcPr>
            <w:tcW w:w="2126" w:type="dxa"/>
          </w:tcPr>
          <w:p>
            <w:pPr>
              <w:pStyle w:val="yTable"/>
              <w:jc w:val="center"/>
              <w:rPr>
                <w:sz w:val="18"/>
              </w:rPr>
            </w:pPr>
            <w:r>
              <w:rPr>
                <w:sz w:val="18"/>
              </w:rPr>
              <w:t>1</w:t>
            </w:r>
          </w:p>
        </w:tc>
      </w:tr>
      <w:tr>
        <w:tc>
          <w:tcPr>
            <w:tcW w:w="4962" w:type="dxa"/>
          </w:tcPr>
          <w:p>
            <w:pPr>
              <w:pStyle w:val="yTable"/>
              <w:rPr>
                <w:sz w:val="18"/>
              </w:rPr>
            </w:pPr>
            <w:r>
              <w:rPr>
                <w:sz w:val="18"/>
              </w:rPr>
              <w:t>½  .....................................................................................................</w:t>
            </w:r>
          </w:p>
        </w:tc>
        <w:tc>
          <w:tcPr>
            <w:tcW w:w="2126" w:type="dxa"/>
          </w:tcPr>
          <w:p>
            <w:pPr>
              <w:pStyle w:val="yTable"/>
              <w:jc w:val="center"/>
              <w:rPr>
                <w:sz w:val="18"/>
              </w:rPr>
            </w:pPr>
            <w:r>
              <w:rPr>
                <w:sz w:val="18"/>
              </w:rPr>
              <w:t>½</w:t>
            </w:r>
          </w:p>
        </w:tc>
      </w:tr>
    </w:tbl>
    <w:p>
      <w:pPr>
        <w:pStyle w:val="yMiscellaneousBody"/>
        <w:spacing w:before="60"/>
        <w:jc w:val="center"/>
        <w:rPr>
          <w:snapToGrid w:val="0"/>
          <w:sz w:val="18"/>
        </w:rPr>
      </w:pPr>
      <w:r>
        <w:rPr>
          <w:snapToGrid w:val="0"/>
          <w:sz w:val="18"/>
        </w:rPr>
        <w:t>On glass flasks and burettes one</w:t>
      </w:r>
      <w:r>
        <w:rPr>
          <w:snapToGrid w:val="0"/>
          <w:sz w:val="18"/>
        </w:rPr>
        <w:noBreakHyphen/>
        <w:t>half only of the above amounts shall be allowed.</w:t>
      </w:r>
    </w:p>
    <w:p>
      <w:pPr>
        <w:pStyle w:val="yMiscellaneousHeading"/>
        <w:spacing w:after="80"/>
        <w:rPr>
          <w:i/>
          <w:snapToGrid w:val="0"/>
        </w:rPr>
      </w:pPr>
      <w:r>
        <w:rPr>
          <w:i/>
          <w:snapToGrid w:val="0"/>
        </w:rPr>
        <w:t>Dry Measures</w:t>
      </w:r>
    </w:p>
    <w:tbl>
      <w:tblPr>
        <w:tblW w:w="0" w:type="auto"/>
        <w:tblInd w:w="113" w:type="dxa"/>
        <w:tblLayout w:type="fixed"/>
        <w:tblCellMar>
          <w:left w:w="85" w:type="dxa"/>
          <w:right w:w="85" w:type="dxa"/>
        </w:tblCellMar>
        <w:tblLook w:val="0000" w:firstRow="0" w:lastRow="0" w:firstColumn="0" w:lastColumn="0" w:noHBand="0" w:noVBand="0"/>
      </w:tblPr>
      <w:tblGrid>
        <w:gridCol w:w="3402"/>
        <w:gridCol w:w="3686"/>
      </w:tblGrid>
      <w:tr>
        <w:tc>
          <w:tcPr>
            <w:tcW w:w="3402" w:type="dxa"/>
            <w:tcBorders>
              <w:top w:val="single" w:sz="4" w:space="0" w:color="auto"/>
              <w:bottom w:val="single" w:sz="4" w:space="0" w:color="auto"/>
              <w:right w:val="single" w:sz="4" w:space="0" w:color="auto"/>
            </w:tcBorders>
          </w:tcPr>
          <w:p>
            <w:pPr>
              <w:pStyle w:val="yTable"/>
              <w:jc w:val="center"/>
              <w:rPr>
                <w:b/>
                <w:sz w:val="18"/>
              </w:rPr>
            </w:pPr>
            <w:r>
              <w:rPr>
                <w:b/>
                <w:sz w:val="18"/>
              </w:rPr>
              <w:t>Denomination</w:t>
            </w:r>
          </w:p>
        </w:tc>
        <w:tc>
          <w:tcPr>
            <w:tcW w:w="3686" w:type="dxa"/>
            <w:tcBorders>
              <w:top w:val="single" w:sz="4" w:space="0" w:color="auto"/>
              <w:left w:val="nil"/>
              <w:bottom w:val="single" w:sz="4" w:space="0" w:color="auto"/>
            </w:tcBorders>
          </w:tcPr>
          <w:p>
            <w:pPr>
              <w:pStyle w:val="yTable"/>
              <w:jc w:val="center"/>
              <w:rPr>
                <w:b/>
                <w:sz w:val="18"/>
              </w:rPr>
            </w:pPr>
            <w:r>
              <w:rPr>
                <w:b/>
                <w:sz w:val="18"/>
              </w:rPr>
              <w:t>Error in Excess only</w:t>
            </w:r>
          </w:p>
        </w:tc>
      </w:tr>
      <w:tr>
        <w:tc>
          <w:tcPr>
            <w:tcW w:w="3402" w:type="dxa"/>
            <w:tcBorders>
              <w:right w:val="single" w:sz="4" w:space="0" w:color="auto"/>
            </w:tcBorders>
          </w:tcPr>
          <w:p>
            <w:pPr>
              <w:pStyle w:val="yTable"/>
              <w:rPr>
                <w:sz w:val="18"/>
              </w:rPr>
            </w:pPr>
            <w:r>
              <w:rPr>
                <w:sz w:val="18"/>
              </w:rPr>
              <w:t>1 bushel  ........................................................</w:t>
            </w:r>
          </w:p>
        </w:tc>
        <w:tc>
          <w:tcPr>
            <w:tcW w:w="3686" w:type="dxa"/>
            <w:tcBorders>
              <w:left w:val="nil"/>
            </w:tcBorders>
          </w:tcPr>
          <w:p>
            <w:pPr>
              <w:pStyle w:val="yTable"/>
              <w:rPr>
                <w:sz w:val="18"/>
              </w:rPr>
            </w:pPr>
            <w:r>
              <w:rPr>
                <w:sz w:val="18"/>
              </w:rPr>
              <w:t>½ pint = 17 ½ cubic inches approximately</w:t>
            </w:r>
          </w:p>
        </w:tc>
      </w:tr>
      <w:tr>
        <w:tc>
          <w:tcPr>
            <w:tcW w:w="3402" w:type="dxa"/>
            <w:tcBorders>
              <w:right w:val="single" w:sz="4" w:space="0" w:color="auto"/>
            </w:tcBorders>
          </w:tcPr>
          <w:p>
            <w:pPr>
              <w:pStyle w:val="yTable"/>
              <w:rPr>
                <w:sz w:val="18"/>
              </w:rPr>
            </w:pPr>
            <w:r>
              <w:rPr>
                <w:sz w:val="18"/>
              </w:rPr>
              <w:t>½ bushel ........................................................</w:t>
            </w:r>
          </w:p>
        </w:tc>
        <w:tc>
          <w:tcPr>
            <w:tcW w:w="3686" w:type="dxa"/>
            <w:tcBorders>
              <w:left w:val="nil"/>
            </w:tcBorders>
          </w:tcPr>
          <w:p>
            <w:pPr>
              <w:pStyle w:val="yTable"/>
              <w:rPr>
                <w:sz w:val="18"/>
              </w:rPr>
            </w:pPr>
            <w:r>
              <w:rPr>
                <w:sz w:val="18"/>
              </w:rPr>
              <w:t>½ pint = 17 ½ cubic inches approximately</w:t>
            </w:r>
          </w:p>
        </w:tc>
      </w:tr>
      <w:tr>
        <w:tc>
          <w:tcPr>
            <w:tcW w:w="3402" w:type="dxa"/>
            <w:tcBorders>
              <w:right w:val="single" w:sz="4" w:space="0" w:color="auto"/>
            </w:tcBorders>
          </w:tcPr>
          <w:p>
            <w:pPr>
              <w:pStyle w:val="yTable"/>
              <w:rPr>
                <w:sz w:val="18"/>
              </w:rPr>
            </w:pPr>
            <w:r>
              <w:rPr>
                <w:sz w:val="18"/>
              </w:rPr>
              <w:t>1 peck ............................................................</w:t>
            </w:r>
          </w:p>
        </w:tc>
        <w:tc>
          <w:tcPr>
            <w:tcW w:w="3686" w:type="dxa"/>
            <w:tcBorders>
              <w:left w:val="nil"/>
            </w:tcBorders>
          </w:tcPr>
          <w:p>
            <w:pPr>
              <w:pStyle w:val="yTable"/>
              <w:rPr>
                <w:sz w:val="18"/>
              </w:rPr>
            </w:pPr>
            <w:r>
              <w:rPr>
                <w:sz w:val="18"/>
              </w:rPr>
              <w:t>1 ½ gills = 13 cubic inches approximately</w:t>
            </w:r>
          </w:p>
        </w:tc>
      </w:tr>
      <w:tr>
        <w:tc>
          <w:tcPr>
            <w:tcW w:w="3402" w:type="dxa"/>
            <w:tcBorders>
              <w:right w:val="single" w:sz="4" w:space="0" w:color="auto"/>
            </w:tcBorders>
          </w:tcPr>
          <w:p>
            <w:pPr>
              <w:pStyle w:val="yTable"/>
              <w:rPr>
                <w:sz w:val="18"/>
              </w:rPr>
            </w:pPr>
            <w:r>
              <w:rPr>
                <w:sz w:val="18"/>
              </w:rPr>
              <w:t>½ peck ...........................................................</w:t>
            </w:r>
          </w:p>
        </w:tc>
        <w:tc>
          <w:tcPr>
            <w:tcW w:w="3686" w:type="dxa"/>
            <w:tcBorders>
              <w:left w:val="nil"/>
            </w:tcBorders>
          </w:tcPr>
          <w:p>
            <w:pPr>
              <w:pStyle w:val="yTable"/>
              <w:rPr>
                <w:sz w:val="18"/>
              </w:rPr>
            </w:pPr>
            <w:r>
              <w:rPr>
                <w:sz w:val="18"/>
              </w:rPr>
              <w:t>1 ½ gills = 13 cubic inches approximately</w:t>
            </w:r>
          </w:p>
        </w:tc>
      </w:tr>
      <w:tr>
        <w:tc>
          <w:tcPr>
            <w:tcW w:w="3402" w:type="dxa"/>
            <w:tcBorders>
              <w:bottom w:val="single" w:sz="4" w:space="0" w:color="auto"/>
              <w:right w:val="single" w:sz="4" w:space="0" w:color="auto"/>
            </w:tcBorders>
          </w:tcPr>
          <w:p>
            <w:pPr>
              <w:pStyle w:val="yTable"/>
              <w:rPr>
                <w:sz w:val="18"/>
              </w:rPr>
            </w:pPr>
            <w:r>
              <w:rPr>
                <w:sz w:val="18"/>
              </w:rPr>
              <w:t>¼ peck ...........................................................</w:t>
            </w:r>
          </w:p>
        </w:tc>
        <w:tc>
          <w:tcPr>
            <w:tcW w:w="3686" w:type="dxa"/>
            <w:tcBorders>
              <w:left w:val="nil"/>
              <w:bottom w:val="single" w:sz="4" w:space="0" w:color="auto"/>
            </w:tcBorders>
          </w:tcPr>
          <w:p>
            <w:pPr>
              <w:pStyle w:val="yTable"/>
              <w:rPr>
                <w:sz w:val="18"/>
              </w:rPr>
            </w:pPr>
            <w:r>
              <w:rPr>
                <w:sz w:val="18"/>
              </w:rPr>
              <w:t>1 gill = 8 ½ cubic inches approximately</w:t>
            </w:r>
          </w:p>
        </w:tc>
      </w:tr>
    </w:tbl>
    <w:p>
      <w:pPr>
        <w:pStyle w:val="yFootnotesection"/>
      </w:pPr>
      <w:r>
        <w:tab/>
        <w:t>[Table V amended in Gazette 24 Feb 1950 p. 329; 12 Oct 1951 p. 2712</w:t>
      </w:r>
      <w:r>
        <w:noBreakHyphen/>
        <w:t>13; 23 May 1960 p. 1410</w:t>
      </w:r>
      <w:r>
        <w:noBreakHyphen/>
        <w:t xml:space="preserve">11.] </w:t>
      </w:r>
    </w:p>
    <w:p>
      <w:pPr>
        <w:pStyle w:val="yScheduleHeading"/>
        <w:outlineLvl w:val="0"/>
      </w:pPr>
      <w:bookmarkStart w:id="239" w:name="_Toc390077264"/>
      <w:r>
        <w:rPr>
          <w:rStyle w:val="CharSchNo"/>
        </w:rPr>
        <w:t>Table VI</w:t>
      </w:r>
      <w:bookmarkEnd w:id="239"/>
    </w:p>
    <w:p>
      <w:pPr>
        <w:pStyle w:val="MiscellaneousHeading"/>
        <w:rPr>
          <w:snapToGrid w:val="0"/>
        </w:rPr>
      </w:pPr>
      <w:r>
        <w:rPr>
          <w:snapToGrid w:val="0"/>
        </w:rPr>
        <w:t>WEIGHING INSTRUMENTS</w:t>
      </w:r>
    </w:p>
    <w:p>
      <w:pPr>
        <w:pStyle w:val="yMiscellaneousHeading"/>
        <w:rPr>
          <w:i/>
          <w:snapToGrid w:val="0"/>
        </w:rPr>
      </w:pPr>
      <w:r>
        <w:rPr>
          <w:i/>
          <w:snapToGrid w:val="0"/>
        </w:rPr>
        <w:t>Errors Permissible on Verification</w:t>
      </w:r>
    </w:p>
    <w:p>
      <w:pPr>
        <w:pStyle w:val="yMiscellaneousHeading"/>
        <w:spacing w:after="80"/>
        <w:rPr>
          <w:i/>
          <w:snapToGrid w:val="0"/>
        </w:rPr>
      </w:pPr>
      <w:r>
        <w:rPr>
          <w:i/>
          <w:snapToGrid w:val="0"/>
        </w:rPr>
        <w:t>Beam</w:t>
      </w:r>
      <w:r>
        <w:rPr>
          <w:i/>
          <w:snapToGrid w:val="0"/>
        </w:rPr>
        <w:noBreakHyphen/>
        <w:t>scales (Class A)</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686"/>
        <w:gridCol w:w="1701"/>
        <w:gridCol w:w="1701"/>
      </w:tblGrid>
      <w:tr>
        <w:tc>
          <w:tcPr>
            <w:tcW w:w="3686" w:type="dxa"/>
            <w:tcBorders>
              <w:top w:val="single" w:sz="4" w:space="0" w:color="auto"/>
              <w:bottom w:val="single" w:sz="4" w:space="0" w:color="auto"/>
            </w:tcBorders>
          </w:tcPr>
          <w:p>
            <w:pPr>
              <w:pStyle w:val="yTable"/>
              <w:jc w:val="center"/>
              <w:rPr>
                <w:b/>
                <w:sz w:val="18"/>
              </w:rPr>
            </w:pPr>
            <w:r>
              <w:rPr>
                <w:b/>
                <w:sz w:val="18"/>
              </w:rPr>
              <w:t>Capacity</w:t>
            </w:r>
          </w:p>
        </w:tc>
        <w:tc>
          <w:tcPr>
            <w:tcW w:w="1701" w:type="dxa"/>
            <w:tcBorders>
              <w:top w:val="single" w:sz="4" w:space="0" w:color="auto"/>
              <w:bottom w:val="single" w:sz="4" w:space="0" w:color="auto"/>
            </w:tcBorders>
          </w:tcPr>
          <w:p>
            <w:pPr>
              <w:pStyle w:val="yTable"/>
              <w:jc w:val="center"/>
              <w:rPr>
                <w:b/>
                <w:sz w:val="18"/>
              </w:rPr>
            </w:pPr>
            <w:r>
              <w:rPr>
                <w:b/>
                <w:sz w:val="18"/>
              </w:rPr>
              <w:t>Sensitiveness when fully loaded</w:t>
            </w:r>
          </w:p>
        </w:tc>
        <w:tc>
          <w:tcPr>
            <w:tcW w:w="1701" w:type="dxa"/>
            <w:tcBorders>
              <w:top w:val="single" w:sz="4" w:space="0" w:color="auto"/>
              <w:bottom w:val="single" w:sz="4" w:space="0" w:color="auto"/>
            </w:tcBorders>
          </w:tcPr>
          <w:p>
            <w:pPr>
              <w:pStyle w:val="yTable"/>
              <w:jc w:val="center"/>
              <w:rPr>
                <w:b/>
                <w:sz w:val="18"/>
              </w:rPr>
            </w:pPr>
            <w:r>
              <w:rPr>
                <w:b/>
                <w:sz w:val="18"/>
              </w:rPr>
              <w:t>Error in Excess or Deficiency when fully loaded</w:t>
            </w:r>
          </w:p>
        </w:tc>
      </w:tr>
      <w:tr>
        <w:tc>
          <w:tcPr>
            <w:tcW w:w="3686" w:type="dxa"/>
            <w:tcBorders>
              <w:top w:val="nil"/>
            </w:tcBorders>
          </w:tcPr>
          <w:p>
            <w:pPr>
              <w:pStyle w:val="yTable"/>
              <w:rPr>
                <w:sz w:val="18"/>
              </w:rPr>
            </w:pPr>
          </w:p>
        </w:tc>
        <w:tc>
          <w:tcPr>
            <w:tcW w:w="1701" w:type="dxa"/>
            <w:tcBorders>
              <w:top w:val="nil"/>
            </w:tcBorders>
          </w:tcPr>
          <w:p>
            <w:pPr>
              <w:pStyle w:val="yTable"/>
              <w:jc w:val="center"/>
              <w:rPr>
                <w:sz w:val="18"/>
              </w:rPr>
            </w:pPr>
            <w:r>
              <w:rPr>
                <w:sz w:val="18"/>
              </w:rPr>
              <w:t>Grains</w:t>
            </w:r>
          </w:p>
        </w:tc>
        <w:tc>
          <w:tcPr>
            <w:tcW w:w="1701" w:type="dxa"/>
            <w:tcBorders>
              <w:top w:val="nil"/>
            </w:tcBorders>
          </w:tcPr>
          <w:p>
            <w:pPr>
              <w:pStyle w:val="yTable"/>
              <w:jc w:val="center"/>
              <w:rPr>
                <w:sz w:val="18"/>
              </w:rPr>
            </w:pPr>
            <w:r>
              <w:rPr>
                <w:sz w:val="18"/>
              </w:rPr>
              <w:t>Grains</w:t>
            </w:r>
          </w:p>
        </w:tc>
      </w:tr>
      <w:tr>
        <w:tc>
          <w:tcPr>
            <w:tcW w:w="3686" w:type="dxa"/>
          </w:tcPr>
          <w:p>
            <w:pPr>
              <w:pStyle w:val="yTable"/>
              <w:rPr>
                <w:sz w:val="18"/>
              </w:rPr>
            </w:pPr>
            <w:r>
              <w:rPr>
                <w:sz w:val="18"/>
              </w:rPr>
              <w:t>1 oz. .....................................................................</w:t>
            </w:r>
          </w:p>
        </w:tc>
        <w:tc>
          <w:tcPr>
            <w:tcW w:w="1701" w:type="dxa"/>
          </w:tcPr>
          <w:p>
            <w:pPr>
              <w:pStyle w:val="yTable"/>
              <w:jc w:val="center"/>
              <w:rPr>
                <w:sz w:val="18"/>
              </w:rPr>
            </w:pPr>
            <w:r>
              <w:rPr>
                <w:sz w:val="18"/>
              </w:rPr>
              <w:t>0.05</w:t>
            </w:r>
          </w:p>
        </w:tc>
        <w:tc>
          <w:tcPr>
            <w:tcW w:w="1701" w:type="dxa"/>
          </w:tcPr>
          <w:p>
            <w:pPr>
              <w:pStyle w:val="yTable"/>
              <w:jc w:val="center"/>
              <w:rPr>
                <w:sz w:val="18"/>
              </w:rPr>
            </w:pPr>
            <w:r>
              <w:rPr>
                <w:sz w:val="18"/>
              </w:rPr>
              <w:t>0.1</w:t>
            </w:r>
          </w:p>
        </w:tc>
      </w:tr>
      <w:tr>
        <w:tc>
          <w:tcPr>
            <w:tcW w:w="3686" w:type="dxa"/>
          </w:tcPr>
          <w:p>
            <w:pPr>
              <w:pStyle w:val="yTable"/>
              <w:rPr>
                <w:sz w:val="18"/>
              </w:rPr>
            </w:pPr>
            <w:r>
              <w:rPr>
                <w:sz w:val="18"/>
              </w:rPr>
              <w:t>1 lb. ......................................................................</w:t>
            </w:r>
          </w:p>
        </w:tc>
        <w:tc>
          <w:tcPr>
            <w:tcW w:w="1701" w:type="dxa"/>
          </w:tcPr>
          <w:p>
            <w:pPr>
              <w:pStyle w:val="yTable"/>
              <w:jc w:val="center"/>
              <w:rPr>
                <w:sz w:val="18"/>
              </w:rPr>
            </w:pPr>
            <w:r>
              <w:rPr>
                <w:sz w:val="18"/>
              </w:rPr>
              <w:t>0.1</w:t>
            </w:r>
          </w:p>
        </w:tc>
        <w:tc>
          <w:tcPr>
            <w:tcW w:w="1701" w:type="dxa"/>
          </w:tcPr>
          <w:p>
            <w:pPr>
              <w:pStyle w:val="yTable"/>
              <w:jc w:val="center"/>
              <w:rPr>
                <w:sz w:val="18"/>
              </w:rPr>
            </w:pPr>
            <w:r>
              <w:rPr>
                <w:sz w:val="18"/>
              </w:rPr>
              <w:t>0.2</w:t>
            </w:r>
          </w:p>
        </w:tc>
      </w:tr>
      <w:tr>
        <w:tc>
          <w:tcPr>
            <w:tcW w:w="3686" w:type="dxa"/>
          </w:tcPr>
          <w:p>
            <w:pPr>
              <w:pStyle w:val="yTable"/>
              <w:rPr>
                <w:sz w:val="18"/>
              </w:rPr>
            </w:pPr>
            <w:r>
              <w:rPr>
                <w:sz w:val="18"/>
              </w:rPr>
              <w:t>7 lb. ......................................................................</w:t>
            </w:r>
          </w:p>
        </w:tc>
        <w:tc>
          <w:tcPr>
            <w:tcW w:w="1701" w:type="dxa"/>
          </w:tcPr>
          <w:p>
            <w:pPr>
              <w:pStyle w:val="yTable"/>
              <w:jc w:val="center"/>
              <w:rPr>
                <w:sz w:val="18"/>
              </w:rPr>
            </w:pPr>
            <w:r>
              <w:rPr>
                <w:sz w:val="18"/>
              </w:rPr>
              <w:t>0.5</w:t>
            </w:r>
          </w:p>
        </w:tc>
        <w:tc>
          <w:tcPr>
            <w:tcW w:w="1701" w:type="dxa"/>
          </w:tcPr>
          <w:p>
            <w:pPr>
              <w:pStyle w:val="yTable"/>
              <w:jc w:val="center"/>
              <w:rPr>
                <w:sz w:val="18"/>
              </w:rPr>
            </w:pPr>
            <w:r>
              <w:rPr>
                <w:sz w:val="18"/>
              </w:rPr>
              <w:t>1.0</w:t>
            </w:r>
          </w:p>
        </w:tc>
      </w:tr>
      <w:tr>
        <w:tc>
          <w:tcPr>
            <w:tcW w:w="3686" w:type="dxa"/>
          </w:tcPr>
          <w:p>
            <w:pPr>
              <w:pStyle w:val="yTable"/>
              <w:rPr>
                <w:sz w:val="18"/>
              </w:rPr>
            </w:pPr>
            <w:r>
              <w:rPr>
                <w:sz w:val="18"/>
              </w:rPr>
              <w:t>56 lb. ....................................................................</w:t>
            </w:r>
          </w:p>
        </w:tc>
        <w:tc>
          <w:tcPr>
            <w:tcW w:w="1701" w:type="dxa"/>
          </w:tcPr>
          <w:p>
            <w:pPr>
              <w:pStyle w:val="yTable"/>
              <w:jc w:val="center"/>
              <w:rPr>
                <w:sz w:val="18"/>
              </w:rPr>
            </w:pPr>
            <w:r>
              <w:rPr>
                <w:sz w:val="18"/>
              </w:rPr>
              <w:t>1.5</w:t>
            </w:r>
          </w:p>
        </w:tc>
        <w:tc>
          <w:tcPr>
            <w:tcW w:w="1701" w:type="dxa"/>
          </w:tcPr>
          <w:p>
            <w:pPr>
              <w:pStyle w:val="yTable"/>
              <w:jc w:val="center"/>
              <w:rPr>
                <w:sz w:val="18"/>
              </w:rPr>
            </w:pPr>
            <w:r>
              <w:rPr>
                <w:sz w:val="18"/>
              </w:rPr>
              <w:t>2.0</w:t>
            </w:r>
          </w:p>
        </w:tc>
      </w:tr>
    </w:tbl>
    <w:p>
      <w:pPr>
        <w:pStyle w:val="yMiscellaneousHeading"/>
        <w:spacing w:after="80"/>
        <w:rPr>
          <w:i/>
          <w:snapToGrid w:val="0"/>
        </w:rPr>
      </w:pPr>
      <w:r>
        <w:rPr>
          <w:i/>
          <w:snapToGrid w:val="0"/>
        </w:rPr>
        <w:t xml:space="preserve">Class B </w:t>
      </w:r>
    </w:p>
    <w:tbl>
      <w:tblPr>
        <w:tblW w:w="0" w:type="auto"/>
        <w:tblInd w:w="113" w:type="dxa"/>
        <w:tblLayout w:type="fixed"/>
        <w:tblCellMar>
          <w:left w:w="85" w:type="dxa"/>
          <w:right w:w="85" w:type="dxa"/>
        </w:tblCellMar>
        <w:tblLook w:val="0000" w:firstRow="0" w:lastRow="0" w:firstColumn="0" w:lastColumn="0" w:noHBand="0" w:noVBand="0"/>
      </w:tblPr>
      <w:tblGrid>
        <w:gridCol w:w="3686"/>
        <w:gridCol w:w="1701"/>
        <w:gridCol w:w="1701"/>
      </w:tblGrid>
      <w:tr>
        <w:tc>
          <w:tcPr>
            <w:tcW w:w="3686" w:type="dxa"/>
            <w:tcBorders>
              <w:top w:val="single" w:sz="4" w:space="0" w:color="auto"/>
              <w:right w:val="single" w:sz="4" w:space="0" w:color="auto"/>
            </w:tcBorders>
          </w:tcPr>
          <w:p>
            <w:pPr>
              <w:pStyle w:val="yTable"/>
              <w:jc w:val="center"/>
              <w:rPr>
                <w:b/>
                <w:sz w:val="18"/>
              </w:rPr>
            </w:pPr>
            <w:r>
              <w:rPr>
                <w:b/>
                <w:sz w:val="18"/>
              </w:rPr>
              <w:t>Capacity</w:t>
            </w:r>
          </w:p>
        </w:tc>
        <w:tc>
          <w:tcPr>
            <w:tcW w:w="1701" w:type="dxa"/>
            <w:tcBorders>
              <w:top w:val="single" w:sz="4" w:space="0" w:color="auto"/>
              <w:left w:val="single" w:sz="4" w:space="0" w:color="auto"/>
              <w:right w:val="single" w:sz="4" w:space="0" w:color="auto"/>
            </w:tcBorders>
          </w:tcPr>
          <w:p>
            <w:pPr>
              <w:pStyle w:val="yTable"/>
              <w:jc w:val="center"/>
              <w:rPr>
                <w:b/>
                <w:sz w:val="18"/>
              </w:rPr>
            </w:pPr>
            <w:r>
              <w:rPr>
                <w:b/>
                <w:sz w:val="18"/>
              </w:rPr>
              <w:t>Sensitiveness</w:t>
            </w:r>
          </w:p>
        </w:tc>
        <w:tc>
          <w:tcPr>
            <w:tcW w:w="1701" w:type="dxa"/>
            <w:tcBorders>
              <w:top w:val="single" w:sz="4" w:space="0" w:color="auto"/>
              <w:left w:val="single" w:sz="4" w:space="0" w:color="auto"/>
            </w:tcBorders>
          </w:tcPr>
          <w:p>
            <w:pPr>
              <w:pStyle w:val="yTable"/>
              <w:jc w:val="center"/>
              <w:rPr>
                <w:b/>
                <w:sz w:val="18"/>
              </w:rPr>
            </w:pPr>
            <w:r>
              <w:rPr>
                <w:b/>
                <w:sz w:val="18"/>
              </w:rPr>
              <w:t>Error in Excess or Deficiency when fully loaded</w:t>
            </w:r>
          </w:p>
        </w:tc>
      </w:tr>
      <w:tr>
        <w:tc>
          <w:tcPr>
            <w:tcW w:w="3686" w:type="dxa"/>
            <w:tcBorders>
              <w:top w:val="single" w:sz="4" w:space="0" w:color="auto"/>
              <w:right w:val="single" w:sz="4" w:space="0" w:color="auto"/>
            </w:tcBorders>
          </w:tcPr>
          <w:p>
            <w:pPr>
              <w:pStyle w:val="yTable"/>
              <w:rPr>
                <w:sz w:val="18"/>
              </w:rPr>
            </w:pPr>
          </w:p>
        </w:tc>
        <w:tc>
          <w:tcPr>
            <w:tcW w:w="1701" w:type="dxa"/>
            <w:tcBorders>
              <w:top w:val="single" w:sz="4" w:space="0" w:color="auto"/>
              <w:left w:val="single" w:sz="4" w:space="0" w:color="auto"/>
              <w:right w:val="single" w:sz="4" w:space="0" w:color="auto"/>
            </w:tcBorders>
          </w:tcPr>
          <w:p>
            <w:pPr>
              <w:pStyle w:val="yTable"/>
              <w:jc w:val="center"/>
              <w:rPr>
                <w:sz w:val="18"/>
              </w:rPr>
            </w:pPr>
            <w:r>
              <w:rPr>
                <w:sz w:val="18"/>
              </w:rPr>
              <w:t>Grains</w:t>
            </w:r>
          </w:p>
        </w:tc>
        <w:tc>
          <w:tcPr>
            <w:tcW w:w="1701" w:type="dxa"/>
            <w:tcBorders>
              <w:top w:val="single" w:sz="4" w:space="0" w:color="auto"/>
              <w:left w:val="single" w:sz="4" w:space="0" w:color="auto"/>
            </w:tcBorders>
          </w:tcPr>
          <w:p>
            <w:pPr>
              <w:pStyle w:val="yTable"/>
              <w:jc w:val="center"/>
              <w:rPr>
                <w:sz w:val="18"/>
              </w:rPr>
            </w:pPr>
            <w:r>
              <w:rPr>
                <w:sz w:val="18"/>
              </w:rPr>
              <w:t>Grains</w:t>
            </w:r>
          </w:p>
        </w:tc>
      </w:tr>
      <w:tr>
        <w:tc>
          <w:tcPr>
            <w:tcW w:w="3686" w:type="dxa"/>
            <w:tcBorders>
              <w:right w:val="single" w:sz="4" w:space="0" w:color="auto"/>
            </w:tcBorders>
          </w:tcPr>
          <w:p>
            <w:pPr>
              <w:pStyle w:val="yTable"/>
              <w:rPr>
                <w:sz w:val="18"/>
              </w:rPr>
            </w:pPr>
            <w:r>
              <w:rPr>
                <w:sz w:val="18"/>
              </w:rPr>
              <w:t>1 to 3 oz. ..............................................................</w:t>
            </w:r>
          </w:p>
        </w:tc>
        <w:tc>
          <w:tcPr>
            <w:tcW w:w="1701" w:type="dxa"/>
            <w:tcBorders>
              <w:left w:val="single" w:sz="4" w:space="0" w:color="auto"/>
              <w:right w:val="single" w:sz="4" w:space="0" w:color="auto"/>
            </w:tcBorders>
          </w:tcPr>
          <w:p>
            <w:pPr>
              <w:pStyle w:val="yTable"/>
              <w:jc w:val="center"/>
              <w:rPr>
                <w:sz w:val="18"/>
              </w:rPr>
            </w:pPr>
            <w:r>
              <w:rPr>
                <w:sz w:val="18"/>
              </w:rPr>
              <w:t>½</w:t>
            </w:r>
          </w:p>
        </w:tc>
        <w:tc>
          <w:tcPr>
            <w:tcW w:w="1701" w:type="dxa"/>
            <w:tcBorders>
              <w:left w:val="single" w:sz="4" w:space="0" w:color="auto"/>
            </w:tcBorders>
          </w:tcPr>
          <w:p>
            <w:pPr>
              <w:pStyle w:val="yTable"/>
              <w:jc w:val="center"/>
              <w:rPr>
                <w:sz w:val="18"/>
              </w:rPr>
            </w:pPr>
            <w:r>
              <w:rPr>
                <w:sz w:val="18"/>
              </w:rPr>
              <w:t>½</w:t>
            </w:r>
          </w:p>
        </w:tc>
      </w:tr>
      <w:tr>
        <w:tc>
          <w:tcPr>
            <w:tcW w:w="3686" w:type="dxa"/>
            <w:tcBorders>
              <w:right w:val="single" w:sz="4" w:space="0" w:color="auto"/>
            </w:tcBorders>
          </w:tcPr>
          <w:p>
            <w:pPr>
              <w:pStyle w:val="yTable"/>
              <w:rPr>
                <w:sz w:val="18"/>
              </w:rPr>
            </w:pPr>
            <w:r>
              <w:rPr>
                <w:sz w:val="18"/>
              </w:rPr>
              <w:t>4 to 8 oz. ..............................................................</w:t>
            </w:r>
          </w:p>
        </w:tc>
        <w:tc>
          <w:tcPr>
            <w:tcW w:w="1701" w:type="dxa"/>
            <w:tcBorders>
              <w:left w:val="single" w:sz="4" w:space="0" w:color="auto"/>
              <w:right w:val="single" w:sz="4" w:space="0" w:color="auto"/>
            </w:tcBorders>
          </w:tcPr>
          <w:p>
            <w:pPr>
              <w:pStyle w:val="yTable"/>
              <w:jc w:val="center"/>
              <w:rPr>
                <w:sz w:val="18"/>
              </w:rPr>
            </w:pPr>
            <w:r>
              <w:rPr>
                <w:sz w:val="18"/>
              </w:rPr>
              <w:t>1</w:t>
            </w:r>
          </w:p>
        </w:tc>
        <w:tc>
          <w:tcPr>
            <w:tcW w:w="1701" w:type="dxa"/>
            <w:tcBorders>
              <w:left w:val="single" w:sz="4" w:space="0" w:color="auto"/>
            </w:tcBorders>
          </w:tcPr>
          <w:p>
            <w:pPr>
              <w:pStyle w:val="yTable"/>
              <w:jc w:val="center"/>
              <w:rPr>
                <w:sz w:val="18"/>
              </w:rPr>
            </w:pPr>
            <w:r>
              <w:rPr>
                <w:sz w:val="18"/>
              </w:rPr>
              <w:t>1</w:t>
            </w:r>
          </w:p>
        </w:tc>
      </w:tr>
      <w:tr>
        <w:tc>
          <w:tcPr>
            <w:tcW w:w="3686" w:type="dxa"/>
            <w:tcBorders>
              <w:right w:val="single" w:sz="4" w:space="0" w:color="auto"/>
            </w:tcBorders>
          </w:tcPr>
          <w:p>
            <w:pPr>
              <w:pStyle w:val="yTable"/>
              <w:rPr>
                <w:sz w:val="18"/>
              </w:rPr>
            </w:pPr>
            <w:r>
              <w:rPr>
                <w:sz w:val="18"/>
              </w:rPr>
              <w:t>9 oz. to 1 lb. .........................................................</w:t>
            </w:r>
          </w:p>
        </w:tc>
        <w:tc>
          <w:tcPr>
            <w:tcW w:w="1701" w:type="dxa"/>
            <w:tcBorders>
              <w:left w:val="single" w:sz="4" w:space="0" w:color="auto"/>
              <w:right w:val="single" w:sz="4" w:space="0" w:color="auto"/>
            </w:tcBorders>
          </w:tcPr>
          <w:p>
            <w:pPr>
              <w:pStyle w:val="yTable"/>
              <w:jc w:val="center"/>
              <w:rPr>
                <w:sz w:val="18"/>
              </w:rPr>
            </w:pPr>
            <w:r>
              <w:rPr>
                <w:sz w:val="18"/>
              </w:rPr>
              <w:t>1 ½</w:t>
            </w:r>
          </w:p>
        </w:tc>
        <w:tc>
          <w:tcPr>
            <w:tcW w:w="1701" w:type="dxa"/>
            <w:tcBorders>
              <w:left w:val="single" w:sz="4" w:space="0" w:color="auto"/>
            </w:tcBorders>
          </w:tcPr>
          <w:p>
            <w:pPr>
              <w:pStyle w:val="yTable"/>
              <w:jc w:val="center"/>
              <w:rPr>
                <w:sz w:val="18"/>
              </w:rPr>
            </w:pPr>
            <w:r>
              <w:rPr>
                <w:sz w:val="18"/>
              </w:rPr>
              <w:t>1 ½</w:t>
            </w:r>
          </w:p>
        </w:tc>
      </w:tr>
      <w:tr>
        <w:tc>
          <w:tcPr>
            <w:tcW w:w="3686" w:type="dxa"/>
            <w:tcBorders>
              <w:right w:val="single" w:sz="4" w:space="0" w:color="auto"/>
            </w:tcBorders>
          </w:tcPr>
          <w:p>
            <w:pPr>
              <w:pStyle w:val="yTable"/>
              <w:rPr>
                <w:sz w:val="18"/>
              </w:rPr>
            </w:pPr>
            <w:r>
              <w:rPr>
                <w:sz w:val="18"/>
              </w:rPr>
              <w:t>2 lb. ......................................................................</w:t>
            </w:r>
          </w:p>
        </w:tc>
        <w:tc>
          <w:tcPr>
            <w:tcW w:w="1701" w:type="dxa"/>
            <w:tcBorders>
              <w:left w:val="single" w:sz="4" w:space="0" w:color="auto"/>
              <w:right w:val="single" w:sz="4" w:space="0" w:color="auto"/>
            </w:tcBorders>
          </w:tcPr>
          <w:p>
            <w:pPr>
              <w:pStyle w:val="yTable"/>
              <w:jc w:val="center"/>
              <w:rPr>
                <w:sz w:val="18"/>
              </w:rPr>
            </w:pPr>
            <w:r>
              <w:rPr>
                <w:sz w:val="18"/>
              </w:rPr>
              <w:t>2</w:t>
            </w:r>
          </w:p>
        </w:tc>
        <w:tc>
          <w:tcPr>
            <w:tcW w:w="1701" w:type="dxa"/>
            <w:tcBorders>
              <w:left w:val="single" w:sz="4" w:space="0" w:color="auto"/>
            </w:tcBorders>
          </w:tcPr>
          <w:p>
            <w:pPr>
              <w:pStyle w:val="yTable"/>
              <w:jc w:val="center"/>
              <w:rPr>
                <w:sz w:val="18"/>
              </w:rPr>
            </w:pPr>
            <w:r>
              <w:rPr>
                <w:sz w:val="18"/>
              </w:rPr>
              <w:t>2</w:t>
            </w:r>
          </w:p>
        </w:tc>
      </w:tr>
      <w:tr>
        <w:tc>
          <w:tcPr>
            <w:tcW w:w="3686" w:type="dxa"/>
            <w:tcBorders>
              <w:right w:val="single" w:sz="4" w:space="0" w:color="auto"/>
            </w:tcBorders>
          </w:tcPr>
          <w:p>
            <w:pPr>
              <w:pStyle w:val="yTable"/>
              <w:rPr>
                <w:sz w:val="18"/>
              </w:rPr>
            </w:pPr>
            <w:r>
              <w:rPr>
                <w:sz w:val="18"/>
              </w:rPr>
              <w:t>4 lb. ......................................................................</w:t>
            </w:r>
          </w:p>
        </w:tc>
        <w:tc>
          <w:tcPr>
            <w:tcW w:w="1701" w:type="dxa"/>
            <w:tcBorders>
              <w:left w:val="single" w:sz="4" w:space="0" w:color="auto"/>
              <w:right w:val="single" w:sz="4" w:space="0" w:color="auto"/>
            </w:tcBorders>
          </w:tcPr>
          <w:p>
            <w:pPr>
              <w:pStyle w:val="yTable"/>
              <w:jc w:val="center"/>
              <w:rPr>
                <w:sz w:val="18"/>
              </w:rPr>
            </w:pPr>
            <w:r>
              <w:rPr>
                <w:sz w:val="18"/>
              </w:rPr>
              <w:t>3</w:t>
            </w:r>
          </w:p>
        </w:tc>
        <w:tc>
          <w:tcPr>
            <w:tcW w:w="1701" w:type="dxa"/>
            <w:tcBorders>
              <w:left w:val="single" w:sz="4" w:space="0" w:color="auto"/>
            </w:tcBorders>
          </w:tcPr>
          <w:p>
            <w:pPr>
              <w:pStyle w:val="yTable"/>
              <w:jc w:val="center"/>
              <w:rPr>
                <w:sz w:val="18"/>
              </w:rPr>
            </w:pPr>
            <w:r>
              <w:rPr>
                <w:sz w:val="18"/>
              </w:rPr>
              <w:t>4</w:t>
            </w:r>
          </w:p>
        </w:tc>
      </w:tr>
      <w:tr>
        <w:tc>
          <w:tcPr>
            <w:tcW w:w="3686" w:type="dxa"/>
            <w:tcBorders>
              <w:right w:val="single" w:sz="4" w:space="0" w:color="auto"/>
            </w:tcBorders>
          </w:tcPr>
          <w:p>
            <w:pPr>
              <w:pStyle w:val="yTable"/>
              <w:rPr>
                <w:sz w:val="18"/>
              </w:rPr>
            </w:pPr>
            <w:r>
              <w:rPr>
                <w:sz w:val="18"/>
              </w:rPr>
              <w:t>7 lb. ......................................................................</w:t>
            </w:r>
          </w:p>
        </w:tc>
        <w:tc>
          <w:tcPr>
            <w:tcW w:w="1701" w:type="dxa"/>
            <w:tcBorders>
              <w:left w:val="single" w:sz="4" w:space="0" w:color="auto"/>
              <w:right w:val="single" w:sz="4" w:space="0" w:color="auto"/>
            </w:tcBorders>
          </w:tcPr>
          <w:p>
            <w:pPr>
              <w:pStyle w:val="yTable"/>
              <w:jc w:val="center"/>
              <w:rPr>
                <w:sz w:val="18"/>
              </w:rPr>
            </w:pPr>
            <w:r>
              <w:rPr>
                <w:sz w:val="18"/>
              </w:rPr>
              <w:t>4</w:t>
            </w:r>
          </w:p>
        </w:tc>
        <w:tc>
          <w:tcPr>
            <w:tcW w:w="1701" w:type="dxa"/>
            <w:tcBorders>
              <w:left w:val="single" w:sz="4" w:space="0" w:color="auto"/>
            </w:tcBorders>
          </w:tcPr>
          <w:p>
            <w:pPr>
              <w:pStyle w:val="yTable"/>
              <w:jc w:val="center"/>
              <w:rPr>
                <w:sz w:val="18"/>
              </w:rPr>
            </w:pPr>
            <w:r>
              <w:rPr>
                <w:sz w:val="18"/>
              </w:rPr>
              <w:t>6</w:t>
            </w:r>
          </w:p>
        </w:tc>
      </w:tr>
      <w:tr>
        <w:tc>
          <w:tcPr>
            <w:tcW w:w="3686" w:type="dxa"/>
            <w:tcBorders>
              <w:right w:val="single" w:sz="4" w:space="0" w:color="auto"/>
            </w:tcBorders>
          </w:tcPr>
          <w:p>
            <w:pPr>
              <w:pStyle w:val="yTable"/>
              <w:rPr>
                <w:sz w:val="18"/>
              </w:rPr>
            </w:pPr>
            <w:r>
              <w:rPr>
                <w:sz w:val="18"/>
              </w:rPr>
              <w:t>10 lb. ....................................................................</w:t>
            </w:r>
          </w:p>
        </w:tc>
        <w:tc>
          <w:tcPr>
            <w:tcW w:w="1701" w:type="dxa"/>
            <w:tcBorders>
              <w:left w:val="single" w:sz="4" w:space="0" w:color="auto"/>
              <w:right w:val="single" w:sz="4" w:space="0" w:color="auto"/>
            </w:tcBorders>
          </w:tcPr>
          <w:p>
            <w:pPr>
              <w:pStyle w:val="yTable"/>
              <w:jc w:val="center"/>
              <w:rPr>
                <w:sz w:val="18"/>
              </w:rPr>
            </w:pPr>
            <w:r>
              <w:rPr>
                <w:sz w:val="18"/>
              </w:rPr>
              <w:t>6</w:t>
            </w:r>
          </w:p>
        </w:tc>
        <w:tc>
          <w:tcPr>
            <w:tcW w:w="1701" w:type="dxa"/>
            <w:tcBorders>
              <w:left w:val="single" w:sz="4" w:space="0" w:color="auto"/>
            </w:tcBorders>
          </w:tcPr>
          <w:p>
            <w:pPr>
              <w:pStyle w:val="yTable"/>
              <w:jc w:val="center"/>
              <w:rPr>
                <w:sz w:val="18"/>
              </w:rPr>
            </w:pPr>
            <w:r>
              <w:rPr>
                <w:sz w:val="18"/>
              </w:rPr>
              <w:t>9</w:t>
            </w:r>
          </w:p>
        </w:tc>
      </w:tr>
      <w:tr>
        <w:tc>
          <w:tcPr>
            <w:tcW w:w="3686" w:type="dxa"/>
            <w:tcBorders>
              <w:right w:val="single" w:sz="4" w:space="0" w:color="auto"/>
            </w:tcBorders>
          </w:tcPr>
          <w:p>
            <w:pPr>
              <w:pStyle w:val="yTable"/>
              <w:rPr>
                <w:sz w:val="18"/>
              </w:rPr>
            </w:pPr>
            <w:r>
              <w:rPr>
                <w:sz w:val="18"/>
              </w:rPr>
              <w:t>14 lb. ....................................................................</w:t>
            </w:r>
          </w:p>
        </w:tc>
        <w:tc>
          <w:tcPr>
            <w:tcW w:w="1701" w:type="dxa"/>
            <w:tcBorders>
              <w:left w:val="single" w:sz="4" w:space="0" w:color="auto"/>
              <w:right w:val="single" w:sz="4" w:space="0" w:color="auto"/>
            </w:tcBorders>
          </w:tcPr>
          <w:p>
            <w:pPr>
              <w:pStyle w:val="yTable"/>
              <w:jc w:val="center"/>
              <w:rPr>
                <w:sz w:val="18"/>
              </w:rPr>
            </w:pPr>
            <w:r>
              <w:rPr>
                <w:sz w:val="18"/>
              </w:rPr>
              <w:t>8</w:t>
            </w:r>
          </w:p>
        </w:tc>
        <w:tc>
          <w:tcPr>
            <w:tcW w:w="1701" w:type="dxa"/>
            <w:tcBorders>
              <w:left w:val="single" w:sz="4" w:space="0" w:color="auto"/>
            </w:tcBorders>
          </w:tcPr>
          <w:p>
            <w:pPr>
              <w:pStyle w:val="yTable"/>
              <w:jc w:val="center"/>
              <w:rPr>
                <w:sz w:val="18"/>
              </w:rPr>
            </w:pPr>
            <w:r>
              <w:rPr>
                <w:sz w:val="18"/>
              </w:rPr>
              <w:t>12</w:t>
            </w:r>
          </w:p>
        </w:tc>
      </w:tr>
      <w:tr>
        <w:tc>
          <w:tcPr>
            <w:tcW w:w="3686" w:type="dxa"/>
            <w:tcBorders>
              <w:right w:val="single" w:sz="4" w:space="0" w:color="auto"/>
            </w:tcBorders>
          </w:tcPr>
          <w:p>
            <w:pPr>
              <w:pStyle w:val="yTable"/>
              <w:rPr>
                <w:sz w:val="18"/>
              </w:rPr>
            </w:pPr>
            <w:r>
              <w:rPr>
                <w:sz w:val="18"/>
              </w:rPr>
              <w:t>28 lb. ....................................................................</w:t>
            </w:r>
          </w:p>
        </w:tc>
        <w:tc>
          <w:tcPr>
            <w:tcW w:w="1701" w:type="dxa"/>
            <w:tcBorders>
              <w:left w:val="single" w:sz="4" w:space="0" w:color="auto"/>
              <w:right w:val="single" w:sz="4" w:space="0" w:color="auto"/>
            </w:tcBorders>
          </w:tcPr>
          <w:p>
            <w:pPr>
              <w:pStyle w:val="yTable"/>
              <w:jc w:val="center"/>
              <w:rPr>
                <w:sz w:val="18"/>
              </w:rPr>
            </w:pPr>
            <w:r>
              <w:rPr>
                <w:sz w:val="18"/>
              </w:rPr>
              <w:t>15</w:t>
            </w:r>
          </w:p>
        </w:tc>
        <w:tc>
          <w:tcPr>
            <w:tcW w:w="1701" w:type="dxa"/>
            <w:tcBorders>
              <w:left w:val="single" w:sz="4" w:space="0" w:color="auto"/>
            </w:tcBorders>
          </w:tcPr>
          <w:p>
            <w:pPr>
              <w:pStyle w:val="yTable"/>
              <w:jc w:val="center"/>
              <w:rPr>
                <w:sz w:val="18"/>
              </w:rPr>
            </w:pPr>
            <w:r>
              <w:rPr>
                <w:sz w:val="18"/>
              </w:rPr>
              <w:t>22</w:t>
            </w:r>
          </w:p>
        </w:tc>
      </w:tr>
      <w:tr>
        <w:tc>
          <w:tcPr>
            <w:tcW w:w="3686" w:type="dxa"/>
            <w:tcBorders>
              <w:right w:val="single" w:sz="4" w:space="0" w:color="auto"/>
            </w:tcBorders>
          </w:tcPr>
          <w:p>
            <w:pPr>
              <w:pStyle w:val="yTable"/>
              <w:rPr>
                <w:sz w:val="18"/>
              </w:rPr>
            </w:pPr>
            <w:r>
              <w:rPr>
                <w:sz w:val="18"/>
              </w:rPr>
              <w:t>56 lb. ....................................................................</w:t>
            </w:r>
          </w:p>
        </w:tc>
        <w:tc>
          <w:tcPr>
            <w:tcW w:w="1701" w:type="dxa"/>
            <w:tcBorders>
              <w:left w:val="single" w:sz="4" w:space="0" w:color="auto"/>
              <w:right w:val="single" w:sz="4" w:space="0" w:color="auto"/>
            </w:tcBorders>
          </w:tcPr>
          <w:p>
            <w:pPr>
              <w:pStyle w:val="yTable"/>
              <w:jc w:val="center"/>
              <w:rPr>
                <w:sz w:val="18"/>
              </w:rPr>
            </w:pPr>
            <w:r>
              <w:rPr>
                <w:sz w:val="18"/>
              </w:rPr>
              <w:t>25</w:t>
            </w:r>
          </w:p>
        </w:tc>
        <w:tc>
          <w:tcPr>
            <w:tcW w:w="1701" w:type="dxa"/>
            <w:tcBorders>
              <w:left w:val="single" w:sz="4" w:space="0" w:color="auto"/>
            </w:tcBorders>
          </w:tcPr>
          <w:p>
            <w:pPr>
              <w:pStyle w:val="yTable"/>
              <w:jc w:val="center"/>
              <w:rPr>
                <w:sz w:val="18"/>
              </w:rPr>
            </w:pPr>
            <w:r>
              <w:rPr>
                <w:sz w:val="18"/>
              </w:rPr>
              <w:t>40</w:t>
            </w:r>
          </w:p>
        </w:tc>
      </w:tr>
      <w:tr>
        <w:tc>
          <w:tcPr>
            <w:tcW w:w="3686" w:type="dxa"/>
            <w:tcBorders>
              <w:right w:val="single" w:sz="4" w:space="0" w:color="auto"/>
            </w:tcBorders>
          </w:tcPr>
          <w:p>
            <w:pPr>
              <w:pStyle w:val="yTable"/>
              <w:rPr>
                <w:sz w:val="18"/>
              </w:rPr>
            </w:pPr>
          </w:p>
        </w:tc>
        <w:tc>
          <w:tcPr>
            <w:tcW w:w="1701" w:type="dxa"/>
            <w:tcBorders>
              <w:left w:val="single" w:sz="4" w:space="0" w:color="auto"/>
              <w:right w:val="single" w:sz="4" w:space="0" w:color="auto"/>
            </w:tcBorders>
          </w:tcPr>
          <w:p>
            <w:pPr>
              <w:pStyle w:val="yTable"/>
              <w:jc w:val="center"/>
              <w:rPr>
                <w:sz w:val="18"/>
              </w:rPr>
            </w:pPr>
            <w:r>
              <w:rPr>
                <w:sz w:val="18"/>
              </w:rPr>
              <w:t>Drachms</w:t>
            </w:r>
          </w:p>
        </w:tc>
        <w:tc>
          <w:tcPr>
            <w:tcW w:w="1701" w:type="dxa"/>
            <w:tcBorders>
              <w:left w:val="single" w:sz="4" w:space="0" w:color="auto"/>
            </w:tcBorders>
          </w:tcPr>
          <w:p>
            <w:pPr>
              <w:pStyle w:val="yTable"/>
              <w:jc w:val="center"/>
              <w:rPr>
                <w:sz w:val="18"/>
              </w:rPr>
            </w:pPr>
            <w:r>
              <w:rPr>
                <w:sz w:val="18"/>
              </w:rPr>
              <w:t>Drachms</w:t>
            </w:r>
          </w:p>
        </w:tc>
      </w:tr>
      <w:tr>
        <w:tc>
          <w:tcPr>
            <w:tcW w:w="3686" w:type="dxa"/>
            <w:tcBorders>
              <w:right w:val="single" w:sz="4" w:space="0" w:color="auto"/>
            </w:tcBorders>
          </w:tcPr>
          <w:p>
            <w:pPr>
              <w:pStyle w:val="yTable"/>
              <w:rPr>
                <w:sz w:val="18"/>
              </w:rPr>
            </w:pPr>
            <w:r>
              <w:rPr>
                <w:sz w:val="18"/>
              </w:rPr>
              <w:t>112 lb. ..................................................................</w:t>
            </w:r>
          </w:p>
        </w:tc>
        <w:tc>
          <w:tcPr>
            <w:tcW w:w="1701" w:type="dxa"/>
            <w:tcBorders>
              <w:left w:val="single" w:sz="4" w:space="0" w:color="auto"/>
              <w:right w:val="single" w:sz="4" w:space="0" w:color="auto"/>
            </w:tcBorders>
          </w:tcPr>
          <w:p>
            <w:pPr>
              <w:pStyle w:val="yTable"/>
              <w:jc w:val="center"/>
              <w:rPr>
                <w:sz w:val="18"/>
              </w:rPr>
            </w:pPr>
            <w:r>
              <w:rPr>
                <w:sz w:val="18"/>
              </w:rPr>
              <w:t>1 ½</w:t>
            </w:r>
          </w:p>
        </w:tc>
        <w:tc>
          <w:tcPr>
            <w:tcW w:w="1701" w:type="dxa"/>
            <w:tcBorders>
              <w:left w:val="single" w:sz="4" w:space="0" w:color="auto"/>
            </w:tcBorders>
          </w:tcPr>
          <w:p>
            <w:pPr>
              <w:pStyle w:val="yTable"/>
              <w:jc w:val="center"/>
              <w:rPr>
                <w:sz w:val="18"/>
              </w:rPr>
            </w:pPr>
            <w:r>
              <w:rPr>
                <w:sz w:val="18"/>
              </w:rPr>
              <w:t>2 ½</w:t>
            </w:r>
          </w:p>
        </w:tc>
      </w:tr>
      <w:tr>
        <w:tc>
          <w:tcPr>
            <w:tcW w:w="3686" w:type="dxa"/>
            <w:tcBorders>
              <w:right w:val="single" w:sz="4" w:space="0" w:color="auto"/>
            </w:tcBorders>
          </w:tcPr>
          <w:p>
            <w:pPr>
              <w:pStyle w:val="yTable"/>
              <w:rPr>
                <w:sz w:val="18"/>
              </w:rPr>
            </w:pPr>
            <w:r>
              <w:rPr>
                <w:sz w:val="18"/>
              </w:rPr>
              <w:t>224 lb. ..................................................................</w:t>
            </w:r>
          </w:p>
        </w:tc>
        <w:tc>
          <w:tcPr>
            <w:tcW w:w="1701" w:type="dxa"/>
            <w:tcBorders>
              <w:left w:val="single" w:sz="4" w:space="0" w:color="auto"/>
              <w:right w:val="single" w:sz="4" w:space="0" w:color="auto"/>
            </w:tcBorders>
          </w:tcPr>
          <w:p>
            <w:pPr>
              <w:pStyle w:val="yTable"/>
              <w:jc w:val="center"/>
              <w:rPr>
                <w:sz w:val="18"/>
              </w:rPr>
            </w:pPr>
            <w:r>
              <w:rPr>
                <w:sz w:val="18"/>
              </w:rPr>
              <w:t>2 ½</w:t>
            </w:r>
          </w:p>
        </w:tc>
        <w:tc>
          <w:tcPr>
            <w:tcW w:w="1701" w:type="dxa"/>
            <w:tcBorders>
              <w:left w:val="single" w:sz="4" w:space="0" w:color="auto"/>
            </w:tcBorders>
          </w:tcPr>
          <w:p>
            <w:pPr>
              <w:pStyle w:val="yTable"/>
              <w:jc w:val="center"/>
              <w:rPr>
                <w:sz w:val="18"/>
              </w:rPr>
            </w:pPr>
            <w:r>
              <w:rPr>
                <w:sz w:val="18"/>
              </w:rPr>
              <w:t>3 ½</w:t>
            </w:r>
          </w:p>
        </w:tc>
      </w:tr>
      <w:tr>
        <w:tc>
          <w:tcPr>
            <w:tcW w:w="3686" w:type="dxa"/>
            <w:tcBorders>
              <w:bottom w:val="single" w:sz="4" w:space="0" w:color="auto"/>
              <w:right w:val="single" w:sz="4" w:space="0" w:color="auto"/>
            </w:tcBorders>
          </w:tcPr>
          <w:p>
            <w:pPr>
              <w:pStyle w:val="yTable"/>
              <w:rPr>
                <w:sz w:val="18"/>
              </w:rPr>
            </w:pPr>
            <w:r>
              <w:rPr>
                <w:sz w:val="18"/>
              </w:rPr>
              <w:t>Above 224 lb. ......................................................</w:t>
            </w:r>
          </w:p>
        </w:tc>
        <w:tc>
          <w:tcPr>
            <w:tcW w:w="1701" w:type="dxa"/>
            <w:tcBorders>
              <w:left w:val="single" w:sz="4" w:space="0" w:color="auto"/>
              <w:bottom w:val="single" w:sz="4" w:space="0" w:color="auto"/>
              <w:right w:val="single" w:sz="4" w:space="0" w:color="auto"/>
            </w:tcBorders>
          </w:tcPr>
          <w:p>
            <w:pPr>
              <w:pStyle w:val="yTable"/>
              <w:jc w:val="center"/>
              <w:rPr>
                <w:sz w:val="18"/>
              </w:rPr>
            </w:pPr>
            <w:r>
              <w:rPr>
                <w:sz w:val="18"/>
              </w:rPr>
              <w:t>Add ½ drachm for each cwt. of capacity</w:t>
            </w:r>
          </w:p>
        </w:tc>
        <w:tc>
          <w:tcPr>
            <w:tcW w:w="1701" w:type="dxa"/>
            <w:tcBorders>
              <w:left w:val="single" w:sz="4" w:space="0" w:color="auto"/>
              <w:bottom w:val="single" w:sz="4" w:space="0" w:color="auto"/>
            </w:tcBorders>
          </w:tcPr>
          <w:p>
            <w:pPr>
              <w:pStyle w:val="yTable"/>
              <w:jc w:val="center"/>
              <w:rPr>
                <w:sz w:val="18"/>
              </w:rPr>
            </w:pPr>
            <w:r>
              <w:rPr>
                <w:sz w:val="18"/>
              </w:rPr>
              <w:t>Add 1 drachm for each cwt. of capacity</w:t>
            </w:r>
          </w:p>
        </w:tc>
      </w:tr>
    </w:tbl>
    <w:p>
      <w:pPr>
        <w:pStyle w:val="yMiscellaneousBody"/>
        <w:spacing w:before="60"/>
        <w:jc w:val="center"/>
        <w:rPr>
          <w:snapToGrid w:val="0"/>
          <w:sz w:val="18"/>
        </w:rPr>
      </w:pPr>
      <w:r>
        <w:rPr>
          <w:snapToGrid w:val="0"/>
          <w:sz w:val="18"/>
        </w:rPr>
        <w:t>Four times the errors specified for Class B shall be allowed on Class C instruments.</w:t>
      </w:r>
    </w:p>
    <w:p>
      <w:pPr>
        <w:pStyle w:val="yScheduleHeading"/>
        <w:outlineLvl w:val="0"/>
      </w:pPr>
      <w:bookmarkStart w:id="240" w:name="_Toc390077265"/>
      <w:r>
        <w:rPr>
          <w:rStyle w:val="CharSchNo"/>
        </w:rPr>
        <w:t>Table VII</w:t>
      </w:r>
      <w:bookmarkEnd w:id="240"/>
    </w:p>
    <w:p>
      <w:pPr>
        <w:pStyle w:val="yMiscellaneousHeading"/>
        <w:spacing w:after="80"/>
        <w:rPr>
          <w:i/>
          <w:snapToGrid w:val="0"/>
        </w:rPr>
      </w:pPr>
      <w:r>
        <w:rPr>
          <w:i/>
          <w:snapToGrid w:val="0"/>
        </w:rPr>
        <w:t>Counter Scales</w:t>
      </w:r>
    </w:p>
    <w:tbl>
      <w:tblPr>
        <w:tblW w:w="0" w:type="auto"/>
        <w:tblInd w:w="113" w:type="dxa"/>
        <w:tblLayout w:type="fixed"/>
        <w:tblCellMar>
          <w:left w:w="85" w:type="dxa"/>
          <w:right w:w="85" w:type="dxa"/>
        </w:tblCellMar>
        <w:tblLook w:val="0000" w:firstRow="0" w:lastRow="0" w:firstColumn="0" w:lastColumn="0" w:noHBand="0" w:noVBand="0"/>
      </w:tblPr>
      <w:tblGrid>
        <w:gridCol w:w="3544"/>
        <w:gridCol w:w="1843"/>
        <w:gridCol w:w="1701"/>
      </w:tblGrid>
      <w:tr>
        <w:tc>
          <w:tcPr>
            <w:tcW w:w="3544" w:type="dxa"/>
            <w:tcBorders>
              <w:top w:val="single" w:sz="4" w:space="0" w:color="auto"/>
            </w:tcBorders>
          </w:tcPr>
          <w:p>
            <w:pPr>
              <w:pStyle w:val="yTable"/>
              <w:jc w:val="center"/>
              <w:rPr>
                <w:b/>
                <w:sz w:val="18"/>
              </w:rPr>
            </w:pPr>
          </w:p>
        </w:tc>
        <w:tc>
          <w:tcPr>
            <w:tcW w:w="1843" w:type="dxa"/>
            <w:tcBorders>
              <w:top w:val="single" w:sz="4" w:space="0" w:color="auto"/>
              <w:left w:val="single" w:sz="4" w:space="0" w:color="auto"/>
              <w:bottom w:val="single" w:sz="4" w:space="0" w:color="auto"/>
              <w:right w:val="single" w:sz="4" w:space="0" w:color="auto"/>
            </w:tcBorders>
          </w:tcPr>
          <w:p>
            <w:pPr>
              <w:pStyle w:val="yTable"/>
              <w:jc w:val="center"/>
              <w:rPr>
                <w:b/>
                <w:sz w:val="18"/>
              </w:rPr>
            </w:pPr>
            <w:r>
              <w:rPr>
                <w:b/>
                <w:sz w:val="18"/>
              </w:rPr>
              <w:t>Vibrating</w:t>
            </w:r>
          </w:p>
        </w:tc>
        <w:tc>
          <w:tcPr>
            <w:tcW w:w="1701" w:type="dxa"/>
            <w:tcBorders>
              <w:top w:val="single" w:sz="4" w:space="0" w:color="auto"/>
              <w:left w:val="single" w:sz="4" w:space="0" w:color="auto"/>
              <w:bottom w:val="single" w:sz="4" w:space="0" w:color="auto"/>
            </w:tcBorders>
          </w:tcPr>
          <w:p>
            <w:pPr>
              <w:pStyle w:val="yTable"/>
              <w:jc w:val="center"/>
              <w:rPr>
                <w:b/>
                <w:sz w:val="18"/>
              </w:rPr>
            </w:pPr>
            <w:r>
              <w:rPr>
                <w:b/>
                <w:sz w:val="18"/>
              </w:rPr>
              <w:t>Vibrating or Accelerating</w:t>
            </w:r>
          </w:p>
        </w:tc>
      </w:tr>
      <w:tr>
        <w:tc>
          <w:tcPr>
            <w:tcW w:w="3544" w:type="dxa"/>
            <w:tcBorders>
              <w:bottom w:val="single" w:sz="4" w:space="0" w:color="auto"/>
            </w:tcBorders>
          </w:tcPr>
          <w:p>
            <w:pPr>
              <w:pStyle w:val="yTable"/>
              <w:jc w:val="center"/>
              <w:rPr>
                <w:b/>
                <w:sz w:val="18"/>
              </w:rPr>
            </w:pPr>
            <w:r>
              <w:rPr>
                <w:b/>
                <w:sz w:val="18"/>
              </w:rPr>
              <w:t>Capacity</w:t>
            </w:r>
          </w:p>
        </w:tc>
        <w:tc>
          <w:tcPr>
            <w:tcW w:w="1843" w:type="dxa"/>
            <w:tcBorders>
              <w:left w:val="single" w:sz="4" w:space="0" w:color="auto"/>
              <w:bottom w:val="single" w:sz="4" w:space="0" w:color="auto"/>
              <w:right w:val="single" w:sz="4" w:space="0" w:color="auto"/>
            </w:tcBorders>
          </w:tcPr>
          <w:p>
            <w:pPr>
              <w:pStyle w:val="yTable"/>
              <w:jc w:val="center"/>
              <w:rPr>
                <w:b/>
                <w:sz w:val="18"/>
              </w:rPr>
            </w:pPr>
            <w:r>
              <w:rPr>
                <w:b/>
                <w:sz w:val="18"/>
              </w:rPr>
              <w:t>Sensitiveness when fully loaded</w:t>
            </w:r>
          </w:p>
        </w:tc>
        <w:tc>
          <w:tcPr>
            <w:tcW w:w="1701" w:type="dxa"/>
            <w:tcBorders>
              <w:left w:val="single" w:sz="4" w:space="0" w:color="auto"/>
              <w:bottom w:val="single" w:sz="4" w:space="0" w:color="auto"/>
            </w:tcBorders>
          </w:tcPr>
          <w:p>
            <w:pPr>
              <w:pStyle w:val="yTable"/>
              <w:jc w:val="center"/>
              <w:rPr>
                <w:b/>
                <w:sz w:val="18"/>
              </w:rPr>
            </w:pPr>
            <w:r>
              <w:rPr>
                <w:b/>
                <w:sz w:val="18"/>
              </w:rPr>
              <w:t>Error in Excess or Deficiency when fully loaded</w:t>
            </w:r>
          </w:p>
        </w:tc>
      </w:tr>
      <w:tr>
        <w:tc>
          <w:tcPr>
            <w:tcW w:w="3544" w:type="dxa"/>
          </w:tcPr>
          <w:p>
            <w:pPr>
              <w:pStyle w:val="yTable"/>
              <w:rPr>
                <w:sz w:val="18"/>
              </w:rPr>
            </w:pPr>
            <w:r>
              <w:rPr>
                <w:sz w:val="18"/>
              </w:rPr>
              <w:t>1 lb. ..................................................................</w:t>
            </w:r>
          </w:p>
        </w:tc>
        <w:tc>
          <w:tcPr>
            <w:tcW w:w="1843" w:type="dxa"/>
            <w:tcBorders>
              <w:left w:val="single" w:sz="4" w:space="0" w:color="auto"/>
              <w:right w:val="single" w:sz="4" w:space="0" w:color="auto"/>
            </w:tcBorders>
          </w:tcPr>
          <w:p>
            <w:pPr>
              <w:pStyle w:val="yTable"/>
              <w:jc w:val="center"/>
              <w:rPr>
                <w:sz w:val="18"/>
              </w:rPr>
            </w:pPr>
            <w:r>
              <w:rPr>
                <w:sz w:val="18"/>
              </w:rPr>
              <w:t>20 grains</w:t>
            </w:r>
          </w:p>
        </w:tc>
        <w:tc>
          <w:tcPr>
            <w:tcW w:w="1701" w:type="dxa"/>
            <w:tcBorders>
              <w:left w:val="single" w:sz="4" w:space="0" w:color="auto"/>
            </w:tcBorders>
          </w:tcPr>
          <w:p>
            <w:pPr>
              <w:pStyle w:val="yTable"/>
              <w:jc w:val="center"/>
              <w:rPr>
                <w:sz w:val="18"/>
              </w:rPr>
            </w:pPr>
            <w:r>
              <w:rPr>
                <w:sz w:val="18"/>
              </w:rPr>
              <w:t>30 grains</w:t>
            </w:r>
          </w:p>
        </w:tc>
      </w:tr>
      <w:tr>
        <w:tc>
          <w:tcPr>
            <w:tcW w:w="3544" w:type="dxa"/>
          </w:tcPr>
          <w:p>
            <w:pPr>
              <w:pStyle w:val="yTable"/>
              <w:rPr>
                <w:sz w:val="18"/>
              </w:rPr>
            </w:pPr>
            <w:r>
              <w:rPr>
                <w:sz w:val="18"/>
              </w:rPr>
              <w:t>2 lb. ..................................................................</w:t>
            </w:r>
          </w:p>
        </w:tc>
        <w:tc>
          <w:tcPr>
            <w:tcW w:w="1843" w:type="dxa"/>
            <w:tcBorders>
              <w:left w:val="single" w:sz="4" w:space="0" w:color="auto"/>
              <w:right w:val="single" w:sz="4" w:space="0" w:color="auto"/>
            </w:tcBorders>
          </w:tcPr>
          <w:p>
            <w:pPr>
              <w:pStyle w:val="yTable"/>
              <w:jc w:val="center"/>
              <w:rPr>
                <w:sz w:val="18"/>
              </w:rPr>
            </w:pPr>
            <w:r>
              <w:rPr>
                <w:sz w:val="18"/>
              </w:rPr>
              <w:t>28 grains</w:t>
            </w:r>
          </w:p>
        </w:tc>
        <w:tc>
          <w:tcPr>
            <w:tcW w:w="1701" w:type="dxa"/>
            <w:tcBorders>
              <w:left w:val="single" w:sz="4" w:space="0" w:color="auto"/>
            </w:tcBorders>
          </w:tcPr>
          <w:p>
            <w:pPr>
              <w:pStyle w:val="yTable"/>
              <w:jc w:val="center"/>
              <w:rPr>
                <w:sz w:val="18"/>
              </w:rPr>
            </w:pPr>
            <w:r>
              <w:rPr>
                <w:sz w:val="18"/>
              </w:rPr>
              <w:t>1 ½ drams</w:t>
            </w:r>
          </w:p>
        </w:tc>
      </w:tr>
      <w:tr>
        <w:tc>
          <w:tcPr>
            <w:tcW w:w="3544" w:type="dxa"/>
          </w:tcPr>
          <w:p>
            <w:pPr>
              <w:pStyle w:val="yTable"/>
              <w:rPr>
                <w:sz w:val="18"/>
              </w:rPr>
            </w:pPr>
            <w:r>
              <w:rPr>
                <w:sz w:val="18"/>
              </w:rPr>
              <w:t>4 lb. ..................................................................</w:t>
            </w:r>
          </w:p>
        </w:tc>
        <w:tc>
          <w:tcPr>
            <w:tcW w:w="1843" w:type="dxa"/>
            <w:tcBorders>
              <w:left w:val="single" w:sz="4" w:space="0" w:color="auto"/>
              <w:right w:val="single" w:sz="4" w:space="0" w:color="auto"/>
            </w:tcBorders>
          </w:tcPr>
          <w:p>
            <w:pPr>
              <w:pStyle w:val="yTable"/>
              <w:jc w:val="center"/>
              <w:rPr>
                <w:sz w:val="18"/>
              </w:rPr>
            </w:pPr>
            <w:r>
              <w:rPr>
                <w:sz w:val="18"/>
              </w:rPr>
              <w:t>40 grains</w:t>
            </w:r>
          </w:p>
        </w:tc>
        <w:tc>
          <w:tcPr>
            <w:tcW w:w="1701" w:type="dxa"/>
            <w:tcBorders>
              <w:left w:val="single" w:sz="4" w:space="0" w:color="auto"/>
            </w:tcBorders>
          </w:tcPr>
          <w:p>
            <w:pPr>
              <w:pStyle w:val="yTable"/>
              <w:jc w:val="center"/>
              <w:rPr>
                <w:sz w:val="18"/>
              </w:rPr>
            </w:pPr>
            <w:r>
              <w:rPr>
                <w:sz w:val="18"/>
              </w:rPr>
              <w:t>2 drams</w:t>
            </w:r>
          </w:p>
        </w:tc>
      </w:tr>
      <w:tr>
        <w:tc>
          <w:tcPr>
            <w:tcW w:w="3544" w:type="dxa"/>
          </w:tcPr>
          <w:p>
            <w:pPr>
              <w:pStyle w:val="yTable"/>
              <w:rPr>
                <w:sz w:val="18"/>
              </w:rPr>
            </w:pPr>
            <w:r>
              <w:rPr>
                <w:sz w:val="18"/>
              </w:rPr>
              <w:t>7 lb. ..................................................................</w:t>
            </w:r>
          </w:p>
        </w:tc>
        <w:tc>
          <w:tcPr>
            <w:tcW w:w="1843" w:type="dxa"/>
            <w:tcBorders>
              <w:left w:val="single" w:sz="4" w:space="0" w:color="auto"/>
              <w:right w:val="single" w:sz="4" w:space="0" w:color="auto"/>
            </w:tcBorders>
          </w:tcPr>
          <w:p>
            <w:pPr>
              <w:pStyle w:val="yTable"/>
              <w:jc w:val="center"/>
              <w:rPr>
                <w:sz w:val="18"/>
              </w:rPr>
            </w:pPr>
            <w:r>
              <w:rPr>
                <w:sz w:val="18"/>
              </w:rPr>
              <w:t>2 drams</w:t>
            </w:r>
          </w:p>
        </w:tc>
        <w:tc>
          <w:tcPr>
            <w:tcW w:w="1701" w:type="dxa"/>
            <w:tcBorders>
              <w:left w:val="single" w:sz="4" w:space="0" w:color="auto"/>
            </w:tcBorders>
          </w:tcPr>
          <w:p>
            <w:pPr>
              <w:pStyle w:val="yTable"/>
              <w:jc w:val="center"/>
              <w:rPr>
                <w:sz w:val="18"/>
              </w:rPr>
            </w:pPr>
            <w:r>
              <w:rPr>
                <w:sz w:val="18"/>
              </w:rPr>
              <w:t>3 drams</w:t>
            </w:r>
          </w:p>
        </w:tc>
      </w:tr>
      <w:tr>
        <w:tc>
          <w:tcPr>
            <w:tcW w:w="3544" w:type="dxa"/>
          </w:tcPr>
          <w:p>
            <w:pPr>
              <w:pStyle w:val="yTable"/>
              <w:rPr>
                <w:sz w:val="18"/>
              </w:rPr>
            </w:pPr>
            <w:r>
              <w:rPr>
                <w:sz w:val="18"/>
              </w:rPr>
              <w:t>10 lb. ................................................................</w:t>
            </w:r>
          </w:p>
        </w:tc>
        <w:tc>
          <w:tcPr>
            <w:tcW w:w="1843" w:type="dxa"/>
            <w:tcBorders>
              <w:left w:val="single" w:sz="4" w:space="0" w:color="auto"/>
              <w:right w:val="single" w:sz="4" w:space="0" w:color="auto"/>
            </w:tcBorders>
          </w:tcPr>
          <w:p>
            <w:pPr>
              <w:pStyle w:val="yTable"/>
              <w:jc w:val="center"/>
              <w:rPr>
                <w:sz w:val="18"/>
              </w:rPr>
            </w:pPr>
            <w:r>
              <w:rPr>
                <w:sz w:val="18"/>
              </w:rPr>
              <w:t>2 ½ drams</w:t>
            </w:r>
          </w:p>
        </w:tc>
        <w:tc>
          <w:tcPr>
            <w:tcW w:w="1701" w:type="dxa"/>
            <w:tcBorders>
              <w:left w:val="single" w:sz="4" w:space="0" w:color="auto"/>
            </w:tcBorders>
          </w:tcPr>
          <w:p>
            <w:pPr>
              <w:pStyle w:val="yTable"/>
              <w:jc w:val="center"/>
              <w:rPr>
                <w:sz w:val="18"/>
              </w:rPr>
            </w:pPr>
            <w:r>
              <w:rPr>
                <w:sz w:val="18"/>
              </w:rPr>
              <w:t>3 ½ drams</w:t>
            </w:r>
          </w:p>
        </w:tc>
      </w:tr>
      <w:tr>
        <w:tc>
          <w:tcPr>
            <w:tcW w:w="3544" w:type="dxa"/>
          </w:tcPr>
          <w:p>
            <w:pPr>
              <w:pStyle w:val="yTable"/>
              <w:rPr>
                <w:sz w:val="18"/>
              </w:rPr>
            </w:pPr>
            <w:r>
              <w:rPr>
                <w:sz w:val="18"/>
              </w:rPr>
              <w:t>14 lb. ................................................................</w:t>
            </w:r>
          </w:p>
        </w:tc>
        <w:tc>
          <w:tcPr>
            <w:tcW w:w="1843" w:type="dxa"/>
            <w:tcBorders>
              <w:left w:val="single" w:sz="4" w:space="0" w:color="auto"/>
              <w:right w:val="single" w:sz="4" w:space="0" w:color="auto"/>
            </w:tcBorders>
          </w:tcPr>
          <w:p>
            <w:pPr>
              <w:pStyle w:val="yTable"/>
              <w:jc w:val="center"/>
              <w:rPr>
                <w:sz w:val="18"/>
              </w:rPr>
            </w:pPr>
            <w:r>
              <w:rPr>
                <w:sz w:val="18"/>
              </w:rPr>
              <w:t>3 drams</w:t>
            </w:r>
          </w:p>
        </w:tc>
        <w:tc>
          <w:tcPr>
            <w:tcW w:w="1701" w:type="dxa"/>
            <w:tcBorders>
              <w:left w:val="single" w:sz="4" w:space="0" w:color="auto"/>
            </w:tcBorders>
          </w:tcPr>
          <w:p>
            <w:pPr>
              <w:pStyle w:val="yTable"/>
              <w:jc w:val="center"/>
              <w:rPr>
                <w:sz w:val="18"/>
              </w:rPr>
            </w:pPr>
            <w:r>
              <w:rPr>
                <w:sz w:val="18"/>
              </w:rPr>
              <w:t>4 ½ drams</w:t>
            </w:r>
          </w:p>
        </w:tc>
      </w:tr>
      <w:tr>
        <w:tc>
          <w:tcPr>
            <w:tcW w:w="3544" w:type="dxa"/>
          </w:tcPr>
          <w:p>
            <w:pPr>
              <w:pStyle w:val="yTable"/>
              <w:rPr>
                <w:sz w:val="18"/>
              </w:rPr>
            </w:pPr>
            <w:r>
              <w:rPr>
                <w:sz w:val="18"/>
              </w:rPr>
              <w:t>28 lb. ................................................................</w:t>
            </w:r>
          </w:p>
        </w:tc>
        <w:tc>
          <w:tcPr>
            <w:tcW w:w="1843" w:type="dxa"/>
            <w:tcBorders>
              <w:left w:val="single" w:sz="4" w:space="0" w:color="auto"/>
              <w:right w:val="single" w:sz="4" w:space="0" w:color="auto"/>
            </w:tcBorders>
          </w:tcPr>
          <w:p>
            <w:pPr>
              <w:pStyle w:val="yTable"/>
              <w:jc w:val="center"/>
              <w:rPr>
                <w:sz w:val="18"/>
              </w:rPr>
            </w:pPr>
            <w:r>
              <w:rPr>
                <w:sz w:val="18"/>
              </w:rPr>
              <w:t>4 drams</w:t>
            </w:r>
          </w:p>
        </w:tc>
        <w:tc>
          <w:tcPr>
            <w:tcW w:w="1701" w:type="dxa"/>
            <w:tcBorders>
              <w:left w:val="single" w:sz="4" w:space="0" w:color="auto"/>
            </w:tcBorders>
          </w:tcPr>
          <w:p>
            <w:pPr>
              <w:pStyle w:val="yTable"/>
              <w:jc w:val="center"/>
              <w:rPr>
                <w:sz w:val="18"/>
              </w:rPr>
            </w:pPr>
            <w:r>
              <w:rPr>
                <w:sz w:val="18"/>
              </w:rPr>
              <w:t>6 drams</w:t>
            </w:r>
          </w:p>
        </w:tc>
      </w:tr>
      <w:tr>
        <w:tc>
          <w:tcPr>
            <w:tcW w:w="3544" w:type="dxa"/>
          </w:tcPr>
          <w:p>
            <w:pPr>
              <w:pStyle w:val="yTable"/>
              <w:rPr>
                <w:sz w:val="18"/>
              </w:rPr>
            </w:pPr>
            <w:r>
              <w:rPr>
                <w:sz w:val="18"/>
              </w:rPr>
              <w:t>56 lb. ................................................................</w:t>
            </w:r>
          </w:p>
        </w:tc>
        <w:tc>
          <w:tcPr>
            <w:tcW w:w="1843" w:type="dxa"/>
            <w:tcBorders>
              <w:left w:val="single" w:sz="4" w:space="0" w:color="auto"/>
              <w:right w:val="single" w:sz="4" w:space="0" w:color="auto"/>
            </w:tcBorders>
          </w:tcPr>
          <w:p>
            <w:pPr>
              <w:pStyle w:val="yTable"/>
              <w:jc w:val="center"/>
              <w:rPr>
                <w:sz w:val="18"/>
              </w:rPr>
            </w:pPr>
            <w:r>
              <w:rPr>
                <w:sz w:val="18"/>
              </w:rPr>
              <w:t>6 drams</w:t>
            </w:r>
          </w:p>
        </w:tc>
        <w:tc>
          <w:tcPr>
            <w:tcW w:w="1701" w:type="dxa"/>
            <w:tcBorders>
              <w:left w:val="single" w:sz="4" w:space="0" w:color="auto"/>
            </w:tcBorders>
          </w:tcPr>
          <w:p>
            <w:pPr>
              <w:pStyle w:val="yTable"/>
              <w:jc w:val="center"/>
              <w:rPr>
                <w:sz w:val="18"/>
              </w:rPr>
            </w:pPr>
            <w:r>
              <w:rPr>
                <w:sz w:val="18"/>
              </w:rPr>
              <w:t>9 drams</w:t>
            </w:r>
          </w:p>
        </w:tc>
      </w:tr>
      <w:tr>
        <w:tc>
          <w:tcPr>
            <w:tcW w:w="3544" w:type="dxa"/>
            <w:tcBorders>
              <w:bottom w:val="single" w:sz="4" w:space="0" w:color="auto"/>
            </w:tcBorders>
          </w:tcPr>
          <w:p>
            <w:pPr>
              <w:pStyle w:val="yTable"/>
              <w:rPr>
                <w:sz w:val="18"/>
              </w:rPr>
            </w:pPr>
            <w:r>
              <w:rPr>
                <w:sz w:val="18"/>
              </w:rPr>
              <w:t>112 lb. ..............................................................</w:t>
            </w:r>
          </w:p>
        </w:tc>
        <w:tc>
          <w:tcPr>
            <w:tcW w:w="1843" w:type="dxa"/>
            <w:tcBorders>
              <w:left w:val="single" w:sz="4" w:space="0" w:color="auto"/>
              <w:bottom w:val="single" w:sz="4" w:space="0" w:color="auto"/>
              <w:right w:val="single" w:sz="4" w:space="0" w:color="auto"/>
            </w:tcBorders>
          </w:tcPr>
          <w:p>
            <w:pPr>
              <w:pStyle w:val="yTable"/>
              <w:jc w:val="center"/>
              <w:rPr>
                <w:sz w:val="18"/>
              </w:rPr>
            </w:pPr>
            <w:r>
              <w:rPr>
                <w:sz w:val="18"/>
              </w:rPr>
              <w:t>8 drams</w:t>
            </w:r>
          </w:p>
        </w:tc>
        <w:tc>
          <w:tcPr>
            <w:tcW w:w="1701" w:type="dxa"/>
            <w:tcBorders>
              <w:left w:val="single" w:sz="4" w:space="0" w:color="auto"/>
              <w:bottom w:val="single" w:sz="4" w:space="0" w:color="auto"/>
            </w:tcBorders>
          </w:tcPr>
          <w:p>
            <w:pPr>
              <w:pStyle w:val="yTable"/>
              <w:jc w:val="center"/>
              <w:rPr>
                <w:sz w:val="18"/>
              </w:rPr>
            </w:pPr>
            <w:r>
              <w:rPr>
                <w:sz w:val="18"/>
              </w:rPr>
              <w:t>16 drams</w:t>
            </w:r>
          </w:p>
        </w:tc>
      </w:tr>
    </w:tbl>
    <w:p>
      <w:pPr>
        <w:pStyle w:val="yMiscellaneousBody"/>
        <w:rPr>
          <w:snapToGrid w:val="0"/>
        </w:rPr>
      </w:pPr>
      <w:r>
        <w:rPr>
          <w:snapToGrid w:val="0"/>
        </w:rPr>
        <w:t>On self</w:t>
      </w:r>
      <w:r>
        <w:rPr>
          <w:snapToGrid w:val="0"/>
        </w:rPr>
        <w:noBreakHyphen/>
        <w:t>indicating counter scales, the tolerance for error shall be a weight equal to a quarter of the weight value of its minimum graduation, or the applicable tolerance for error in the above Table, whichever is the greater.</w:t>
      </w:r>
    </w:p>
    <w:p>
      <w:pPr>
        <w:pStyle w:val="yFootnotesection"/>
      </w:pPr>
      <w:r>
        <w:tab/>
        <w:t xml:space="preserve">[Table VII amended in Gazette 23 May 1960 p. 1411.] </w:t>
      </w:r>
    </w:p>
    <w:p>
      <w:pPr>
        <w:pStyle w:val="yScheduleHeading"/>
        <w:outlineLvl w:val="0"/>
      </w:pPr>
      <w:bookmarkStart w:id="241" w:name="_Toc390077266"/>
      <w:r>
        <w:rPr>
          <w:rStyle w:val="CharSchNo"/>
        </w:rPr>
        <w:t>Table VIII</w:t>
      </w:r>
      <w:bookmarkEnd w:id="241"/>
    </w:p>
    <w:p>
      <w:pPr>
        <w:pStyle w:val="yMiscellaneousHeading"/>
        <w:spacing w:after="80"/>
        <w:rPr>
          <w:i/>
          <w:snapToGrid w:val="0"/>
        </w:rPr>
      </w:pPr>
      <w:r>
        <w:rPr>
          <w:i/>
          <w:snapToGrid w:val="0"/>
        </w:rPr>
        <w:t>Platform and Dead</w:t>
      </w:r>
      <w:r>
        <w:rPr>
          <w:i/>
          <w:snapToGrid w:val="0"/>
        </w:rPr>
        <w:noBreakHyphen/>
        <w:t>weight Weighing Machines and Wall Beams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418"/>
        <w:gridCol w:w="1701"/>
        <w:gridCol w:w="1984"/>
        <w:gridCol w:w="1985"/>
      </w:tblGrid>
      <w:tr>
        <w:trPr>
          <w:cantSplit/>
        </w:trPr>
        <w:tc>
          <w:tcPr>
            <w:tcW w:w="1418" w:type="dxa"/>
            <w:vMerge w:val="restart"/>
            <w:tcBorders>
              <w:top w:val="single" w:sz="4" w:space="0" w:color="auto"/>
              <w:bottom w:val="nil"/>
            </w:tcBorders>
          </w:tcPr>
          <w:p>
            <w:pPr>
              <w:pStyle w:val="yTable"/>
              <w:jc w:val="center"/>
              <w:rPr>
                <w:b/>
                <w:sz w:val="18"/>
              </w:rPr>
            </w:pPr>
          </w:p>
          <w:p>
            <w:pPr>
              <w:pStyle w:val="yTable"/>
              <w:jc w:val="center"/>
              <w:rPr>
                <w:b/>
                <w:sz w:val="18"/>
              </w:rPr>
            </w:pPr>
          </w:p>
          <w:p>
            <w:pPr>
              <w:pStyle w:val="yTable"/>
              <w:jc w:val="center"/>
              <w:rPr>
                <w:b/>
                <w:sz w:val="18"/>
              </w:rPr>
            </w:pPr>
            <w:r>
              <w:rPr>
                <w:b/>
                <w:sz w:val="18"/>
              </w:rPr>
              <w:t>Capacity</w:t>
            </w:r>
          </w:p>
        </w:tc>
        <w:tc>
          <w:tcPr>
            <w:tcW w:w="1701" w:type="dxa"/>
            <w:tcBorders>
              <w:top w:val="single" w:sz="4" w:space="0" w:color="auto"/>
              <w:bottom w:val="single" w:sz="4" w:space="0" w:color="auto"/>
            </w:tcBorders>
          </w:tcPr>
          <w:p>
            <w:pPr>
              <w:pStyle w:val="yTable"/>
              <w:jc w:val="center"/>
              <w:rPr>
                <w:b/>
                <w:sz w:val="18"/>
              </w:rPr>
            </w:pPr>
            <w:r>
              <w:rPr>
                <w:b/>
                <w:sz w:val="18"/>
              </w:rPr>
              <w:t>Vibrating</w:t>
            </w:r>
          </w:p>
        </w:tc>
        <w:tc>
          <w:tcPr>
            <w:tcW w:w="1984" w:type="dxa"/>
            <w:tcBorders>
              <w:top w:val="single" w:sz="4" w:space="0" w:color="auto"/>
              <w:bottom w:val="single" w:sz="4" w:space="0" w:color="auto"/>
            </w:tcBorders>
          </w:tcPr>
          <w:p>
            <w:pPr>
              <w:pStyle w:val="yTable"/>
              <w:jc w:val="center"/>
              <w:rPr>
                <w:b/>
                <w:sz w:val="18"/>
              </w:rPr>
            </w:pPr>
            <w:r>
              <w:rPr>
                <w:b/>
                <w:sz w:val="18"/>
              </w:rPr>
              <w:t>Vibrating or Accelerating</w:t>
            </w:r>
          </w:p>
        </w:tc>
        <w:tc>
          <w:tcPr>
            <w:tcW w:w="1985" w:type="dxa"/>
            <w:tcBorders>
              <w:top w:val="single" w:sz="4" w:space="0" w:color="auto"/>
              <w:bottom w:val="single" w:sz="4" w:space="0" w:color="auto"/>
            </w:tcBorders>
          </w:tcPr>
          <w:p>
            <w:pPr>
              <w:pStyle w:val="yTable"/>
              <w:jc w:val="center"/>
              <w:rPr>
                <w:b/>
                <w:sz w:val="18"/>
              </w:rPr>
            </w:pPr>
            <w:r>
              <w:rPr>
                <w:b/>
                <w:sz w:val="18"/>
              </w:rPr>
              <w:t>Accelerating</w:t>
            </w:r>
          </w:p>
        </w:tc>
      </w:tr>
      <w:tr>
        <w:trPr>
          <w:cantSplit/>
        </w:trPr>
        <w:tc>
          <w:tcPr>
            <w:tcW w:w="1418" w:type="dxa"/>
            <w:vMerge/>
            <w:tcBorders>
              <w:top w:val="nil"/>
              <w:bottom w:val="single" w:sz="4" w:space="0" w:color="auto"/>
            </w:tcBorders>
          </w:tcPr>
          <w:p>
            <w:pPr>
              <w:pStyle w:val="yTable"/>
              <w:jc w:val="center"/>
              <w:rPr>
                <w:b/>
                <w:sz w:val="18"/>
              </w:rPr>
            </w:pPr>
          </w:p>
        </w:tc>
        <w:tc>
          <w:tcPr>
            <w:tcW w:w="1701" w:type="dxa"/>
            <w:tcBorders>
              <w:top w:val="single" w:sz="4" w:space="0" w:color="auto"/>
              <w:bottom w:val="single" w:sz="4" w:space="0" w:color="auto"/>
            </w:tcBorders>
          </w:tcPr>
          <w:p>
            <w:pPr>
              <w:pStyle w:val="yTable"/>
              <w:jc w:val="center"/>
              <w:rPr>
                <w:b/>
                <w:sz w:val="18"/>
              </w:rPr>
            </w:pPr>
            <w:r>
              <w:rPr>
                <w:b/>
                <w:sz w:val="18"/>
              </w:rPr>
              <w:t>Sensitiveness when fully loaded</w:t>
            </w:r>
          </w:p>
        </w:tc>
        <w:tc>
          <w:tcPr>
            <w:tcW w:w="1984" w:type="dxa"/>
            <w:tcBorders>
              <w:top w:val="single" w:sz="4" w:space="0" w:color="auto"/>
              <w:bottom w:val="single" w:sz="4" w:space="0" w:color="auto"/>
            </w:tcBorders>
          </w:tcPr>
          <w:p>
            <w:pPr>
              <w:pStyle w:val="yTable"/>
              <w:jc w:val="center"/>
              <w:rPr>
                <w:b/>
                <w:sz w:val="18"/>
              </w:rPr>
            </w:pPr>
            <w:r>
              <w:rPr>
                <w:b/>
                <w:sz w:val="18"/>
              </w:rPr>
              <w:t>Error in Excess or Deficiency when fully loaded</w:t>
            </w:r>
          </w:p>
        </w:tc>
        <w:tc>
          <w:tcPr>
            <w:tcW w:w="1985" w:type="dxa"/>
            <w:tcBorders>
              <w:top w:val="single" w:sz="4" w:space="0" w:color="auto"/>
              <w:bottom w:val="single" w:sz="4" w:space="0" w:color="auto"/>
            </w:tcBorders>
          </w:tcPr>
          <w:p>
            <w:pPr>
              <w:pStyle w:val="yTable"/>
              <w:tabs>
                <w:tab w:val="left" w:pos="284"/>
              </w:tabs>
              <w:jc w:val="center"/>
              <w:rPr>
                <w:b/>
                <w:sz w:val="18"/>
              </w:rPr>
            </w:pPr>
            <w:r>
              <w:rPr>
                <w:b/>
                <w:sz w:val="18"/>
              </w:rPr>
              <w:t>Weight required to bring back the steelyard from the position of greatest displacement when fully loaded</w:t>
            </w:r>
          </w:p>
        </w:tc>
      </w:tr>
      <w:tr>
        <w:trPr>
          <w:cantSplit/>
        </w:trPr>
        <w:tc>
          <w:tcPr>
            <w:tcW w:w="1418" w:type="dxa"/>
            <w:tcBorders>
              <w:top w:val="nil"/>
            </w:tcBorders>
          </w:tcPr>
          <w:p>
            <w:pPr>
              <w:pStyle w:val="yTable"/>
              <w:ind w:left="171" w:hanging="171"/>
              <w:rPr>
                <w:sz w:val="18"/>
              </w:rPr>
            </w:pPr>
            <w:r>
              <w:rPr>
                <w:sz w:val="18"/>
              </w:rPr>
              <w:t>14 lb. .................</w:t>
            </w:r>
          </w:p>
        </w:tc>
        <w:tc>
          <w:tcPr>
            <w:tcW w:w="1701" w:type="dxa"/>
            <w:tcBorders>
              <w:top w:val="nil"/>
            </w:tcBorders>
          </w:tcPr>
          <w:p>
            <w:pPr>
              <w:pStyle w:val="yTable"/>
              <w:ind w:left="170" w:hanging="170"/>
              <w:rPr>
                <w:sz w:val="18"/>
              </w:rPr>
            </w:pPr>
            <w:r>
              <w:rPr>
                <w:sz w:val="18"/>
              </w:rPr>
              <w:t>3 drams ....................</w:t>
            </w:r>
          </w:p>
        </w:tc>
        <w:tc>
          <w:tcPr>
            <w:tcW w:w="1984" w:type="dxa"/>
            <w:tcBorders>
              <w:top w:val="nil"/>
            </w:tcBorders>
          </w:tcPr>
          <w:p>
            <w:pPr>
              <w:pStyle w:val="yTable"/>
              <w:ind w:left="170" w:hanging="170"/>
              <w:rPr>
                <w:sz w:val="18"/>
              </w:rPr>
            </w:pPr>
            <w:r>
              <w:rPr>
                <w:sz w:val="18"/>
              </w:rPr>
              <w:t>4 ½ drams .....................</w:t>
            </w:r>
          </w:p>
        </w:tc>
        <w:tc>
          <w:tcPr>
            <w:tcW w:w="1985" w:type="dxa"/>
            <w:tcBorders>
              <w:top w:val="nil"/>
            </w:tcBorders>
          </w:tcPr>
          <w:p>
            <w:pPr>
              <w:pStyle w:val="yTable"/>
              <w:ind w:left="171" w:hanging="171"/>
              <w:rPr>
                <w:sz w:val="18"/>
              </w:rPr>
            </w:pPr>
            <w:r>
              <w:rPr>
                <w:sz w:val="18"/>
              </w:rPr>
              <w:t>9 drams</w:t>
            </w:r>
          </w:p>
        </w:tc>
      </w:tr>
      <w:tr>
        <w:trPr>
          <w:cantSplit/>
        </w:trPr>
        <w:tc>
          <w:tcPr>
            <w:tcW w:w="1418" w:type="dxa"/>
          </w:tcPr>
          <w:p>
            <w:pPr>
              <w:pStyle w:val="yTable"/>
              <w:ind w:left="171" w:hanging="171"/>
              <w:rPr>
                <w:sz w:val="18"/>
              </w:rPr>
            </w:pPr>
            <w:r>
              <w:rPr>
                <w:sz w:val="18"/>
              </w:rPr>
              <w:t>28 lb. .................</w:t>
            </w:r>
          </w:p>
        </w:tc>
        <w:tc>
          <w:tcPr>
            <w:tcW w:w="1701" w:type="dxa"/>
          </w:tcPr>
          <w:p>
            <w:pPr>
              <w:pStyle w:val="yTable"/>
              <w:ind w:left="170" w:hanging="170"/>
              <w:rPr>
                <w:sz w:val="18"/>
              </w:rPr>
            </w:pPr>
            <w:r>
              <w:rPr>
                <w:sz w:val="18"/>
              </w:rPr>
              <w:t>4 drams ....................</w:t>
            </w:r>
          </w:p>
        </w:tc>
        <w:tc>
          <w:tcPr>
            <w:tcW w:w="1984" w:type="dxa"/>
          </w:tcPr>
          <w:p>
            <w:pPr>
              <w:pStyle w:val="yTable"/>
              <w:ind w:left="170" w:hanging="170"/>
              <w:rPr>
                <w:sz w:val="18"/>
              </w:rPr>
            </w:pPr>
            <w:r>
              <w:rPr>
                <w:sz w:val="18"/>
              </w:rPr>
              <w:t>6 drams ..........................</w:t>
            </w:r>
          </w:p>
        </w:tc>
        <w:tc>
          <w:tcPr>
            <w:tcW w:w="1985" w:type="dxa"/>
          </w:tcPr>
          <w:p>
            <w:pPr>
              <w:pStyle w:val="yTable"/>
              <w:ind w:left="171" w:hanging="171"/>
              <w:rPr>
                <w:sz w:val="18"/>
              </w:rPr>
            </w:pPr>
            <w:r>
              <w:rPr>
                <w:sz w:val="18"/>
              </w:rPr>
              <w:t>12 drams</w:t>
            </w:r>
          </w:p>
        </w:tc>
      </w:tr>
      <w:tr>
        <w:trPr>
          <w:cantSplit/>
        </w:trPr>
        <w:tc>
          <w:tcPr>
            <w:tcW w:w="1418" w:type="dxa"/>
          </w:tcPr>
          <w:p>
            <w:pPr>
              <w:pStyle w:val="yTable"/>
              <w:ind w:left="171" w:hanging="171"/>
              <w:rPr>
                <w:sz w:val="18"/>
              </w:rPr>
            </w:pPr>
            <w:r>
              <w:rPr>
                <w:sz w:val="18"/>
              </w:rPr>
              <w:t>56 lb. .................</w:t>
            </w:r>
          </w:p>
        </w:tc>
        <w:tc>
          <w:tcPr>
            <w:tcW w:w="1701" w:type="dxa"/>
          </w:tcPr>
          <w:p>
            <w:pPr>
              <w:pStyle w:val="yTable"/>
              <w:ind w:left="170" w:hanging="170"/>
              <w:rPr>
                <w:sz w:val="18"/>
              </w:rPr>
            </w:pPr>
            <w:r>
              <w:rPr>
                <w:sz w:val="18"/>
              </w:rPr>
              <w:t>6 drams ....................</w:t>
            </w:r>
          </w:p>
        </w:tc>
        <w:tc>
          <w:tcPr>
            <w:tcW w:w="1984" w:type="dxa"/>
          </w:tcPr>
          <w:p>
            <w:pPr>
              <w:pStyle w:val="yTable"/>
              <w:ind w:left="170" w:hanging="170"/>
              <w:rPr>
                <w:sz w:val="18"/>
              </w:rPr>
            </w:pPr>
            <w:r>
              <w:rPr>
                <w:sz w:val="18"/>
              </w:rPr>
              <w:t>9 drams ..........................</w:t>
            </w:r>
          </w:p>
        </w:tc>
        <w:tc>
          <w:tcPr>
            <w:tcW w:w="1985" w:type="dxa"/>
          </w:tcPr>
          <w:p>
            <w:pPr>
              <w:pStyle w:val="yTable"/>
              <w:ind w:left="171" w:hanging="171"/>
              <w:rPr>
                <w:sz w:val="18"/>
              </w:rPr>
            </w:pPr>
            <w:r>
              <w:rPr>
                <w:sz w:val="18"/>
              </w:rPr>
              <w:t>18 drams</w:t>
            </w:r>
          </w:p>
        </w:tc>
      </w:tr>
      <w:tr>
        <w:trPr>
          <w:cantSplit/>
        </w:trPr>
        <w:tc>
          <w:tcPr>
            <w:tcW w:w="1418" w:type="dxa"/>
          </w:tcPr>
          <w:p>
            <w:pPr>
              <w:pStyle w:val="yTable"/>
              <w:ind w:left="171" w:hanging="171"/>
              <w:rPr>
                <w:sz w:val="18"/>
              </w:rPr>
            </w:pPr>
            <w:r>
              <w:rPr>
                <w:sz w:val="18"/>
              </w:rPr>
              <w:t>112 lb. ...............</w:t>
            </w:r>
          </w:p>
        </w:tc>
        <w:tc>
          <w:tcPr>
            <w:tcW w:w="1701" w:type="dxa"/>
          </w:tcPr>
          <w:p>
            <w:pPr>
              <w:pStyle w:val="yTable"/>
              <w:ind w:left="170" w:hanging="170"/>
              <w:rPr>
                <w:sz w:val="18"/>
              </w:rPr>
            </w:pPr>
            <w:r>
              <w:rPr>
                <w:sz w:val="18"/>
              </w:rPr>
              <w:t>8 drams ....................</w:t>
            </w:r>
          </w:p>
        </w:tc>
        <w:tc>
          <w:tcPr>
            <w:tcW w:w="1984" w:type="dxa"/>
          </w:tcPr>
          <w:p>
            <w:pPr>
              <w:pStyle w:val="yTable"/>
              <w:ind w:left="170" w:hanging="170"/>
              <w:rPr>
                <w:sz w:val="18"/>
              </w:rPr>
            </w:pPr>
            <w:r>
              <w:rPr>
                <w:sz w:val="18"/>
              </w:rPr>
              <w:t>1 oz. ...............................</w:t>
            </w:r>
          </w:p>
        </w:tc>
        <w:tc>
          <w:tcPr>
            <w:tcW w:w="1985" w:type="dxa"/>
          </w:tcPr>
          <w:p>
            <w:pPr>
              <w:pStyle w:val="yTable"/>
              <w:ind w:left="171" w:hanging="171"/>
              <w:rPr>
                <w:sz w:val="18"/>
              </w:rPr>
            </w:pPr>
            <w:r>
              <w:rPr>
                <w:sz w:val="18"/>
              </w:rPr>
              <w:t>2 oz.</w:t>
            </w:r>
          </w:p>
        </w:tc>
      </w:tr>
      <w:tr>
        <w:trPr>
          <w:cantSplit/>
        </w:trPr>
        <w:tc>
          <w:tcPr>
            <w:tcW w:w="1418" w:type="dxa"/>
          </w:tcPr>
          <w:p>
            <w:pPr>
              <w:pStyle w:val="yTable"/>
              <w:ind w:left="171" w:hanging="171"/>
              <w:rPr>
                <w:sz w:val="18"/>
              </w:rPr>
            </w:pPr>
            <w:r>
              <w:rPr>
                <w:sz w:val="18"/>
              </w:rPr>
              <w:t>Capacities above 112 lb.</w:t>
            </w:r>
          </w:p>
        </w:tc>
        <w:tc>
          <w:tcPr>
            <w:tcW w:w="1701" w:type="dxa"/>
          </w:tcPr>
          <w:p>
            <w:pPr>
              <w:pStyle w:val="yTable"/>
              <w:ind w:left="170" w:hanging="170"/>
              <w:rPr>
                <w:sz w:val="18"/>
              </w:rPr>
            </w:pPr>
            <w:r>
              <w:rPr>
                <w:sz w:val="18"/>
              </w:rPr>
              <w:t>½ oz. per cwt. to 10 cwt. and ¼ oz. per cwt. thereafter</w:t>
            </w:r>
          </w:p>
        </w:tc>
        <w:tc>
          <w:tcPr>
            <w:tcW w:w="1984" w:type="dxa"/>
          </w:tcPr>
          <w:p>
            <w:pPr>
              <w:pStyle w:val="yTable"/>
              <w:ind w:left="170" w:hanging="170"/>
              <w:rPr>
                <w:sz w:val="18"/>
              </w:rPr>
            </w:pPr>
            <w:r>
              <w:rPr>
                <w:sz w:val="18"/>
              </w:rPr>
              <w:t>1 oz. per cwt. to 10 cwt. and ½ oz. per cwt. thereafter</w:t>
            </w:r>
          </w:p>
        </w:tc>
        <w:tc>
          <w:tcPr>
            <w:tcW w:w="1985" w:type="dxa"/>
          </w:tcPr>
          <w:p>
            <w:pPr>
              <w:pStyle w:val="yTable"/>
              <w:ind w:left="171" w:hanging="171"/>
              <w:rPr>
                <w:sz w:val="18"/>
              </w:rPr>
            </w:pPr>
            <w:r>
              <w:rPr>
                <w:sz w:val="18"/>
              </w:rPr>
              <w:t>1 ½ oz. per cwt. to 10 cwt. and 1 oz. per cwt. thereafter</w:t>
            </w:r>
          </w:p>
        </w:tc>
      </w:tr>
    </w:tbl>
    <w:p>
      <w:pPr>
        <w:pStyle w:val="yMiscellaneousBody"/>
        <w:tabs>
          <w:tab w:val="left" w:pos="284"/>
        </w:tabs>
        <w:rPr>
          <w:snapToGrid w:val="0"/>
          <w:sz w:val="18"/>
        </w:rPr>
      </w:pPr>
      <w:r>
        <w:rPr>
          <w:snapToGrid w:val="0"/>
          <w:sz w:val="18"/>
        </w:rPr>
        <w:tab/>
        <w:t>In the above Table the load is assumed to be distributed on the platform.</w:t>
      </w:r>
    </w:p>
    <w:p>
      <w:pPr>
        <w:pStyle w:val="yMiscellaneousBody"/>
        <w:tabs>
          <w:tab w:val="left" w:pos="284"/>
        </w:tabs>
        <w:rPr>
          <w:snapToGrid w:val="0"/>
          <w:sz w:val="18"/>
        </w:rPr>
      </w:pPr>
      <w:r>
        <w:rPr>
          <w:snapToGrid w:val="0"/>
          <w:sz w:val="18"/>
        </w:rPr>
        <w:tab/>
        <w:t>On weighing machines used for ascertaining freight only one and a half times the above allowances for sensitiveness and error shall be permissible, but this shall not apply to new instruments.</w:t>
      </w:r>
    </w:p>
    <w:p>
      <w:pPr>
        <w:pStyle w:val="yMiscellaneousBody"/>
        <w:tabs>
          <w:tab w:val="left" w:pos="284"/>
        </w:tabs>
        <w:rPr>
          <w:snapToGrid w:val="0"/>
          <w:sz w:val="18"/>
        </w:rPr>
      </w:pPr>
      <w:r>
        <w:rPr>
          <w:snapToGrid w:val="0"/>
          <w:sz w:val="18"/>
        </w:rPr>
        <w:tab/>
        <w:t>On pit bank weighing machines the maximum error shall not exceed 7 lb., and this amount shall be allowed at any load, and the toleration for sensitiveness shall be a like amount.</w:t>
      </w:r>
    </w:p>
    <w:p>
      <w:pPr>
        <w:pStyle w:val="yMiscellaneousBody"/>
        <w:tabs>
          <w:tab w:val="left" w:pos="284"/>
        </w:tabs>
        <w:rPr>
          <w:snapToGrid w:val="0"/>
          <w:sz w:val="18"/>
        </w:rPr>
      </w:pPr>
      <w:r>
        <w:rPr>
          <w:snapToGrid w:val="0"/>
          <w:sz w:val="18"/>
        </w:rPr>
        <w:tab/>
        <w:t>The tolerance for self</w:t>
      </w:r>
      <w:r>
        <w:rPr>
          <w:snapToGrid w:val="0"/>
          <w:sz w:val="18"/>
        </w:rPr>
        <w:noBreakHyphen/>
        <w:t>indicating platform weighing machines shall be a weight equal to a quarter of the weight value of its minimum graduation up to and including the half load of its capacity and thereafter a weight equal to a half of the minimum graduation or the applicable tolerance for error in the above Table, whichever is the greater.</w:t>
      </w:r>
    </w:p>
    <w:p>
      <w:pPr>
        <w:pStyle w:val="yMiscellaneousBody"/>
        <w:tabs>
          <w:tab w:val="left" w:pos="284"/>
        </w:tabs>
        <w:rPr>
          <w:snapToGrid w:val="0"/>
          <w:sz w:val="18"/>
        </w:rPr>
      </w:pPr>
      <w:r>
        <w:rPr>
          <w:snapToGrid w:val="0"/>
          <w:sz w:val="18"/>
        </w:rPr>
        <w:tab/>
        <w:t>On personal weighing machines of a capacity exceeding 40 pounds the maximum error shall not exceed 4 ounces at any load.</w:t>
      </w:r>
    </w:p>
    <w:p>
      <w:pPr>
        <w:pStyle w:val="yFootnotesection"/>
      </w:pPr>
      <w:r>
        <w:tab/>
        <w:t xml:space="preserve">[Table VIII amended in Gazette 23 May 1960 p. 1411.] </w:t>
      </w:r>
    </w:p>
    <w:p>
      <w:pPr>
        <w:pStyle w:val="yScheduleHeading"/>
        <w:outlineLvl w:val="0"/>
      </w:pPr>
      <w:bookmarkStart w:id="242" w:name="_Toc390077267"/>
      <w:r>
        <w:rPr>
          <w:rStyle w:val="CharSchNo"/>
        </w:rPr>
        <w:t>Table IX</w:t>
      </w:r>
      <w:bookmarkEnd w:id="242"/>
    </w:p>
    <w:p>
      <w:pPr>
        <w:pStyle w:val="yMiscellaneousHeading"/>
        <w:spacing w:after="80"/>
        <w:rPr>
          <w:i/>
          <w:snapToGrid w:val="0"/>
        </w:rPr>
      </w:pPr>
      <w:r>
        <w:rPr>
          <w:i/>
          <w:snapToGrid w:val="0"/>
        </w:rPr>
        <w:t>Weighbridges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418"/>
        <w:gridCol w:w="1701"/>
        <w:gridCol w:w="1985"/>
        <w:gridCol w:w="1985"/>
      </w:tblGrid>
      <w:tr>
        <w:trPr>
          <w:cantSplit/>
        </w:trPr>
        <w:tc>
          <w:tcPr>
            <w:tcW w:w="1418" w:type="dxa"/>
            <w:vMerge w:val="restart"/>
            <w:tcBorders>
              <w:top w:val="single" w:sz="4" w:space="0" w:color="auto"/>
              <w:bottom w:val="nil"/>
            </w:tcBorders>
          </w:tcPr>
          <w:p>
            <w:pPr>
              <w:pStyle w:val="yTable"/>
              <w:jc w:val="center"/>
              <w:rPr>
                <w:b/>
                <w:sz w:val="18"/>
              </w:rPr>
            </w:pPr>
          </w:p>
          <w:p>
            <w:pPr>
              <w:pStyle w:val="yTable"/>
              <w:jc w:val="center"/>
              <w:rPr>
                <w:b/>
                <w:sz w:val="18"/>
              </w:rPr>
            </w:pPr>
          </w:p>
          <w:p>
            <w:pPr>
              <w:pStyle w:val="yTable"/>
              <w:jc w:val="center"/>
              <w:rPr>
                <w:b/>
                <w:sz w:val="18"/>
              </w:rPr>
            </w:pPr>
            <w:r>
              <w:rPr>
                <w:b/>
                <w:sz w:val="18"/>
              </w:rPr>
              <w:t>Capacity</w:t>
            </w:r>
          </w:p>
        </w:tc>
        <w:tc>
          <w:tcPr>
            <w:tcW w:w="1701" w:type="dxa"/>
            <w:tcBorders>
              <w:top w:val="single" w:sz="4" w:space="0" w:color="auto"/>
              <w:bottom w:val="single" w:sz="4" w:space="0" w:color="auto"/>
            </w:tcBorders>
          </w:tcPr>
          <w:p>
            <w:pPr>
              <w:pStyle w:val="yTable"/>
              <w:jc w:val="center"/>
              <w:rPr>
                <w:b/>
                <w:sz w:val="18"/>
              </w:rPr>
            </w:pPr>
            <w:r>
              <w:rPr>
                <w:b/>
                <w:sz w:val="18"/>
              </w:rPr>
              <w:t>Vibrating</w:t>
            </w:r>
          </w:p>
        </w:tc>
        <w:tc>
          <w:tcPr>
            <w:tcW w:w="1985" w:type="dxa"/>
            <w:tcBorders>
              <w:top w:val="single" w:sz="4" w:space="0" w:color="auto"/>
              <w:bottom w:val="single" w:sz="4" w:space="0" w:color="auto"/>
            </w:tcBorders>
          </w:tcPr>
          <w:p>
            <w:pPr>
              <w:pStyle w:val="yTable"/>
              <w:jc w:val="center"/>
              <w:rPr>
                <w:b/>
                <w:sz w:val="18"/>
              </w:rPr>
            </w:pPr>
            <w:r>
              <w:rPr>
                <w:b/>
                <w:sz w:val="18"/>
              </w:rPr>
              <w:t>Vibrating or Accelerating</w:t>
            </w:r>
          </w:p>
        </w:tc>
        <w:tc>
          <w:tcPr>
            <w:tcW w:w="1985" w:type="dxa"/>
            <w:tcBorders>
              <w:top w:val="single" w:sz="4" w:space="0" w:color="auto"/>
              <w:bottom w:val="single" w:sz="4" w:space="0" w:color="auto"/>
            </w:tcBorders>
          </w:tcPr>
          <w:p>
            <w:pPr>
              <w:pStyle w:val="yTable"/>
              <w:jc w:val="center"/>
              <w:rPr>
                <w:b/>
                <w:sz w:val="18"/>
              </w:rPr>
            </w:pPr>
            <w:r>
              <w:rPr>
                <w:b/>
                <w:sz w:val="18"/>
              </w:rPr>
              <w:t>Accelerating</w:t>
            </w:r>
          </w:p>
        </w:tc>
      </w:tr>
      <w:tr>
        <w:trPr>
          <w:cantSplit/>
        </w:trPr>
        <w:tc>
          <w:tcPr>
            <w:tcW w:w="1418" w:type="dxa"/>
            <w:vMerge/>
            <w:tcBorders>
              <w:top w:val="nil"/>
              <w:bottom w:val="single" w:sz="4" w:space="0" w:color="auto"/>
            </w:tcBorders>
          </w:tcPr>
          <w:p>
            <w:pPr>
              <w:pStyle w:val="yTable"/>
              <w:jc w:val="center"/>
              <w:rPr>
                <w:b/>
                <w:sz w:val="18"/>
              </w:rPr>
            </w:pPr>
          </w:p>
        </w:tc>
        <w:tc>
          <w:tcPr>
            <w:tcW w:w="1701" w:type="dxa"/>
            <w:tcBorders>
              <w:top w:val="nil"/>
              <w:bottom w:val="single" w:sz="4" w:space="0" w:color="auto"/>
            </w:tcBorders>
          </w:tcPr>
          <w:p>
            <w:pPr>
              <w:pStyle w:val="yTable"/>
              <w:jc w:val="center"/>
              <w:rPr>
                <w:b/>
                <w:sz w:val="18"/>
              </w:rPr>
            </w:pPr>
            <w:r>
              <w:rPr>
                <w:b/>
                <w:sz w:val="18"/>
              </w:rPr>
              <w:br/>
            </w:r>
            <w:r>
              <w:rPr>
                <w:b/>
                <w:sz w:val="18"/>
              </w:rPr>
              <w:br/>
              <w:t>Sensitiveness when fully loaded</w:t>
            </w:r>
          </w:p>
        </w:tc>
        <w:tc>
          <w:tcPr>
            <w:tcW w:w="1985" w:type="dxa"/>
            <w:tcBorders>
              <w:top w:val="nil"/>
              <w:bottom w:val="single" w:sz="4" w:space="0" w:color="auto"/>
            </w:tcBorders>
          </w:tcPr>
          <w:p>
            <w:pPr>
              <w:pStyle w:val="yTable"/>
              <w:jc w:val="center"/>
              <w:rPr>
                <w:b/>
                <w:sz w:val="18"/>
              </w:rPr>
            </w:pPr>
          </w:p>
          <w:p>
            <w:pPr>
              <w:pStyle w:val="yTable"/>
              <w:jc w:val="center"/>
              <w:rPr>
                <w:b/>
                <w:sz w:val="18"/>
              </w:rPr>
            </w:pPr>
            <w:r>
              <w:rPr>
                <w:b/>
                <w:sz w:val="18"/>
              </w:rPr>
              <w:t>Error in Excess or Deficiency when fully loaded</w:t>
            </w:r>
          </w:p>
        </w:tc>
        <w:tc>
          <w:tcPr>
            <w:tcW w:w="1985" w:type="dxa"/>
            <w:tcBorders>
              <w:top w:val="nil"/>
              <w:bottom w:val="single" w:sz="4" w:space="0" w:color="auto"/>
            </w:tcBorders>
          </w:tcPr>
          <w:p>
            <w:pPr>
              <w:pStyle w:val="yTable"/>
              <w:jc w:val="center"/>
              <w:rPr>
                <w:b/>
                <w:sz w:val="18"/>
              </w:rPr>
            </w:pPr>
            <w:r>
              <w:rPr>
                <w:b/>
                <w:sz w:val="18"/>
              </w:rPr>
              <w:t>Weight required to bring back the steelyard from the position of greatest displacement when fully loaded</w:t>
            </w:r>
          </w:p>
        </w:tc>
      </w:tr>
      <w:tr>
        <w:tc>
          <w:tcPr>
            <w:tcW w:w="1418" w:type="dxa"/>
            <w:tcBorders>
              <w:top w:val="nil"/>
            </w:tcBorders>
          </w:tcPr>
          <w:p>
            <w:pPr>
              <w:pStyle w:val="yTable"/>
              <w:ind w:left="171" w:hanging="171"/>
              <w:rPr>
                <w:sz w:val="18"/>
              </w:rPr>
            </w:pPr>
            <w:r>
              <w:rPr>
                <w:sz w:val="18"/>
              </w:rPr>
              <w:t>1 ton ..................</w:t>
            </w:r>
          </w:p>
        </w:tc>
        <w:tc>
          <w:tcPr>
            <w:tcW w:w="1701" w:type="dxa"/>
            <w:tcBorders>
              <w:top w:val="nil"/>
            </w:tcBorders>
          </w:tcPr>
          <w:p>
            <w:pPr>
              <w:pStyle w:val="yTable"/>
              <w:ind w:left="170" w:hanging="170"/>
              <w:rPr>
                <w:sz w:val="18"/>
              </w:rPr>
            </w:pPr>
            <w:r>
              <w:rPr>
                <w:sz w:val="18"/>
              </w:rPr>
              <w:t>2 lb. .........................</w:t>
            </w:r>
          </w:p>
        </w:tc>
        <w:tc>
          <w:tcPr>
            <w:tcW w:w="1985" w:type="dxa"/>
            <w:tcBorders>
              <w:top w:val="nil"/>
            </w:tcBorders>
          </w:tcPr>
          <w:p>
            <w:pPr>
              <w:pStyle w:val="yTable"/>
              <w:ind w:left="170" w:hanging="170"/>
              <w:rPr>
                <w:sz w:val="18"/>
              </w:rPr>
            </w:pPr>
            <w:r>
              <w:rPr>
                <w:sz w:val="18"/>
              </w:rPr>
              <w:t>2 lb. ................................</w:t>
            </w:r>
          </w:p>
        </w:tc>
        <w:tc>
          <w:tcPr>
            <w:tcW w:w="1985" w:type="dxa"/>
            <w:tcBorders>
              <w:top w:val="nil"/>
            </w:tcBorders>
          </w:tcPr>
          <w:p>
            <w:pPr>
              <w:pStyle w:val="yTable"/>
              <w:ind w:left="170" w:hanging="170"/>
              <w:rPr>
                <w:sz w:val="18"/>
              </w:rPr>
            </w:pPr>
            <w:r>
              <w:rPr>
                <w:sz w:val="18"/>
              </w:rPr>
              <w:t>4 lb.</w:t>
            </w:r>
          </w:p>
        </w:tc>
      </w:tr>
      <w:tr>
        <w:tc>
          <w:tcPr>
            <w:tcW w:w="1418" w:type="dxa"/>
          </w:tcPr>
          <w:p>
            <w:pPr>
              <w:pStyle w:val="yTable"/>
              <w:ind w:left="171" w:hanging="171"/>
              <w:rPr>
                <w:sz w:val="18"/>
              </w:rPr>
            </w:pPr>
            <w:r>
              <w:rPr>
                <w:sz w:val="18"/>
              </w:rPr>
              <w:t>Capacities above 1 ton</w:t>
            </w:r>
          </w:p>
        </w:tc>
        <w:tc>
          <w:tcPr>
            <w:tcW w:w="1701" w:type="dxa"/>
          </w:tcPr>
          <w:p>
            <w:pPr>
              <w:pStyle w:val="yTable"/>
              <w:ind w:left="170" w:hanging="170"/>
              <w:rPr>
                <w:sz w:val="18"/>
              </w:rPr>
            </w:pPr>
            <w:r>
              <w:rPr>
                <w:sz w:val="18"/>
              </w:rPr>
              <w:t xml:space="preserve">1 lb. per ton to 5 tons, ¼ lb. per ton for next 20 tons, and </w:t>
            </w:r>
            <w:r>
              <w:rPr>
                <w:sz w:val="18"/>
                <w:vertAlign w:val="superscript"/>
              </w:rPr>
              <w:t>1</w:t>
            </w:r>
            <w:r>
              <w:rPr>
                <w:sz w:val="18"/>
              </w:rPr>
              <w:t>/</w:t>
            </w:r>
            <w:r>
              <w:rPr>
                <w:sz w:val="18"/>
                <w:vertAlign w:val="subscript"/>
              </w:rPr>
              <w:t>8</w:t>
            </w:r>
            <w:r>
              <w:rPr>
                <w:sz w:val="18"/>
              </w:rPr>
              <w:t> lb. per ton for each ton of capacity thereafter</w:t>
            </w:r>
          </w:p>
        </w:tc>
        <w:tc>
          <w:tcPr>
            <w:tcW w:w="1985" w:type="dxa"/>
          </w:tcPr>
          <w:p>
            <w:pPr>
              <w:pStyle w:val="yTable"/>
              <w:ind w:left="170" w:hanging="170"/>
              <w:rPr>
                <w:sz w:val="18"/>
              </w:rPr>
            </w:pPr>
            <w:r>
              <w:rPr>
                <w:sz w:val="18"/>
              </w:rPr>
              <w:t>1 lb. per ton to 10 tons, ½ lb, per ton for next succeeding 10 tons, and ¼ lb. per ton thereafter</w:t>
            </w:r>
          </w:p>
        </w:tc>
        <w:tc>
          <w:tcPr>
            <w:tcW w:w="1985" w:type="dxa"/>
          </w:tcPr>
          <w:p>
            <w:pPr>
              <w:pStyle w:val="yTable"/>
              <w:ind w:left="170" w:hanging="170"/>
              <w:rPr>
                <w:sz w:val="18"/>
              </w:rPr>
            </w:pPr>
            <w:r>
              <w:rPr>
                <w:sz w:val="18"/>
              </w:rPr>
              <w:t>4 lb. per for first ton, 1 lb. for next succeeding 29 tons, and ½ lb. per ton thereafter</w:t>
            </w:r>
          </w:p>
        </w:tc>
      </w:tr>
    </w:tbl>
    <w:p>
      <w:pPr>
        <w:pStyle w:val="yMiscellaneousBody"/>
        <w:tabs>
          <w:tab w:val="left" w:pos="284"/>
        </w:tabs>
        <w:rPr>
          <w:snapToGrid w:val="0"/>
          <w:sz w:val="18"/>
        </w:rPr>
      </w:pPr>
      <w:r>
        <w:rPr>
          <w:snapToGrid w:val="0"/>
          <w:sz w:val="18"/>
        </w:rPr>
        <w:tab/>
        <w:t>In the above table the load is assumed to be distributed on the platform.</w:t>
      </w:r>
    </w:p>
    <w:p>
      <w:pPr>
        <w:pStyle w:val="yMiscellaneousBody"/>
        <w:tabs>
          <w:tab w:val="left" w:pos="284"/>
        </w:tabs>
        <w:rPr>
          <w:snapToGrid w:val="0"/>
          <w:sz w:val="18"/>
        </w:rPr>
      </w:pPr>
      <w:r>
        <w:rPr>
          <w:snapToGrid w:val="0"/>
          <w:sz w:val="18"/>
        </w:rPr>
        <w:tab/>
        <w:t>On truck weighbridges used for freight weighing only one and a</w:t>
      </w:r>
      <w:r>
        <w:rPr>
          <w:snapToGrid w:val="0"/>
          <w:sz w:val="18"/>
        </w:rPr>
        <w:noBreakHyphen/>
        <w:t>half times the above amount for error shall be allowed, but this shall not apply to new instruments.</w:t>
      </w:r>
    </w:p>
    <w:p>
      <w:pPr>
        <w:pStyle w:val="yMiscellaneousHeading"/>
        <w:rPr>
          <w:i/>
          <w:snapToGrid w:val="0"/>
        </w:rPr>
      </w:pPr>
      <w:r>
        <w:rPr>
          <w:i/>
          <w:snapToGrid w:val="0"/>
        </w:rPr>
        <w:t>Self indicating Weighbridges</w:t>
      </w:r>
    </w:p>
    <w:p>
      <w:pPr>
        <w:pStyle w:val="yMiscellaneousHeading"/>
        <w:rPr>
          <w:snapToGrid w:val="0"/>
        </w:rPr>
      </w:pPr>
      <w:r>
        <w:rPr>
          <w:snapToGrid w:val="0"/>
        </w:rPr>
        <w:t>Table</w:t>
      </w:r>
    </w:p>
    <w:tbl>
      <w:tblPr>
        <w:tblW w:w="0" w:type="auto"/>
        <w:tblInd w:w="113" w:type="dxa"/>
        <w:tblLayout w:type="fixed"/>
        <w:tblCellMar>
          <w:left w:w="85" w:type="dxa"/>
          <w:right w:w="85" w:type="dxa"/>
        </w:tblCellMar>
        <w:tblLook w:val="0000" w:firstRow="0" w:lastRow="0" w:firstColumn="0" w:lastColumn="0" w:noHBand="0" w:noVBand="0"/>
      </w:tblPr>
      <w:tblGrid>
        <w:gridCol w:w="3686"/>
        <w:gridCol w:w="3402"/>
      </w:tblGrid>
      <w:tr>
        <w:tc>
          <w:tcPr>
            <w:tcW w:w="3686" w:type="dxa"/>
          </w:tcPr>
          <w:p>
            <w:pPr>
              <w:pStyle w:val="Table"/>
              <w:jc w:val="center"/>
              <w:rPr>
                <w:b/>
                <w:sz w:val="18"/>
              </w:rPr>
            </w:pPr>
            <w:r>
              <w:rPr>
                <w:b/>
                <w:sz w:val="18"/>
              </w:rPr>
              <w:t>Capacity</w:t>
            </w:r>
          </w:p>
        </w:tc>
        <w:tc>
          <w:tcPr>
            <w:tcW w:w="3402" w:type="dxa"/>
          </w:tcPr>
          <w:p>
            <w:pPr>
              <w:pStyle w:val="Table"/>
              <w:jc w:val="center"/>
              <w:rPr>
                <w:b/>
                <w:sz w:val="18"/>
              </w:rPr>
            </w:pPr>
            <w:r>
              <w:rPr>
                <w:b/>
                <w:sz w:val="18"/>
              </w:rPr>
              <w:t>Error</w:t>
            </w:r>
          </w:p>
          <w:p>
            <w:pPr>
              <w:pStyle w:val="Table"/>
              <w:spacing w:before="0"/>
              <w:jc w:val="center"/>
              <w:rPr>
                <w:b/>
                <w:sz w:val="18"/>
              </w:rPr>
            </w:pPr>
            <w:r>
              <w:rPr>
                <w:b/>
                <w:sz w:val="18"/>
              </w:rPr>
              <w:t>Excess or Deficiency</w:t>
            </w:r>
          </w:p>
        </w:tc>
      </w:tr>
      <w:tr>
        <w:tc>
          <w:tcPr>
            <w:tcW w:w="3686" w:type="dxa"/>
          </w:tcPr>
          <w:p>
            <w:pPr>
              <w:pStyle w:val="Table"/>
              <w:rPr>
                <w:sz w:val="18"/>
              </w:rPr>
            </w:pPr>
            <w:r>
              <w:rPr>
                <w:sz w:val="18"/>
              </w:rPr>
              <w:t>Zero to half capacity</w:t>
            </w:r>
          </w:p>
        </w:tc>
        <w:tc>
          <w:tcPr>
            <w:tcW w:w="3402" w:type="dxa"/>
          </w:tcPr>
          <w:p>
            <w:pPr>
              <w:pStyle w:val="Table"/>
              <w:rPr>
                <w:sz w:val="18"/>
              </w:rPr>
            </w:pPr>
            <w:r>
              <w:rPr>
                <w:sz w:val="18"/>
              </w:rPr>
              <w:t>A weight equal to a quarter of the weight value of the minimum graduation, or the tolerance for error prescribed for “weighbridges” of the non self</w:t>
            </w:r>
            <w:r>
              <w:rPr>
                <w:sz w:val="18"/>
              </w:rPr>
              <w:noBreakHyphen/>
              <w:t>indicating type in Table IX under subheading “Weighbridges”, whichever is the greater.</w:t>
            </w:r>
          </w:p>
        </w:tc>
      </w:tr>
      <w:tr>
        <w:tc>
          <w:tcPr>
            <w:tcW w:w="3686" w:type="dxa"/>
          </w:tcPr>
          <w:p>
            <w:pPr>
              <w:pStyle w:val="Table"/>
              <w:rPr>
                <w:sz w:val="18"/>
              </w:rPr>
            </w:pPr>
            <w:r>
              <w:rPr>
                <w:sz w:val="18"/>
              </w:rPr>
              <w:t>Above half capacity to full capacity</w:t>
            </w:r>
          </w:p>
        </w:tc>
        <w:tc>
          <w:tcPr>
            <w:tcW w:w="3402" w:type="dxa"/>
          </w:tcPr>
          <w:p>
            <w:pPr>
              <w:pStyle w:val="Table"/>
              <w:rPr>
                <w:sz w:val="18"/>
              </w:rPr>
            </w:pPr>
            <w:r>
              <w:rPr>
                <w:sz w:val="18"/>
              </w:rPr>
              <w:t>A weight equal to half of the weight value of the minimum graduation, or the tolerance for error prescribed for “weighbridges” of the non self</w:t>
            </w:r>
            <w:r>
              <w:rPr>
                <w:sz w:val="18"/>
              </w:rPr>
              <w:noBreakHyphen/>
              <w:t>indicating type in Table IX under subheading “Weighbridges”, whichever is the greater.</w:t>
            </w:r>
          </w:p>
        </w:tc>
      </w:tr>
    </w:tbl>
    <w:p>
      <w:pPr>
        <w:pStyle w:val="yFootnotesection"/>
      </w:pPr>
      <w:r>
        <w:tab/>
        <w:t xml:space="preserve">[Table IX amended in Gazette 23 May 1960 p. 1412.] </w:t>
      </w:r>
    </w:p>
    <w:p>
      <w:pPr>
        <w:pStyle w:val="yScheduleHeading"/>
        <w:outlineLvl w:val="0"/>
      </w:pPr>
      <w:bookmarkStart w:id="243" w:name="_Toc390077268"/>
      <w:r>
        <w:rPr>
          <w:rStyle w:val="CharSchNo"/>
        </w:rPr>
        <w:t>Table X</w:t>
      </w:r>
      <w:bookmarkEnd w:id="243"/>
    </w:p>
    <w:p>
      <w:pPr>
        <w:pStyle w:val="yMiscellaneousBody"/>
        <w:tabs>
          <w:tab w:val="left" w:pos="284"/>
        </w:tabs>
        <w:spacing w:after="80"/>
        <w:rPr>
          <w:snapToGrid w:val="0"/>
        </w:rPr>
      </w:pPr>
      <w:r>
        <w:rPr>
          <w:snapToGrid w:val="0"/>
        </w:rPr>
        <w:tab/>
        <w:t>Error permissible on the verification or inspection of automatic machines used as specified hereunder — </w:t>
      </w:r>
    </w:p>
    <w:tbl>
      <w:tblPr>
        <w:tblW w:w="0" w:type="auto"/>
        <w:tblInd w:w="283" w:type="dxa"/>
        <w:tblBorders>
          <w:top w:val="single" w:sz="4" w:space="0" w:color="auto"/>
          <w:bottom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67"/>
        <w:gridCol w:w="425"/>
        <w:gridCol w:w="1417"/>
        <w:gridCol w:w="2552"/>
      </w:tblGrid>
      <w:tr>
        <w:tc>
          <w:tcPr>
            <w:tcW w:w="2467" w:type="dxa"/>
            <w:tcBorders>
              <w:top w:val="single" w:sz="4" w:space="0" w:color="auto"/>
              <w:bottom w:val="single" w:sz="4" w:space="0" w:color="auto"/>
              <w:right w:val="nil"/>
            </w:tcBorders>
          </w:tcPr>
          <w:p>
            <w:pPr>
              <w:pStyle w:val="yTable"/>
              <w:jc w:val="center"/>
              <w:rPr>
                <w:sz w:val="18"/>
              </w:rPr>
            </w:pPr>
            <w:r>
              <w:rPr>
                <w:sz w:val="18"/>
              </w:rPr>
              <w:t>Use</w:t>
            </w:r>
          </w:p>
        </w:tc>
        <w:tc>
          <w:tcPr>
            <w:tcW w:w="425" w:type="dxa"/>
            <w:tcBorders>
              <w:top w:val="single" w:sz="4" w:space="0" w:color="auto"/>
              <w:left w:val="nil"/>
              <w:bottom w:val="single" w:sz="4" w:space="0" w:color="auto"/>
            </w:tcBorders>
          </w:tcPr>
          <w:p>
            <w:pPr>
              <w:pStyle w:val="yTable"/>
              <w:jc w:val="center"/>
              <w:rPr>
                <w:sz w:val="18"/>
              </w:rPr>
            </w:pPr>
          </w:p>
        </w:tc>
        <w:tc>
          <w:tcPr>
            <w:tcW w:w="1417" w:type="dxa"/>
            <w:tcBorders>
              <w:top w:val="single" w:sz="4" w:space="0" w:color="auto"/>
              <w:bottom w:val="single" w:sz="4" w:space="0" w:color="auto"/>
            </w:tcBorders>
          </w:tcPr>
          <w:p>
            <w:pPr>
              <w:pStyle w:val="yTable"/>
              <w:jc w:val="center"/>
              <w:rPr>
                <w:sz w:val="18"/>
              </w:rPr>
            </w:pPr>
            <w:r>
              <w:rPr>
                <w:sz w:val="18"/>
              </w:rPr>
              <w:t>Capacity</w:t>
            </w:r>
          </w:p>
        </w:tc>
        <w:tc>
          <w:tcPr>
            <w:tcW w:w="2552" w:type="dxa"/>
            <w:tcBorders>
              <w:top w:val="single" w:sz="4" w:space="0" w:color="auto"/>
              <w:bottom w:val="single" w:sz="4" w:space="0" w:color="auto"/>
            </w:tcBorders>
          </w:tcPr>
          <w:p>
            <w:pPr>
              <w:pStyle w:val="yTable"/>
              <w:jc w:val="center"/>
              <w:rPr>
                <w:sz w:val="18"/>
              </w:rPr>
            </w:pPr>
            <w:r>
              <w:rPr>
                <w:sz w:val="18"/>
              </w:rPr>
              <w:t>Error</w:t>
            </w:r>
          </w:p>
        </w:tc>
      </w:tr>
      <w:tr>
        <w:trPr>
          <w:cantSplit/>
        </w:trPr>
        <w:tc>
          <w:tcPr>
            <w:tcW w:w="2467" w:type="dxa"/>
            <w:vMerge w:val="restart"/>
            <w:tcBorders>
              <w:top w:val="nil"/>
              <w:right w:val="nil"/>
            </w:tcBorders>
            <w:vAlign w:val="center"/>
          </w:tcPr>
          <w:p>
            <w:pPr>
              <w:pStyle w:val="yTable"/>
              <w:tabs>
                <w:tab w:val="left" w:pos="1844"/>
              </w:tabs>
              <w:spacing w:before="0"/>
              <w:rPr>
                <w:sz w:val="18"/>
              </w:rPr>
            </w:pPr>
            <w:r>
              <w:rPr>
                <w:sz w:val="18"/>
              </w:rPr>
              <w:t>Weighing tea, coffee, etc., grain and other granular substances, and free running substances generally</w:t>
            </w:r>
          </w:p>
        </w:tc>
        <w:tc>
          <w:tcPr>
            <w:tcW w:w="425" w:type="dxa"/>
            <w:vMerge w:val="restart"/>
            <w:tcBorders>
              <w:top w:val="nil"/>
              <w:left w:val="nil"/>
            </w:tcBorders>
          </w:tcPr>
          <w:p>
            <w:pPr>
              <w:pStyle w:val="yTable"/>
              <w:jc w:val="center"/>
              <w:rPr>
                <w:sz w:val="18"/>
              </w:rPr>
            </w:pPr>
            <w:r>
              <w:rPr>
                <w:sz w:val="18"/>
              </w:rPr>
              <w:object w:dxaOrig="181"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84pt" o:ole="" fillcolor="window">
                  <v:imagedata r:id="rId27" o:title=""/>
                </v:shape>
                <o:OLEObject Type="Embed" ProgID="Word.Picture.8" ShapeID="_x0000_i1025" DrawAspect="Content" ObjectID="_1644557178" r:id="rId28"/>
              </w:object>
            </w:r>
          </w:p>
        </w:tc>
        <w:tc>
          <w:tcPr>
            <w:tcW w:w="1417" w:type="dxa"/>
            <w:tcBorders>
              <w:top w:val="nil"/>
            </w:tcBorders>
          </w:tcPr>
          <w:p>
            <w:pPr>
              <w:pStyle w:val="yTable"/>
              <w:jc w:val="center"/>
              <w:rPr>
                <w:sz w:val="18"/>
              </w:rPr>
            </w:pPr>
            <w:r>
              <w:rPr>
                <w:sz w:val="18"/>
              </w:rPr>
              <w:t>½ lb.</w:t>
            </w:r>
          </w:p>
        </w:tc>
        <w:tc>
          <w:tcPr>
            <w:tcW w:w="2552" w:type="dxa"/>
            <w:tcBorders>
              <w:top w:val="nil"/>
            </w:tcBorders>
          </w:tcPr>
          <w:p>
            <w:pPr>
              <w:pStyle w:val="yTable"/>
              <w:ind w:left="228" w:hanging="228"/>
              <w:rPr>
                <w:sz w:val="18"/>
              </w:rPr>
            </w:pPr>
            <w:r>
              <w:rPr>
                <w:sz w:val="18"/>
              </w:rPr>
              <w:t>20 grains in excess or deficiency</w:t>
            </w:r>
          </w:p>
        </w:tc>
      </w:tr>
      <w:tr>
        <w:trPr>
          <w:cantSplit/>
        </w:trPr>
        <w:tc>
          <w:tcPr>
            <w:tcW w:w="2467" w:type="dxa"/>
            <w:vMerge/>
            <w:tcBorders>
              <w:right w:val="nil"/>
            </w:tcBorders>
          </w:tcPr>
          <w:p>
            <w:pPr>
              <w:pStyle w:val="yTable"/>
              <w:tabs>
                <w:tab w:val="left" w:pos="1844"/>
              </w:tabs>
              <w:rPr>
                <w:sz w:val="18"/>
              </w:rPr>
            </w:pPr>
          </w:p>
        </w:tc>
        <w:tc>
          <w:tcPr>
            <w:tcW w:w="425" w:type="dxa"/>
            <w:vMerge/>
            <w:tcBorders>
              <w:left w:val="nil"/>
            </w:tcBorders>
          </w:tcPr>
          <w:p>
            <w:pPr>
              <w:pStyle w:val="yTable"/>
              <w:jc w:val="center"/>
              <w:rPr>
                <w:sz w:val="18"/>
              </w:rPr>
            </w:pPr>
          </w:p>
        </w:tc>
        <w:tc>
          <w:tcPr>
            <w:tcW w:w="1417" w:type="dxa"/>
          </w:tcPr>
          <w:p>
            <w:pPr>
              <w:pStyle w:val="yTable"/>
              <w:spacing w:before="0"/>
              <w:jc w:val="center"/>
              <w:rPr>
                <w:sz w:val="18"/>
              </w:rPr>
            </w:pPr>
            <w:r>
              <w:rPr>
                <w:sz w:val="18"/>
              </w:rPr>
              <w:t>1 lb.</w:t>
            </w:r>
          </w:p>
        </w:tc>
        <w:tc>
          <w:tcPr>
            <w:tcW w:w="2552" w:type="dxa"/>
          </w:tcPr>
          <w:p>
            <w:pPr>
              <w:pStyle w:val="yTable"/>
              <w:spacing w:before="0"/>
              <w:rPr>
                <w:sz w:val="18"/>
              </w:rPr>
            </w:pPr>
            <w:r>
              <w:rPr>
                <w:sz w:val="18"/>
              </w:rPr>
              <w:t>1 dram in excess or deficiency</w:t>
            </w:r>
          </w:p>
        </w:tc>
      </w:tr>
      <w:tr>
        <w:trPr>
          <w:cantSplit/>
        </w:trPr>
        <w:tc>
          <w:tcPr>
            <w:tcW w:w="2467" w:type="dxa"/>
            <w:vMerge/>
            <w:tcBorders>
              <w:right w:val="nil"/>
            </w:tcBorders>
          </w:tcPr>
          <w:p>
            <w:pPr>
              <w:pStyle w:val="yTable"/>
              <w:tabs>
                <w:tab w:val="left" w:pos="1844"/>
              </w:tabs>
              <w:spacing w:before="0"/>
              <w:rPr>
                <w:sz w:val="18"/>
              </w:rPr>
            </w:pPr>
          </w:p>
        </w:tc>
        <w:tc>
          <w:tcPr>
            <w:tcW w:w="425" w:type="dxa"/>
            <w:vMerge/>
            <w:tcBorders>
              <w:left w:val="nil"/>
            </w:tcBorders>
          </w:tcPr>
          <w:p>
            <w:pPr>
              <w:pStyle w:val="yTable"/>
              <w:spacing w:before="0"/>
              <w:jc w:val="center"/>
              <w:rPr>
                <w:sz w:val="18"/>
              </w:rPr>
            </w:pPr>
          </w:p>
        </w:tc>
        <w:tc>
          <w:tcPr>
            <w:tcW w:w="1417" w:type="dxa"/>
          </w:tcPr>
          <w:p>
            <w:pPr>
              <w:pStyle w:val="yTable"/>
              <w:spacing w:before="0"/>
              <w:jc w:val="center"/>
              <w:rPr>
                <w:sz w:val="18"/>
              </w:rPr>
            </w:pPr>
            <w:r>
              <w:rPr>
                <w:sz w:val="18"/>
              </w:rPr>
              <w:t>2 lb.</w:t>
            </w:r>
          </w:p>
          <w:p>
            <w:pPr>
              <w:pStyle w:val="yTable"/>
              <w:spacing w:before="0"/>
              <w:jc w:val="center"/>
              <w:rPr>
                <w:sz w:val="18"/>
              </w:rPr>
            </w:pPr>
            <w:r>
              <w:rPr>
                <w:sz w:val="18"/>
              </w:rPr>
              <w:t>4 lb.</w:t>
            </w:r>
          </w:p>
          <w:p>
            <w:pPr>
              <w:pStyle w:val="yTable"/>
              <w:spacing w:before="0"/>
              <w:jc w:val="center"/>
              <w:rPr>
                <w:sz w:val="18"/>
              </w:rPr>
            </w:pPr>
            <w:r>
              <w:rPr>
                <w:sz w:val="18"/>
              </w:rPr>
              <w:t>7 lb.</w:t>
            </w:r>
          </w:p>
          <w:p>
            <w:pPr>
              <w:pStyle w:val="yTable"/>
              <w:spacing w:before="0"/>
              <w:jc w:val="center"/>
              <w:rPr>
                <w:sz w:val="18"/>
              </w:rPr>
            </w:pPr>
            <w:r>
              <w:rPr>
                <w:sz w:val="18"/>
              </w:rPr>
              <w:t>14 lb. or 28 lb.</w:t>
            </w:r>
          </w:p>
          <w:p>
            <w:pPr>
              <w:pStyle w:val="yTable"/>
              <w:spacing w:before="0"/>
              <w:jc w:val="center"/>
              <w:rPr>
                <w:sz w:val="18"/>
              </w:rPr>
            </w:pPr>
            <w:r>
              <w:rPr>
                <w:sz w:val="18"/>
              </w:rPr>
              <w:t>56 lb.</w:t>
            </w:r>
          </w:p>
          <w:p>
            <w:pPr>
              <w:pStyle w:val="yTable"/>
              <w:spacing w:before="0"/>
              <w:jc w:val="center"/>
              <w:rPr>
                <w:sz w:val="18"/>
              </w:rPr>
            </w:pPr>
            <w:r>
              <w:rPr>
                <w:sz w:val="18"/>
              </w:rPr>
              <w:t>112 lb.</w:t>
            </w:r>
          </w:p>
        </w:tc>
        <w:tc>
          <w:tcPr>
            <w:tcW w:w="2552" w:type="dxa"/>
          </w:tcPr>
          <w:p>
            <w:pPr>
              <w:pStyle w:val="yTable"/>
              <w:spacing w:before="0"/>
              <w:ind w:left="228" w:hanging="228"/>
              <w:rPr>
                <w:sz w:val="18"/>
              </w:rPr>
            </w:pPr>
            <w:r>
              <w:rPr>
                <w:sz w:val="18"/>
              </w:rPr>
              <w:t>1</w:t>
            </w:r>
            <w:r>
              <w:rPr>
                <w:sz w:val="18"/>
                <w:vertAlign w:val="superscript"/>
              </w:rPr>
              <w:t> </w:t>
            </w:r>
            <w:r>
              <w:rPr>
                <w:sz w:val="18"/>
              </w:rPr>
              <w:t>½ drams in excess or deficiency</w:t>
            </w:r>
          </w:p>
          <w:p>
            <w:pPr>
              <w:pStyle w:val="yTable"/>
              <w:spacing w:before="0"/>
              <w:ind w:left="228" w:hanging="228"/>
              <w:rPr>
                <w:sz w:val="18"/>
              </w:rPr>
            </w:pPr>
            <w:r>
              <w:rPr>
                <w:sz w:val="18"/>
              </w:rPr>
              <w:t>2 drams in excess or deficiency</w:t>
            </w:r>
          </w:p>
          <w:p>
            <w:pPr>
              <w:pStyle w:val="yTable"/>
              <w:spacing w:before="0"/>
              <w:ind w:left="228" w:hanging="228"/>
              <w:rPr>
                <w:sz w:val="18"/>
              </w:rPr>
            </w:pPr>
            <w:r>
              <w:rPr>
                <w:sz w:val="18"/>
              </w:rPr>
              <w:t>4 drams in excess or deficiency</w:t>
            </w:r>
          </w:p>
          <w:p>
            <w:pPr>
              <w:pStyle w:val="yTable"/>
              <w:spacing w:before="0"/>
              <w:ind w:left="228" w:hanging="228"/>
              <w:rPr>
                <w:sz w:val="18"/>
              </w:rPr>
            </w:pPr>
            <w:r>
              <w:rPr>
                <w:sz w:val="18"/>
              </w:rPr>
              <w:t>8 drams in excess or deficiency</w:t>
            </w:r>
          </w:p>
          <w:p>
            <w:pPr>
              <w:pStyle w:val="yTable"/>
              <w:spacing w:before="0"/>
              <w:ind w:left="228" w:hanging="228"/>
              <w:rPr>
                <w:sz w:val="18"/>
              </w:rPr>
            </w:pPr>
            <w:r>
              <w:rPr>
                <w:sz w:val="18"/>
              </w:rPr>
              <w:t>1 oz. in excess or deficiency</w:t>
            </w:r>
          </w:p>
          <w:p>
            <w:pPr>
              <w:pStyle w:val="yTable"/>
              <w:spacing w:before="0"/>
              <w:ind w:left="228" w:hanging="228"/>
              <w:rPr>
                <w:sz w:val="18"/>
              </w:rPr>
            </w:pPr>
            <w:r>
              <w:rPr>
                <w:sz w:val="18"/>
              </w:rPr>
              <w:t>1</w:t>
            </w:r>
            <w:r>
              <w:rPr>
                <w:sz w:val="18"/>
                <w:vertAlign w:val="superscript"/>
              </w:rPr>
              <w:t> </w:t>
            </w:r>
            <w:r>
              <w:rPr>
                <w:sz w:val="18"/>
              </w:rPr>
              <w:t>½ oz. in excess or deficiency</w:t>
            </w:r>
          </w:p>
        </w:tc>
      </w:tr>
      <w:tr>
        <w:tc>
          <w:tcPr>
            <w:tcW w:w="2467" w:type="dxa"/>
            <w:tcBorders>
              <w:right w:val="nil"/>
            </w:tcBorders>
          </w:tcPr>
          <w:p>
            <w:pPr>
              <w:pStyle w:val="yTable"/>
              <w:rPr>
                <w:sz w:val="18"/>
              </w:rPr>
            </w:pPr>
            <w:r>
              <w:rPr>
                <w:sz w:val="18"/>
              </w:rPr>
              <w:t>Weighing wheat, etc., (Elevator, scales, etc.)</w:t>
            </w:r>
          </w:p>
        </w:tc>
        <w:tc>
          <w:tcPr>
            <w:tcW w:w="425" w:type="dxa"/>
            <w:tcBorders>
              <w:left w:val="nil"/>
            </w:tcBorders>
          </w:tcPr>
          <w:p>
            <w:pPr>
              <w:pStyle w:val="yTable"/>
              <w:jc w:val="center"/>
              <w:rPr>
                <w:sz w:val="18"/>
              </w:rPr>
            </w:pPr>
          </w:p>
        </w:tc>
        <w:tc>
          <w:tcPr>
            <w:tcW w:w="1417" w:type="dxa"/>
          </w:tcPr>
          <w:p>
            <w:pPr>
              <w:pStyle w:val="yTable"/>
              <w:jc w:val="center"/>
              <w:rPr>
                <w:sz w:val="18"/>
              </w:rPr>
            </w:pPr>
            <w:r>
              <w:rPr>
                <w:sz w:val="18"/>
              </w:rPr>
              <w:t>1,000 lb. and over</w:t>
            </w:r>
          </w:p>
        </w:tc>
        <w:tc>
          <w:tcPr>
            <w:tcW w:w="2552" w:type="dxa"/>
          </w:tcPr>
          <w:p>
            <w:pPr>
              <w:pStyle w:val="yTable"/>
              <w:ind w:left="228" w:hanging="228"/>
              <w:rPr>
                <w:sz w:val="18"/>
              </w:rPr>
            </w:pPr>
            <w:r>
              <w:rPr>
                <w:sz w:val="18"/>
              </w:rPr>
              <w:t>0.125% of load in excess or deficiency on any one of 20 or more consecutive weighings, or 0.0625% of load on the average of 20 or more consecutive weighings</w:t>
            </w:r>
          </w:p>
        </w:tc>
      </w:tr>
      <w:tr>
        <w:tc>
          <w:tcPr>
            <w:tcW w:w="2467" w:type="dxa"/>
            <w:tcBorders>
              <w:right w:val="nil"/>
            </w:tcBorders>
          </w:tcPr>
          <w:p>
            <w:pPr>
              <w:pStyle w:val="yTable"/>
              <w:rPr>
                <w:sz w:val="18"/>
              </w:rPr>
            </w:pPr>
            <w:r>
              <w:rPr>
                <w:sz w:val="18"/>
              </w:rPr>
              <w:t>Weighing coal ...........................</w:t>
            </w:r>
          </w:p>
        </w:tc>
        <w:tc>
          <w:tcPr>
            <w:tcW w:w="425" w:type="dxa"/>
            <w:tcBorders>
              <w:left w:val="nil"/>
              <w:bottom w:val="single" w:sz="4" w:space="0" w:color="auto"/>
            </w:tcBorders>
          </w:tcPr>
          <w:p>
            <w:pPr>
              <w:pStyle w:val="yTable"/>
              <w:jc w:val="center"/>
              <w:rPr>
                <w:sz w:val="18"/>
              </w:rPr>
            </w:pPr>
          </w:p>
        </w:tc>
        <w:tc>
          <w:tcPr>
            <w:tcW w:w="1417" w:type="dxa"/>
          </w:tcPr>
          <w:p>
            <w:pPr>
              <w:pStyle w:val="yTable"/>
              <w:jc w:val="center"/>
              <w:rPr>
                <w:sz w:val="18"/>
              </w:rPr>
            </w:pPr>
            <w:r>
              <w:rPr>
                <w:sz w:val="18"/>
              </w:rPr>
              <w:t>1 cwt., or over</w:t>
            </w:r>
          </w:p>
        </w:tc>
        <w:tc>
          <w:tcPr>
            <w:tcW w:w="2552" w:type="dxa"/>
          </w:tcPr>
          <w:p>
            <w:pPr>
              <w:pStyle w:val="yTable"/>
              <w:ind w:left="228" w:hanging="228"/>
              <w:rPr>
                <w:sz w:val="18"/>
              </w:rPr>
            </w:pPr>
            <w:r>
              <w:rPr>
                <w:sz w:val="18"/>
              </w:rPr>
              <w:t>0.5% of load in excess or deficiency on any one of 20 or more consecutive weighings, or 0.25% of load on the average of 20 or more consecutive weighings.</w:t>
            </w:r>
          </w:p>
        </w:tc>
      </w:tr>
    </w:tbl>
    <w:p>
      <w:pPr>
        <w:pStyle w:val="yMiscellaneousBody"/>
        <w:tabs>
          <w:tab w:val="left" w:pos="284"/>
        </w:tabs>
        <w:rPr>
          <w:snapToGrid w:val="0"/>
        </w:rPr>
      </w:pPr>
      <w:r>
        <w:rPr>
          <w:snapToGrid w:val="0"/>
        </w:rPr>
        <w:tab/>
        <w:t>For substances which do not run freely a tolerance in error not exceeding in any case 1% of the load may be fixed by the Chief Inspector.</w:t>
      </w:r>
    </w:p>
    <w:p>
      <w:pPr>
        <w:pStyle w:val="yFootnotesection"/>
      </w:pPr>
      <w:r>
        <w:tab/>
        <w:t xml:space="preserve">[Table X amended in Gazette 23 May 1960 p. 1412; 31 Jul 1984 p. 2829.] </w:t>
      </w:r>
    </w:p>
    <w:p>
      <w:pPr>
        <w:pStyle w:val="yScheduleHeading"/>
        <w:outlineLvl w:val="0"/>
      </w:pPr>
      <w:bookmarkStart w:id="244" w:name="_Toc390077269"/>
      <w:r>
        <w:rPr>
          <w:rStyle w:val="CharSchNo"/>
        </w:rPr>
        <w:t>Table XI</w:t>
      </w:r>
      <w:bookmarkEnd w:id="244"/>
    </w:p>
    <w:p>
      <w:pPr>
        <w:pStyle w:val="yMiscellaneousHeading"/>
        <w:spacing w:after="80"/>
        <w:rPr>
          <w:i/>
          <w:snapToGrid w:val="0"/>
        </w:rPr>
      </w:pPr>
      <w:r>
        <w:rPr>
          <w:i/>
          <w:snapToGrid w:val="0"/>
        </w:rPr>
        <w:t>Fabric Measuring Instruments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402"/>
        <w:gridCol w:w="3686"/>
      </w:tblGrid>
      <w:tr>
        <w:tc>
          <w:tcPr>
            <w:tcW w:w="3402" w:type="dxa"/>
            <w:tcBorders>
              <w:top w:val="single" w:sz="4" w:space="0" w:color="auto"/>
              <w:bottom w:val="single" w:sz="4" w:space="0" w:color="auto"/>
            </w:tcBorders>
          </w:tcPr>
          <w:p>
            <w:pPr>
              <w:pStyle w:val="yTable"/>
              <w:jc w:val="center"/>
              <w:rPr>
                <w:b/>
                <w:sz w:val="18"/>
              </w:rPr>
            </w:pPr>
            <w:r>
              <w:rPr>
                <w:b/>
                <w:sz w:val="18"/>
              </w:rPr>
              <w:t>Length measured</w:t>
            </w:r>
          </w:p>
        </w:tc>
        <w:tc>
          <w:tcPr>
            <w:tcW w:w="3686" w:type="dxa"/>
            <w:tcBorders>
              <w:top w:val="single" w:sz="4" w:space="0" w:color="auto"/>
              <w:bottom w:val="single" w:sz="4" w:space="0" w:color="auto"/>
            </w:tcBorders>
          </w:tcPr>
          <w:p>
            <w:pPr>
              <w:pStyle w:val="yTable"/>
              <w:jc w:val="center"/>
              <w:rPr>
                <w:b/>
                <w:sz w:val="18"/>
              </w:rPr>
            </w:pPr>
            <w:r>
              <w:rPr>
                <w:b/>
                <w:sz w:val="18"/>
              </w:rPr>
              <w:t>Error in excess or Deficiency</w:t>
            </w:r>
          </w:p>
        </w:tc>
      </w:tr>
      <w:tr>
        <w:tc>
          <w:tcPr>
            <w:tcW w:w="3402" w:type="dxa"/>
            <w:tcBorders>
              <w:top w:val="nil"/>
            </w:tcBorders>
          </w:tcPr>
          <w:p>
            <w:pPr>
              <w:pStyle w:val="yTable"/>
              <w:rPr>
                <w:sz w:val="18"/>
              </w:rPr>
            </w:pPr>
            <w:r>
              <w:rPr>
                <w:sz w:val="18"/>
              </w:rPr>
              <w:t>1 yard ............................................................</w:t>
            </w:r>
          </w:p>
        </w:tc>
        <w:tc>
          <w:tcPr>
            <w:tcW w:w="3686" w:type="dxa"/>
            <w:tcBorders>
              <w:top w:val="nil"/>
            </w:tcBorders>
          </w:tcPr>
          <w:p>
            <w:pPr>
              <w:pStyle w:val="yTable"/>
              <w:jc w:val="center"/>
              <w:rPr>
                <w:sz w:val="18"/>
              </w:rPr>
            </w:pPr>
            <w:r>
              <w:rPr>
                <w:sz w:val="18"/>
              </w:rPr>
              <w:t>¼ inch</w:t>
            </w:r>
          </w:p>
        </w:tc>
      </w:tr>
      <w:tr>
        <w:tc>
          <w:tcPr>
            <w:tcW w:w="3402" w:type="dxa"/>
          </w:tcPr>
          <w:p>
            <w:pPr>
              <w:pStyle w:val="yTable"/>
              <w:rPr>
                <w:sz w:val="18"/>
              </w:rPr>
            </w:pPr>
            <w:r>
              <w:rPr>
                <w:sz w:val="18"/>
              </w:rPr>
              <w:t>For each additional yard ...............................</w:t>
            </w:r>
          </w:p>
        </w:tc>
        <w:tc>
          <w:tcPr>
            <w:tcW w:w="3686" w:type="dxa"/>
          </w:tcPr>
          <w:p>
            <w:pPr>
              <w:pStyle w:val="yTable"/>
              <w:jc w:val="center"/>
              <w:rPr>
                <w:sz w:val="18"/>
              </w:rPr>
            </w:pPr>
            <w:r>
              <w:rPr>
                <w:sz w:val="18"/>
                <w:vertAlign w:val="superscript"/>
              </w:rPr>
              <w:t>1</w:t>
            </w:r>
            <w:r>
              <w:rPr>
                <w:sz w:val="18"/>
              </w:rPr>
              <w:t>/</w:t>
            </w:r>
            <w:r>
              <w:rPr>
                <w:sz w:val="18"/>
                <w:vertAlign w:val="subscript"/>
              </w:rPr>
              <w:t>8</w:t>
            </w:r>
            <w:r>
              <w:rPr>
                <w:sz w:val="18"/>
              </w:rPr>
              <w:t xml:space="preserve"> inch</w:t>
            </w:r>
          </w:p>
        </w:tc>
      </w:tr>
    </w:tbl>
    <w:p>
      <w:pPr>
        <w:pStyle w:val="yScheduleHeading"/>
      </w:pPr>
      <w:bookmarkStart w:id="245" w:name="_Toc390077270"/>
      <w:r>
        <w:rPr>
          <w:rStyle w:val="CharSchNo"/>
        </w:rPr>
        <w:t>Table XII</w:t>
      </w:r>
      <w:bookmarkEnd w:id="245"/>
    </w:p>
    <w:p>
      <w:pPr>
        <w:pStyle w:val="yMiscellaneousHeading"/>
        <w:spacing w:after="80"/>
        <w:rPr>
          <w:i/>
          <w:snapToGrid w:val="0"/>
        </w:rPr>
      </w:pPr>
      <w:r>
        <w:rPr>
          <w:i/>
          <w:snapToGrid w:val="0"/>
        </w:rPr>
        <w:t xml:space="preserve">Leather Measuring Instruments </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800"/>
        <w:gridCol w:w="3288"/>
      </w:tblGrid>
      <w:tr>
        <w:tc>
          <w:tcPr>
            <w:tcW w:w="3800" w:type="dxa"/>
            <w:tcBorders>
              <w:top w:val="single" w:sz="4" w:space="0" w:color="auto"/>
              <w:bottom w:val="single" w:sz="4" w:space="0" w:color="auto"/>
            </w:tcBorders>
          </w:tcPr>
          <w:p>
            <w:pPr>
              <w:pStyle w:val="yTable"/>
              <w:jc w:val="center"/>
              <w:rPr>
                <w:b/>
                <w:sz w:val="18"/>
              </w:rPr>
            </w:pPr>
            <w:r>
              <w:rPr>
                <w:b/>
                <w:sz w:val="18"/>
              </w:rPr>
              <w:t>Area measured</w:t>
            </w:r>
          </w:p>
        </w:tc>
        <w:tc>
          <w:tcPr>
            <w:tcW w:w="3288" w:type="dxa"/>
            <w:tcBorders>
              <w:top w:val="single" w:sz="4" w:space="0" w:color="auto"/>
              <w:bottom w:val="single" w:sz="4" w:space="0" w:color="auto"/>
            </w:tcBorders>
          </w:tcPr>
          <w:p>
            <w:pPr>
              <w:pStyle w:val="yTable"/>
              <w:jc w:val="center"/>
              <w:rPr>
                <w:b/>
                <w:sz w:val="18"/>
              </w:rPr>
            </w:pPr>
            <w:r>
              <w:rPr>
                <w:b/>
                <w:sz w:val="18"/>
              </w:rPr>
              <w:t>Error in Excess of or Deficiency</w:t>
            </w:r>
          </w:p>
        </w:tc>
      </w:tr>
      <w:tr>
        <w:tc>
          <w:tcPr>
            <w:tcW w:w="3800" w:type="dxa"/>
            <w:tcBorders>
              <w:top w:val="nil"/>
            </w:tcBorders>
          </w:tcPr>
          <w:p>
            <w:pPr>
              <w:pStyle w:val="yTable"/>
              <w:rPr>
                <w:sz w:val="18"/>
              </w:rPr>
            </w:pPr>
            <w:r>
              <w:rPr>
                <w:sz w:val="18"/>
              </w:rPr>
              <w:t>Up to and including 8 square feet ..........................</w:t>
            </w:r>
          </w:p>
        </w:tc>
        <w:tc>
          <w:tcPr>
            <w:tcW w:w="3288" w:type="dxa"/>
            <w:tcBorders>
              <w:top w:val="nil"/>
            </w:tcBorders>
          </w:tcPr>
          <w:p>
            <w:pPr>
              <w:pStyle w:val="yTable"/>
              <w:rPr>
                <w:sz w:val="18"/>
              </w:rPr>
            </w:pPr>
            <w:r>
              <w:rPr>
                <w:sz w:val="18"/>
                <w:vertAlign w:val="superscript"/>
              </w:rPr>
              <w:t>1</w:t>
            </w:r>
            <w:r>
              <w:rPr>
                <w:sz w:val="18"/>
              </w:rPr>
              <w:t>/</w:t>
            </w:r>
            <w:r>
              <w:rPr>
                <w:sz w:val="18"/>
                <w:vertAlign w:val="subscript"/>
              </w:rPr>
              <w:t>8</w:t>
            </w:r>
            <w:r>
              <w:rPr>
                <w:sz w:val="18"/>
              </w:rPr>
              <w:t xml:space="preserve"> square foot</w:t>
            </w:r>
          </w:p>
        </w:tc>
      </w:tr>
      <w:tr>
        <w:tc>
          <w:tcPr>
            <w:tcW w:w="3800" w:type="dxa"/>
          </w:tcPr>
          <w:p>
            <w:pPr>
              <w:pStyle w:val="yTable"/>
              <w:rPr>
                <w:sz w:val="18"/>
              </w:rPr>
            </w:pPr>
            <w:r>
              <w:rPr>
                <w:sz w:val="18"/>
              </w:rPr>
              <w:t>Over 8 square feet to 20 square feet ......................</w:t>
            </w:r>
          </w:p>
        </w:tc>
        <w:tc>
          <w:tcPr>
            <w:tcW w:w="3288" w:type="dxa"/>
          </w:tcPr>
          <w:p>
            <w:pPr>
              <w:pStyle w:val="yTable"/>
              <w:rPr>
                <w:sz w:val="18"/>
              </w:rPr>
            </w:pPr>
            <w:r>
              <w:rPr>
                <w:sz w:val="18"/>
                <w:vertAlign w:val="superscript"/>
              </w:rPr>
              <w:t>1</w:t>
            </w:r>
            <w:r>
              <w:rPr>
                <w:sz w:val="18"/>
              </w:rPr>
              <w:t>/</w:t>
            </w:r>
            <w:r>
              <w:rPr>
                <w:sz w:val="18"/>
                <w:vertAlign w:val="subscript"/>
              </w:rPr>
              <w:t>6</w:t>
            </w:r>
            <w:r>
              <w:rPr>
                <w:sz w:val="18"/>
              </w:rPr>
              <w:t xml:space="preserve"> square foot</w:t>
            </w:r>
          </w:p>
        </w:tc>
      </w:tr>
      <w:tr>
        <w:tc>
          <w:tcPr>
            <w:tcW w:w="3800" w:type="dxa"/>
          </w:tcPr>
          <w:p>
            <w:pPr>
              <w:pStyle w:val="yTable"/>
              <w:rPr>
                <w:sz w:val="18"/>
              </w:rPr>
            </w:pPr>
            <w:r>
              <w:rPr>
                <w:sz w:val="18"/>
              </w:rPr>
              <w:t>Over 20 square feet to 40 square feet ....................</w:t>
            </w:r>
          </w:p>
        </w:tc>
        <w:tc>
          <w:tcPr>
            <w:tcW w:w="3288" w:type="dxa"/>
          </w:tcPr>
          <w:p>
            <w:pPr>
              <w:pStyle w:val="yTable"/>
              <w:rPr>
                <w:sz w:val="18"/>
              </w:rPr>
            </w:pPr>
            <w:r>
              <w:rPr>
                <w:sz w:val="18"/>
              </w:rPr>
              <w:t>¼ square foot</w:t>
            </w:r>
          </w:p>
        </w:tc>
      </w:tr>
      <w:tr>
        <w:tc>
          <w:tcPr>
            <w:tcW w:w="3800" w:type="dxa"/>
          </w:tcPr>
          <w:p>
            <w:pPr>
              <w:pStyle w:val="yTable"/>
              <w:rPr>
                <w:sz w:val="18"/>
              </w:rPr>
            </w:pPr>
            <w:r>
              <w:rPr>
                <w:sz w:val="18"/>
              </w:rPr>
              <w:t>Over 40 square feet ................................................</w:t>
            </w:r>
          </w:p>
        </w:tc>
        <w:tc>
          <w:tcPr>
            <w:tcW w:w="3288" w:type="dxa"/>
          </w:tcPr>
          <w:p>
            <w:pPr>
              <w:pStyle w:val="yTable"/>
              <w:rPr>
                <w:sz w:val="18"/>
              </w:rPr>
            </w:pPr>
            <w:r>
              <w:rPr>
                <w:sz w:val="18"/>
              </w:rPr>
              <w:t>½ square foot</w:t>
            </w:r>
          </w:p>
        </w:tc>
      </w:tr>
    </w:tbl>
    <w:p>
      <w:pPr>
        <w:pStyle w:val="yScheduleHeading"/>
      </w:pPr>
      <w:bookmarkStart w:id="246" w:name="_Toc390077271"/>
      <w:r>
        <w:rPr>
          <w:rStyle w:val="CharSchNo"/>
        </w:rPr>
        <w:t>Table XIII</w:t>
      </w:r>
      <w:bookmarkEnd w:id="246"/>
    </w:p>
    <w:p>
      <w:pPr>
        <w:pStyle w:val="yHeading2"/>
      </w:pPr>
      <w:bookmarkStart w:id="247" w:name="_Toc390077272"/>
      <w:r>
        <w:t>Fees to be paid for testing, verifying or stamping weights and measures, and weighing or measuring instruments</w:t>
      </w:r>
      <w:bookmarkEnd w:id="247"/>
    </w:p>
    <w:p>
      <w:pPr>
        <w:pStyle w:val="yMiscellaneousHeading"/>
        <w:outlineLvl w:val="0"/>
        <w:rPr>
          <w:b/>
          <w:bCs/>
          <w:snapToGrid w:val="0"/>
        </w:rPr>
      </w:pPr>
      <w:r>
        <w:rPr>
          <w:b/>
          <w:bCs/>
          <w:snapToGrid w:val="0"/>
        </w:rPr>
        <w:t>Weights (Mass)</w:t>
      </w:r>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3827"/>
        <w:gridCol w:w="2551"/>
      </w:tblGrid>
      <w:tr>
        <w:tc>
          <w:tcPr>
            <w:tcW w:w="3827" w:type="dxa"/>
            <w:tcBorders>
              <w:top w:val="nil"/>
              <w:left w:val="nil"/>
              <w:bottom w:val="nil"/>
              <w:right w:val="nil"/>
            </w:tcBorders>
          </w:tcPr>
          <w:p>
            <w:pPr>
              <w:pStyle w:val="zytable"/>
            </w:pPr>
          </w:p>
        </w:tc>
        <w:tc>
          <w:tcPr>
            <w:tcW w:w="2551" w:type="dxa"/>
            <w:tcBorders>
              <w:top w:val="nil"/>
              <w:left w:val="nil"/>
              <w:bottom w:val="nil"/>
              <w:right w:val="nil"/>
            </w:tcBorders>
          </w:tcPr>
          <w:p>
            <w:pPr>
              <w:pStyle w:val="yTable"/>
              <w:jc w:val="center"/>
            </w:pPr>
            <w:r>
              <w:rPr>
                <w:b/>
              </w:rPr>
              <w:t>Fee</w:t>
            </w:r>
          </w:p>
        </w:tc>
      </w:tr>
      <w:tr>
        <w:tc>
          <w:tcPr>
            <w:tcW w:w="3827" w:type="dxa"/>
            <w:tcBorders>
              <w:top w:val="single" w:sz="4" w:space="0" w:color="auto"/>
              <w:bottom w:val="single" w:sz="4" w:space="0" w:color="auto"/>
            </w:tcBorders>
          </w:tcPr>
          <w:p>
            <w:pPr>
              <w:pStyle w:val="yTable"/>
              <w:tabs>
                <w:tab w:val="left" w:pos="425"/>
                <w:tab w:val="left" w:pos="992"/>
              </w:tabs>
              <w:ind w:left="992" w:hanging="992"/>
            </w:pPr>
            <w:r>
              <w:rPr>
                <w:sz w:val="18"/>
              </w:rPr>
              <w:t>1.</w:t>
            </w:r>
            <w:r>
              <w:rPr>
                <w:sz w:val="18"/>
              </w:rPr>
              <w:tab/>
              <w:t>(a)</w:t>
            </w:r>
            <w:r>
              <w:rPr>
                <w:sz w:val="18"/>
              </w:rPr>
              <w:tab/>
              <w:t>masses (each not exceeding 20 kg)</w:t>
            </w:r>
          </w:p>
        </w:tc>
        <w:tc>
          <w:tcPr>
            <w:tcW w:w="2551" w:type="dxa"/>
            <w:tcBorders>
              <w:top w:val="single" w:sz="4" w:space="0" w:color="auto"/>
              <w:bottom w:val="single" w:sz="4" w:space="0" w:color="auto"/>
            </w:tcBorders>
          </w:tcPr>
          <w:p>
            <w:pPr>
              <w:pStyle w:val="yTable"/>
            </w:pPr>
            <w:r>
              <w:rPr>
                <w:sz w:val="18"/>
              </w:rPr>
              <w:t>$20.00 for each group, or part of a group, of 5 masses</w:t>
            </w:r>
          </w:p>
        </w:tc>
      </w:tr>
      <w:tr>
        <w:tc>
          <w:tcPr>
            <w:tcW w:w="3827" w:type="dxa"/>
            <w:tcBorders>
              <w:top w:val="nil"/>
            </w:tcBorders>
          </w:tcPr>
          <w:p>
            <w:pPr>
              <w:pStyle w:val="yTable"/>
              <w:tabs>
                <w:tab w:val="left" w:pos="425"/>
                <w:tab w:val="left" w:pos="992"/>
              </w:tabs>
              <w:ind w:left="992" w:hanging="992"/>
            </w:pPr>
            <w:r>
              <w:rPr>
                <w:sz w:val="18"/>
              </w:rPr>
              <w:tab/>
              <w:t>(b)</w:t>
            </w:r>
            <w:r>
              <w:rPr>
                <w:sz w:val="18"/>
              </w:rPr>
              <w:tab/>
              <w:t>masses over 20 kg</w:t>
            </w:r>
          </w:p>
        </w:tc>
        <w:tc>
          <w:tcPr>
            <w:tcW w:w="2551" w:type="dxa"/>
            <w:tcBorders>
              <w:top w:val="nil"/>
            </w:tcBorders>
          </w:tcPr>
          <w:p>
            <w:pPr>
              <w:pStyle w:val="yTable"/>
            </w:pPr>
            <w:r>
              <w:rPr>
                <w:sz w:val="18"/>
              </w:rPr>
              <w:t>Based on time taken at $40.50 per half hour or part thereof</w:t>
            </w:r>
          </w:p>
        </w:tc>
      </w:tr>
    </w:tbl>
    <w:p>
      <w:pPr>
        <w:pStyle w:val="yMiscellaneousHeading"/>
        <w:rPr>
          <w:b/>
          <w:bCs/>
          <w:snapToGrid w:val="0"/>
        </w:rPr>
      </w:pPr>
      <w:r>
        <w:rPr>
          <w:b/>
          <w:bCs/>
          <w:snapToGrid w:val="0"/>
        </w:rPr>
        <w:t>Measures of Capacity (Volume)</w:t>
      </w:r>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3827"/>
        <w:gridCol w:w="2551"/>
      </w:tblGrid>
      <w:tr>
        <w:tc>
          <w:tcPr>
            <w:tcW w:w="3827" w:type="dxa"/>
            <w:tcBorders>
              <w:top w:val="nil"/>
              <w:left w:val="nil"/>
              <w:bottom w:val="nil"/>
              <w:right w:val="nil"/>
            </w:tcBorders>
          </w:tcPr>
          <w:p>
            <w:pPr>
              <w:pStyle w:val="zytable"/>
            </w:pPr>
          </w:p>
        </w:tc>
        <w:tc>
          <w:tcPr>
            <w:tcW w:w="2551" w:type="dxa"/>
            <w:tcBorders>
              <w:top w:val="nil"/>
              <w:left w:val="nil"/>
              <w:bottom w:val="nil"/>
              <w:right w:val="nil"/>
            </w:tcBorders>
          </w:tcPr>
          <w:p>
            <w:pPr>
              <w:pStyle w:val="yTable"/>
              <w:jc w:val="center"/>
            </w:pPr>
            <w:r>
              <w:rPr>
                <w:b/>
              </w:rPr>
              <w:t>Fee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2.</w:t>
            </w:r>
            <w:r>
              <w:rPr>
                <w:sz w:val="18"/>
              </w:rPr>
              <w:tab/>
              <w:t>(a)</w:t>
            </w:r>
            <w:r>
              <w:rPr>
                <w:sz w:val="18"/>
              </w:rPr>
              <w:tab/>
              <w:t>lubricating oil measures, alcoholic liquor measures or beverage measures</w:t>
            </w:r>
          </w:p>
        </w:tc>
        <w:tc>
          <w:tcPr>
            <w:tcW w:w="2551" w:type="dxa"/>
            <w:tcBorders>
              <w:top w:val="single" w:sz="4" w:space="0" w:color="auto"/>
              <w:left w:val="single" w:sz="4" w:space="0" w:color="auto"/>
              <w:bottom w:val="single" w:sz="4" w:space="0" w:color="auto"/>
              <w:right w:val="single" w:sz="4" w:space="0" w:color="auto"/>
            </w:tcBorders>
          </w:tcPr>
          <w:p>
            <w:pPr>
              <w:pStyle w:val="yTable"/>
            </w:pPr>
            <w:r>
              <w:rPr>
                <w:sz w:val="18"/>
              </w:rPr>
              <w:t>$20.00 for each group, or part of a group, of 10 measures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ab/>
              <w:t>(b)</w:t>
            </w:r>
            <w:r>
              <w:rPr>
                <w:sz w:val="18"/>
              </w:rPr>
              <w:tab/>
              <w:t>dispensing measures or graduated measuring cylinders</w:t>
            </w:r>
          </w:p>
        </w:tc>
        <w:tc>
          <w:tcPr>
            <w:tcW w:w="2551" w:type="dxa"/>
            <w:tcBorders>
              <w:top w:val="single" w:sz="4" w:space="0" w:color="auto"/>
              <w:left w:val="single" w:sz="4" w:space="0" w:color="auto"/>
              <w:bottom w:val="single" w:sz="4" w:space="0" w:color="auto"/>
              <w:right w:val="single" w:sz="4" w:space="0" w:color="auto"/>
            </w:tcBorders>
          </w:tcPr>
          <w:p>
            <w:pPr>
              <w:pStyle w:val="yTable"/>
            </w:pPr>
            <w:r>
              <w:rPr>
                <w:sz w:val="18"/>
              </w:rPr>
              <w:t>$20.00 for each group, or part of a group, of 5 measures or cylinders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double" w:sz="4" w:space="0" w:color="auto"/>
              <w:right w:val="single" w:sz="4" w:space="0" w:color="auto"/>
            </w:tcBorders>
          </w:tcPr>
          <w:p>
            <w:pPr>
              <w:pStyle w:val="yTable"/>
              <w:tabs>
                <w:tab w:val="left" w:pos="425"/>
                <w:tab w:val="left" w:pos="992"/>
              </w:tabs>
              <w:ind w:left="992" w:hanging="992"/>
            </w:pPr>
            <w:r>
              <w:rPr>
                <w:sz w:val="18"/>
              </w:rPr>
              <w:tab/>
              <w:t>(c)</w:t>
            </w:r>
            <w:r>
              <w:rPr>
                <w:sz w:val="18"/>
              </w:rPr>
              <w:tab/>
              <w:t>each measure of capacity not specified in paragraph (a) or (b)</w:t>
            </w:r>
          </w:p>
        </w:tc>
        <w:tc>
          <w:tcPr>
            <w:tcW w:w="2551" w:type="dxa"/>
            <w:tcBorders>
              <w:top w:val="single" w:sz="4" w:space="0" w:color="auto"/>
              <w:left w:val="single" w:sz="4" w:space="0" w:color="auto"/>
              <w:bottom w:val="double" w:sz="4" w:space="0" w:color="auto"/>
              <w:right w:val="single" w:sz="4" w:space="0" w:color="auto"/>
            </w:tcBorders>
          </w:tcPr>
          <w:p>
            <w:pPr>
              <w:pStyle w:val="yTable"/>
            </w:pPr>
            <w:r>
              <w:rPr>
                <w:sz w:val="18"/>
              </w:rPr>
              <w:t>Based on time taken at $40.50 per half hour or part thereof</w:t>
            </w:r>
          </w:p>
        </w:tc>
      </w:tr>
    </w:tbl>
    <w:p>
      <w:pPr>
        <w:pStyle w:val="yMiscellaneousHeading"/>
        <w:rPr>
          <w:b/>
          <w:bCs/>
          <w:snapToGrid w:val="0"/>
        </w:rPr>
      </w:pPr>
      <w:r>
        <w:rPr>
          <w:b/>
          <w:bCs/>
          <w:snapToGrid w:val="0"/>
        </w:rPr>
        <w:t>Measures of Length or Extension</w:t>
      </w:r>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3827"/>
        <w:gridCol w:w="2551"/>
      </w:tblGrid>
      <w:tr>
        <w:tc>
          <w:tcPr>
            <w:tcW w:w="3827" w:type="dxa"/>
            <w:tcBorders>
              <w:top w:val="nil"/>
              <w:left w:val="nil"/>
              <w:bottom w:val="nil"/>
              <w:right w:val="nil"/>
            </w:tcBorders>
          </w:tcPr>
          <w:p>
            <w:pPr>
              <w:pStyle w:val="yTable"/>
              <w:rPr>
                <w:sz w:val="18"/>
              </w:rPr>
            </w:pPr>
          </w:p>
        </w:tc>
        <w:tc>
          <w:tcPr>
            <w:tcW w:w="2551" w:type="dxa"/>
            <w:tcBorders>
              <w:top w:val="nil"/>
              <w:left w:val="nil"/>
              <w:bottom w:val="nil"/>
              <w:right w:val="nil"/>
            </w:tcBorders>
          </w:tcPr>
          <w:p>
            <w:pPr>
              <w:pStyle w:val="yTable"/>
              <w:spacing w:before="0"/>
              <w:jc w:val="center"/>
              <w:rPr>
                <w:b/>
              </w:rPr>
            </w:pPr>
            <w:r>
              <w:rPr>
                <w:b/>
              </w:rPr>
              <w:t>Fee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rPr>
                <w:sz w:val="18"/>
              </w:rPr>
            </w:pPr>
            <w:r>
              <w:rPr>
                <w:sz w:val="18"/>
              </w:rPr>
              <w:t>3.</w:t>
            </w:r>
            <w:r>
              <w:rPr>
                <w:sz w:val="18"/>
              </w:rPr>
              <w:tab/>
              <w:t>(a)</w:t>
            </w:r>
            <w:r>
              <w:rPr>
                <w:sz w:val="18"/>
              </w:rPr>
              <w:tab/>
              <w:t>on initial verification of measures, each not exceeding 1 m</w:t>
            </w:r>
          </w:p>
        </w:tc>
        <w:tc>
          <w:tcPr>
            <w:tcW w:w="2551" w:type="dxa"/>
            <w:tcBorders>
              <w:top w:val="single" w:sz="4" w:space="0" w:color="auto"/>
              <w:left w:val="single" w:sz="4" w:space="0" w:color="auto"/>
              <w:bottom w:val="single" w:sz="4" w:space="0" w:color="auto"/>
              <w:right w:val="single" w:sz="4" w:space="0" w:color="auto"/>
            </w:tcBorders>
          </w:tcPr>
          <w:p>
            <w:pPr>
              <w:pStyle w:val="yTable"/>
            </w:pPr>
            <w:r>
              <w:rPr>
                <w:sz w:val="18"/>
              </w:rPr>
              <w:t>$20.00 for each group, or part of a group, of 5 measures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rPr>
                <w:sz w:val="18"/>
              </w:rPr>
            </w:pPr>
            <w:r>
              <w:rPr>
                <w:sz w:val="18"/>
              </w:rPr>
              <w:tab/>
              <w:t>(b)</w:t>
            </w:r>
            <w:r>
              <w:rPr>
                <w:sz w:val="18"/>
              </w:rPr>
              <w:tab/>
              <w:t>each measure over 1 m but not exceeding 20 m</w:t>
            </w:r>
          </w:p>
        </w:tc>
        <w:tc>
          <w:tcPr>
            <w:tcW w:w="2551" w:type="dxa"/>
            <w:tcBorders>
              <w:top w:val="single" w:sz="4" w:space="0" w:color="auto"/>
              <w:left w:val="single" w:sz="4" w:space="0" w:color="auto"/>
              <w:bottom w:val="single" w:sz="4" w:space="0" w:color="auto"/>
              <w:right w:val="single" w:sz="4" w:space="0" w:color="auto"/>
            </w:tcBorders>
          </w:tcPr>
          <w:p>
            <w:pPr>
              <w:pStyle w:val="yTable"/>
            </w:pPr>
            <w:r>
              <w:rPr>
                <w:sz w:val="18"/>
              </w:rPr>
              <w:br/>
              <w:t>$20.00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rPr>
                <w:sz w:val="18"/>
              </w:rPr>
            </w:pPr>
            <w:r>
              <w:rPr>
                <w:sz w:val="18"/>
              </w:rPr>
              <w:tab/>
              <w:t>(c)</w:t>
            </w:r>
            <w:r>
              <w:rPr>
                <w:sz w:val="18"/>
              </w:rPr>
              <w:tab/>
              <w:t>each measure over 20 m</w:t>
            </w:r>
          </w:p>
        </w:tc>
        <w:tc>
          <w:tcPr>
            <w:tcW w:w="2551" w:type="dxa"/>
            <w:tcBorders>
              <w:top w:val="single" w:sz="4" w:space="0" w:color="auto"/>
              <w:left w:val="single" w:sz="4" w:space="0" w:color="auto"/>
              <w:bottom w:val="single" w:sz="4" w:space="0" w:color="auto"/>
              <w:right w:val="single" w:sz="4" w:space="0" w:color="auto"/>
            </w:tcBorders>
          </w:tcPr>
          <w:p>
            <w:pPr>
              <w:pStyle w:val="yTable"/>
            </w:pPr>
            <w:r>
              <w:rPr>
                <w:sz w:val="18"/>
              </w:rPr>
              <w:t>Based on time taken at $40.50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double" w:sz="4" w:space="0" w:color="auto"/>
              <w:right w:val="single" w:sz="4" w:space="0" w:color="auto"/>
            </w:tcBorders>
          </w:tcPr>
          <w:p>
            <w:pPr>
              <w:pStyle w:val="yTable"/>
              <w:tabs>
                <w:tab w:val="left" w:pos="425"/>
                <w:tab w:val="left" w:pos="992"/>
              </w:tabs>
              <w:ind w:left="992" w:hanging="992"/>
              <w:rPr>
                <w:sz w:val="18"/>
              </w:rPr>
            </w:pPr>
            <w:r>
              <w:rPr>
                <w:sz w:val="18"/>
              </w:rPr>
              <w:tab/>
              <w:t>(d)</w:t>
            </w:r>
            <w:r>
              <w:rPr>
                <w:sz w:val="18"/>
              </w:rPr>
              <w:tab/>
              <w:t>each additional set of graduations on the same measure</w:t>
            </w:r>
          </w:p>
        </w:tc>
        <w:tc>
          <w:tcPr>
            <w:tcW w:w="2551" w:type="dxa"/>
            <w:tcBorders>
              <w:top w:val="single" w:sz="4" w:space="0" w:color="auto"/>
              <w:left w:val="single" w:sz="4" w:space="0" w:color="auto"/>
              <w:bottom w:val="double" w:sz="4" w:space="0" w:color="auto"/>
              <w:right w:val="single" w:sz="4" w:space="0" w:color="auto"/>
            </w:tcBorders>
          </w:tcPr>
          <w:p>
            <w:pPr>
              <w:pStyle w:val="yTable"/>
            </w:pPr>
            <w:r>
              <w:rPr>
                <w:sz w:val="18"/>
              </w:rPr>
              <w:t>Rate set out in paragraph (a), (b) or (c) as applicable</w:t>
            </w:r>
          </w:p>
        </w:tc>
      </w:tr>
    </w:tbl>
    <w:p>
      <w:pPr>
        <w:pStyle w:val="yMiscellaneousHeading"/>
        <w:rPr>
          <w:b/>
          <w:bCs/>
          <w:snapToGrid w:val="0"/>
        </w:rPr>
      </w:pPr>
      <w:r>
        <w:rPr>
          <w:b/>
          <w:bCs/>
          <w:snapToGrid w:val="0"/>
        </w:rPr>
        <w:t>Weighing Instruments</w:t>
      </w:r>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3827"/>
        <w:gridCol w:w="2551"/>
      </w:tblGrid>
      <w:tr>
        <w:trPr>
          <w:cantSplit/>
          <w:tblHeader/>
        </w:trPr>
        <w:tc>
          <w:tcPr>
            <w:tcW w:w="3827" w:type="dxa"/>
            <w:tcBorders>
              <w:top w:val="nil"/>
              <w:left w:val="nil"/>
              <w:bottom w:val="nil"/>
              <w:right w:val="nil"/>
            </w:tcBorders>
          </w:tcPr>
          <w:p>
            <w:pPr>
              <w:pStyle w:val="yTable"/>
              <w:keepNext/>
              <w:rPr>
                <w:sz w:val="18"/>
              </w:rPr>
            </w:pPr>
          </w:p>
        </w:tc>
        <w:tc>
          <w:tcPr>
            <w:tcW w:w="2551" w:type="dxa"/>
            <w:tcBorders>
              <w:top w:val="nil"/>
              <w:left w:val="nil"/>
              <w:bottom w:val="nil"/>
              <w:right w:val="nil"/>
            </w:tcBorders>
          </w:tcPr>
          <w:p>
            <w:pPr>
              <w:pStyle w:val="yTable"/>
              <w:spacing w:before="0"/>
              <w:jc w:val="center"/>
              <w:rPr>
                <w:b/>
              </w:rPr>
            </w:pPr>
            <w:r>
              <w:rPr>
                <w:b/>
              </w:rPr>
              <w:t>Fee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4.</w:t>
            </w:r>
            <w:r>
              <w:rPr>
                <w:sz w:val="18"/>
              </w:rPr>
              <w:tab/>
              <w:t xml:space="preserve">Weighbridges — </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ab/>
              <w:t>(a)</w:t>
            </w:r>
            <w:r>
              <w:rPr>
                <w:sz w:val="18"/>
              </w:rPr>
              <w:tab/>
              <w:t>each instrument with weighing capacity not exceeding 10 t</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$81.00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ab/>
              <w:t>(b)</w:t>
            </w:r>
            <w:r>
              <w:rPr>
                <w:sz w:val="18"/>
              </w:rPr>
              <w:tab/>
              <w:t xml:space="preserve">each instrument with weighing capacity over 10 t </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$81.00</w:t>
            </w:r>
            <w:r>
              <w:rPr>
                <w:sz w:val="18"/>
              </w:rPr>
              <w:br/>
              <w:t>(plus $40.50 for every 10 t or part thereof in excess of 10 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425" w:hanging="425"/>
            </w:pPr>
            <w:r>
              <w:rPr>
                <w:sz w:val="18"/>
              </w:rPr>
              <w:t>5.</w:t>
            </w:r>
            <w:r>
              <w:rPr>
                <w:sz w:val="18"/>
              </w:rPr>
              <w:tab/>
              <w:t>Automatic Weighers, Belt Conveyer Weighers and Totalisers</w:t>
            </w:r>
          </w:p>
        </w:tc>
        <w:tc>
          <w:tcPr>
            <w:tcW w:w="2551" w:type="dxa"/>
            <w:tcBorders>
              <w:top w:val="single" w:sz="4" w:space="0" w:color="auto"/>
              <w:left w:val="single" w:sz="4" w:space="0" w:color="auto"/>
              <w:bottom w:val="single" w:sz="4" w:space="0" w:color="auto"/>
              <w:right w:val="single" w:sz="4" w:space="0" w:color="auto"/>
            </w:tcBorders>
          </w:tcPr>
          <w:p>
            <w:pPr>
              <w:pStyle w:val="yTable"/>
              <w:ind w:right="-142"/>
              <w:rPr>
                <w:sz w:val="18"/>
              </w:rPr>
            </w:pPr>
            <w:r>
              <w:rPr>
                <w:sz w:val="18"/>
              </w:rPr>
              <w:t>Fee based on time taken at $40.50 per half hour or part thereof for each officer</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425" w:hanging="425"/>
            </w:pPr>
            <w:r>
              <w:rPr>
                <w:sz w:val="18"/>
              </w:rPr>
              <w:t>6.</w:t>
            </w:r>
            <w:r>
              <w:rPr>
                <w:sz w:val="18"/>
              </w:rPr>
              <w:tab/>
              <w:t>Electronic price computing digital indicating scales with weighing capacity not exceeding 75 kg (including instruments connected to price computing or ticket printing devices)</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r>
            <w:r>
              <w:rPr>
                <w:sz w:val="18"/>
              </w:rPr>
              <w:br/>
            </w:r>
            <w:r>
              <w:rPr>
                <w:sz w:val="18"/>
              </w:rPr>
              <w:br/>
            </w:r>
            <w:r>
              <w:rPr>
                <w:sz w:val="18"/>
              </w:rPr>
              <w:br/>
              <w:t>$30.50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7.</w:t>
            </w:r>
            <w:r>
              <w:rPr>
                <w:sz w:val="18"/>
              </w:rPr>
              <w:tab/>
              <w:t>Weighing instruments not otherwise designated —</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ab/>
              <w:t>(a)</w:t>
            </w:r>
            <w:r>
              <w:rPr>
                <w:sz w:val="18"/>
              </w:rPr>
              <w:tab/>
              <w:t>each instrument with weighing capacity not exceeding 200 kg</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$20.00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ab/>
              <w:t>(b)</w:t>
            </w:r>
            <w:r>
              <w:rPr>
                <w:sz w:val="18"/>
              </w:rPr>
              <w:tab/>
              <w:t xml:space="preserve">each instrument with weighing capacity over 200 kg but not exceeding 1 000 kg </w:t>
            </w:r>
          </w:p>
        </w:tc>
        <w:tc>
          <w:tcPr>
            <w:tcW w:w="2551" w:type="dxa"/>
            <w:tcBorders>
              <w:top w:val="single" w:sz="4" w:space="0" w:color="auto"/>
              <w:left w:val="single" w:sz="4" w:space="0" w:color="auto"/>
              <w:bottom w:val="single" w:sz="4" w:space="0" w:color="auto"/>
              <w:right w:val="single" w:sz="4" w:space="0" w:color="auto"/>
            </w:tcBorders>
          </w:tcPr>
          <w:p>
            <w:pPr>
              <w:pStyle w:val="yTable"/>
              <w:keepNext/>
              <w:keepLines/>
              <w:rPr>
                <w:sz w:val="18"/>
              </w:rPr>
            </w:pPr>
            <w:r>
              <w:rPr>
                <w:sz w:val="18"/>
              </w:rPr>
              <w:br/>
            </w:r>
            <w:r>
              <w:rPr>
                <w:sz w:val="18"/>
              </w:rPr>
              <w:br/>
              <w:t>$40.50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double" w:sz="4" w:space="0" w:color="auto"/>
              <w:right w:val="single" w:sz="4" w:space="0" w:color="auto"/>
            </w:tcBorders>
          </w:tcPr>
          <w:p>
            <w:pPr>
              <w:pStyle w:val="yTable"/>
              <w:tabs>
                <w:tab w:val="left" w:pos="425"/>
                <w:tab w:val="left" w:pos="992"/>
              </w:tabs>
              <w:ind w:left="992" w:hanging="992"/>
            </w:pPr>
            <w:r>
              <w:rPr>
                <w:sz w:val="18"/>
              </w:rPr>
              <w:tab/>
              <w:t>(c)</w:t>
            </w:r>
            <w:r>
              <w:rPr>
                <w:sz w:val="18"/>
              </w:rPr>
              <w:tab/>
              <w:t>each instrument with weighing capacity over 1 000 kg</w:t>
            </w:r>
          </w:p>
        </w:tc>
        <w:tc>
          <w:tcPr>
            <w:tcW w:w="2551" w:type="dxa"/>
            <w:tcBorders>
              <w:top w:val="single" w:sz="4" w:space="0" w:color="auto"/>
              <w:left w:val="single" w:sz="4" w:space="0" w:color="auto"/>
              <w:bottom w:val="double" w:sz="4" w:space="0" w:color="auto"/>
              <w:right w:val="single" w:sz="4" w:space="0" w:color="auto"/>
            </w:tcBorders>
          </w:tcPr>
          <w:p>
            <w:pPr>
              <w:pStyle w:val="yTable"/>
              <w:rPr>
                <w:sz w:val="18"/>
              </w:rPr>
            </w:pPr>
            <w:r>
              <w:rPr>
                <w:sz w:val="18"/>
              </w:rPr>
              <w:br/>
              <w:t>$81.00</w:t>
            </w:r>
          </w:p>
        </w:tc>
      </w:tr>
    </w:tbl>
    <w:p>
      <w:pPr>
        <w:pStyle w:val="yMiscellaneousHeading"/>
        <w:rPr>
          <w:b/>
          <w:bCs/>
          <w:snapToGrid w:val="0"/>
        </w:rPr>
      </w:pPr>
      <w:r>
        <w:rPr>
          <w:b/>
          <w:bCs/>
          <w:snapToGrid w:val="0"/>
        </w:rPr>
        <w:t>Measuring Instruments</w:t>
      </w:r>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3827"/>
        <w:gridCol w:w="2551"/>
      </w:tblGrid>
      <w:tr>
        <w:trPr>
          <w:tblHeader/>
        </w:trPr>
        <w:tc>
          <w:tcPr>
            <w:tcW w:w="3827" w:type="dxa"/>
            <w:tcBorders>
              <w:top w:val="nil"/>
              <w:left w:val="nil"/>
              <w:bottom w:val="nil"/>
              <w:right w:val="nil"/>
            </w:tcBorders>
          </w:tcPr>
          <w:p>
            <w:pPr>
              <w:pStyle w:val="yTable"/>
              <w:keepNext/>
              <w:rPr>
                <w:sz w:val="18"/>
              </w:rPr>
            </w:pPr>
          </w:p>
        </w:tc>
        <w:tc>
          <w:tcPr>
            <w:tcW w:w="2551" w:type="dxa"/>
            <w:tcBorders>
              <w:top w:val="nil"/>
              <w:left w:val="nil"/>
              <w:bottom w:val="nil"/>
              <w:right w:val="nil"/>
            </w:tcBorders>
          </w:tcPr>
          <w:p>
            <w:pPr>
              <w:pStyle w:val="yTable"/>
              <w:spacing w:before="0"/>
              <w:jc w:val="center"/>
              <w:rPr>
                <w:b/>
              </w:rPr>
            </w:pPr>
            <w:r>
              <w:rPr>
                <w:b/>
              </w:rPr>
              <w:t>Fee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keepNext/>
              <w:tabs>
                <w:tab w:val="left" w:pos="425"/>
              </w:tabs>
              <w:ind w:left="425" w:hanging="425"/>
              <w:rPr>
                <w:sz w:val="18"/>
              </w:rPr>
            </w:pPr>
            <w:r>
              <w:rPr>
                <w:sz w:val="18"/>
              </w:rPr>
              <w:t>8.</w:t>
            </w:r>
            <w:r>
              <w:rPr>
                <w:sz w:val="18"/>
              </w:rPr>
              <w:tab/>
              <w:t>Fixed measuring instruments (capacity) petroleum systems — </w:t>
            </w:r>
          </w:p>
        </w:tc>
        <w:tc>
          <w:tcPr>
            <w:tcW w:w="2551" w:type="dxa"/>
            <w:tcBorders>
              <w:top w:val="single" w:sz="4" w:space="0" w:color="auto"/>
              <w:left w:val="single" w:sz="4" w:space="0" w:color="auto"/>
              <w:bottom w:val="single" w:sz="4" w:space="0" w:color="auto"/>
              <w:right w:val="single" w:sz="4" w:space="0" w:color="auto"/>
            </w:tcBorders>
          </w:tcPr>
          <w:p>
            <w:pPr>
              <w:pStyle w:val="yTable"/>
              <w:keepNext/>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(a)</w:t>
            </w:r>
            <w:r>
              <w:rPr>
                <w:sz w:val="18"/>
              </w:rPr>
              <w:tab/>
              <w:t xml:space="preserve">each retail flow meter </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r>
              <w:rPr>
                <w:sz w:val="18"/>
              </w:rPr>
              <w:t>$61.00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(b)</w:t>
            </w:r>
            <w:r>
              <w:rPr>
                <w:sz w:val="18"/>
              </w:rPr>
              <w:tab/>
              <w:t xml:space="preserve">each wholesale flow meter of rate not in excess of 1 000 L per minute  </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r>
              <w:rPr>
                <w:sz w:val="18"/>
              </w:rPr>
              <w:br/>
              <w:t>$81.00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(c)</w:t>
            </w:r>
            <w:r>
              <w:rPr>
                <w:sz w:val="18"/>
              </w:rPr>
              <w:tab/>
              <w:t xml:space="preserve">each wholesale flow meter of rate in excess of 1 000 L per minute </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r>
              <w:rPr>
                <w:sz w:val="18"/>
              </w:rPr>
              <w:br/>
              <w:t>$162.00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425" w:hanging="425"/>
              <w:rPr>
                <w:sz w:val="18"/>
              </w:rPr>
            </w:pPr>
            <w:r>
              <w:rPr>
                <w:sz w:val="18"/>
              </w:rPr>
              <w:t>9.</w:t>
            </w:r>
            <w:r>
              <w:rPr>
                <w:sz w:val="18"/>
              </w:rPr>
              <w:tab/>
              <w:t>Calibrated tanks other than farm milk tanks — </w:t>
            </w:r>
          </w:p>
        </w:tc>
        <w:tc>
          <w:tcPr>
            <w:tcW w:w="2551" w:type="dxa"/>
            <w:tcBorders>
              <w:top w:val="single" w:sz="4" w:space="0" w:color="auto"/>
              <w:left w:val="single" w:sz="4" w:space="0" w:color="auto"/>
              <w:bottom w:val="single" w:sz="4" w:space="0" w:color="auto"/>
              <w:right w:val="single" w:sz="4" w:space="0" w:color="auto"/>
            </w:tcBorders>
          </w:tcPr>
          <w:p>
            <w:pPr>
              <w:pStyle w:val="yTable"/>
              <w:keepNext/>
              <w:ind w:right="567"/>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r>
            <w:r>
              <w:rPr>
                <w:sz w:val="18"/>
              </w:rPr>
              <w:tab/>
              <w:t>For each 5 000 L or part thereof contained in an individual compartment of each calibrated tank</w:t>
            </w:r>
          </w:p>
        </w:tc>
        <w:tc>
          <w:tcPr>
            <w:tcW w:w="2551" w:type="dxa"/>
            <w:tcBorders>
              <w:top w:val="single" w:sz="4" w:space="0" w:color="auto"/>
              <w:left w:val="single" w:sz="4" w:space="0" w:color="auto"/>
              <w:bottom w:val="single" w:sz="4" w:space="0" w:color="auto"/>
              <w:right w:val="single" w:sz="4" w:space="0" w:color="auto"/>
            </w:tcBorders>
          </w:tcPr>
          <w:p>
            <w:pPr>
              <w:pStyle w:val="yTable"/>
              <w:keepNext/>
              <w:ind w:right="567"/>
              <w:rPr>
                <w:sz w:val="18"/>
              </w:rPr>
            </w:pPr>
            <w:r>
              <w:rPr>
                <w:sz w:val="18"/>
              </w:rPr>
              <w:br/>
            </w:r>
            <w:r>
              <w:rPr>
                <w:sz w:val="18"/>
              </w:rPr>
              <w:br/>
              <w:t>$81.00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keepNext/>
              <w:tabs>
                <w:tab w:val="left" w:pos="425"/>
              </w:tabs>
              <w:ind w:left="425" w:hanging="425"/>
              <w:rPr>
                <w:sz w:val="18"/>
              </w:rPr>
            </w:pPr>
            <w:r>
              <w:rPr>
                <w:sz w:val="18"/>
              </w:rPr>
              <w:t>10.</w:t>
            </w:r>
            <w:r>
              <w:rPr>
                <w:sz w:val="18"/>
              </w:rPr>
              <w:tab/>
              <w:t>Calibrating measures and measuring instruments — </w:t>
            </w:r>
          </w:p>
        </w:tc>
        <w:tc>
          <w:tcPr>
            <w:tcW w:w="2551" w:type="dxa"/>
            <w:tcBorders>
              <w:top w:val="single" w:sz="4" w:space="0" w:color="auto"/>
              <w:left w:val="single" w:sz="4" w:space="0" w:color="auto"/>
              <w:bottom w:val="single" w:sz="4" w:space="0" w:color="auto"/>
              <w:right w:val="single" w:sz="4" w:space="0" w:color="auto"/>
            </w:tcBorders>
          </w:tcPr>
          <w:p>
            <w:pPr>
              <w:pStyle w:val="yTable"/>
              <w:keepNext/>
              <w:ind w:right="567"/>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(a)</w:t>
            </w:r>
            <w:r>
              <w:rPr>
                <w:sz w:val="18"/>
              </w:rPr>
              <w:tab/>
              <w:t>for each measure or measuring instrument up to and including 50 L</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r>
              <w:rPr>
                <w:sz w:val="18"/>
              </w:rPr>
              <w:br/>
              <w:t>$40.50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(b)</w:t>
            </w:r>
            <w:r>
              <w:rPr>
                <w:sz w:val="18"/>
              </w:rPr>
              <w:tab/>
              <w:t>for each measure or measuring instrument over 50 L </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Based on time taken at $40.50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1134"/>
              </w:tabs>
              <w:ind w:left="1134" w:hanging="1134"/>
              <w:rPr>
                <w:sz w:val="18"/>
              </w:rPr>
            </w:pPr>
            <w:r>
              <w:rPr>
                <w:sz w:val="18"/>
              </w:rPr>
              <w:t>11.</w:t>
            </w:r>
            <w:r>
              <w:rPr>
                <w:sz w:val="18"/>
              </w:rPr>
              <w:tab/>
              <w:t>Calibrated farm milk tanks — </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r>
            <w:r>
              <w:rPr>
                <w:sz w:val="18"/>
              </w:rPr>
              <w:tab/>
              <w:t>For each 250 L of capacity or part thereof each calibrated tank</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r>
              <w:rPr>
                <w:sz w:val="18"/>
              </w:rPr>
              <w:br/>
              <w:t>$20.00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right w:val="single" w:sz="4" w:space="0" w:color="auto"/>
            </w:tcBorders>
          </w:tcPr>
          <w:p>
            <w:pPr>
              <w:pStyle w:val="yTable"/>
              <w:tabs>
                <w:tab w:val="left" w:pos="425"/>
              </w:tabs>
              <w:ind w:left="425" w:hanging="425"/>
              <w:rPr>
                <w:sz w:val="18"/>
              </w:rPr>
            </w:pPr>
            <w:r>
              <w:rPr>
                <w:sz w:val="18"/>
              </w:rPr>
              <w:t>12.</w:t>
            </w:r>
            <w:r>
              <w:rPr>
                <w:sz w:val="18"/>
              </w:rPr>
              <w:tab/>
              <w:t xml:space="preserve">Each LPG retail flow meter </w:t>
            </w:r>
          </w:p>
        </w:tc>
        <w:tc>
          <w:tcPr>
            <w:tcW w:w="2551" w:type="dxa"/>
            <w:tcBorders>
              <w:top w:val="single" w:sz="4" w:space="0" w:color="auto"/>
              <w:left w:val="single" w:sz="4" w:space="0" w:color="auto"/>
              <w:right w:val="single" w:sz="4" w:space="0" w:color="auto"/>
            </w:tcBorders>
          </w:tcPr>
          <w:p>
            <w:pPr>
              <w:pStyle w:val="yTable"/>
              <w:ind w:right="567"/>
              <w:rPr>
                <w:sz w:val="18"/>
              </w:rPr>
            </w:pPr>
            <w:r>
              <w:rPr>
                <w:sz w:val="18"/>
              </w:rPr>
              <w:t>$61.00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double" w:sz="4" w:space="0" w:color="auto"/>
              <w:right w:val="single" w:sz="4" w:space="0" w:color="auto"/>
            </w:tcBorders>
          </w:tcPr>
          <w:p>
            <w:pPr>
              <w:pStyle w:val="yTable"/>
              <w:tabs>
                <w:tab w:val="left" w:pos="425"/>
              </w:tabs>
              <w:ind w:left="425" w:hanging="425"/>
              <w:rPr>
                <w:sz w:val="18"/>
              </w:rPr>
            </w:pPr>
            <w:r>
              <w:rPr>
                <w:sz w:val="18"/>
              </w:rPr>
              <w:t>13.</w:t>
            </w:r>
            <w:r>
              <w:rPr>
                <w:sz w:val="18"/>
              </w:rPr>
              <w:tab/>
              <w:t>Measuring instruments not otherwise designated</w:t>
            </w:r>
          </w:p>
        </w:tc>
        <w:tc>
          <w:tcPr>
            <w:tcW w:w="2551" w:type="dxa"/>
            <w:tcBorders>
              <w:top w:val="single" w:sz="4" w:space="0" w:color="auto"/>
              <w:left w:val="single" w:sz="4" w:space="0" w:color="auto"/>
              <w:bottom w:val="double" w:sz="4" w:space="0" w:color="auto"/>
              <w:right w:val="single" w:sz="4" w:space="0" w:color="auto"/>
            </w:tcBorders>
          </w:tcPr>
          <w:p>
            <w:pPr>
              <w:pStyle w:val="yTable"/>
              <w:rPr>
                <w:sz w:val="18"/>
              </w:rPr>
            </w:pPr>
            <w:r>
              <w:rPr>
                <w:sz w:val="18"/>
              </w:rPr>
              <w:t>Based on time taken at $40.50 per half hour or part thereof</w:t>
            </w:r>
          </w:p>
        </w:tc>
      </w:tr>
    </w:tbl>
    <w:p>
      <w:pPr>
        <w:pStyle w:val="yMiscellaneousHeading"/>
        <w:rPr>
          <w:b/>
          <w:bCs/>
          <w:snapToGrid w:val="0"/>
        </w:rPr>
      </w:pPr>
      <w:r>
        <w:rPr>
          <w:b/>
          <w:bCs/>
          <w:snapToGrid w:val="0"/>
        </w:rPr>
        <w:t>General</w:t>
      </w:r>
    </w:p>
    <w:tbl>
      <w:tblPr>
        <w:tblW w:w="0" w:type="auto"/>
        <w:tblInd w:w="568" w:type="dxa"/>
        <w:tblBorders>
          <w:top w:val="single" w:sz="4" w:space="0" w:color="auto"/>
          <w:left w:val="single" w:sz="4" w:space="0" w:color="auto"/>
          <w:bottom w:val="double" w:sz="4" w:space="0" w:color="auto"/>
          <w:right w:val="single" w:sz="4" w:space="0" w:color="auto"/>
        </w:tblBorders>
        <w:tblLayout w:type="fixed"/>
        <w:tblCellMar>
          <w:left w:w="142" w:type="dxa"/>
          <w:right w:w="142" w:type="dxa"/>
        </w:tblCellMar>
        <w:tblLook w:val="0000" w:firstRow="0" w:lastRow="0" w:firstColumn="0" w:lastColumn="0" w:noHBand="0" w:noVBand="0"/>
      </w:tblPr>
      <w:tblGrid>
        <w:gridCol w:w="6378"/>
      </w:tblGrid>
      <w:tr>
        <w:trPr>
          <w:cantSplit/>
        </w:trPr>
        <w:tc>
          <w:tcPr>
            <w:tcW w:w="6378" w:type="dxa"/>
          </w:tcPr>
          <w:p>
            <w:pPr>
              <w:pStyle w:val="yTable"/>
              <w:ind w:left="425" w:hanging="425"/>
              <w:rPr>
                <w:sz w:val="18"/>
              </w:rPr>
            </w:pPr>
            <w:r>
              <w:rPr>
                <w:sz w:val="18"/>
              </w:rPr>
              <w:t>14.</w:t>
            </w:r>
            <w:r>
              <w:rPr>
                <w:sz w:val="18"/>
              </w:rPr>
              <w:tab/>
              <w:t>Subject to a minimum amount of $20.00 being payable in respect of any matter referred to in this Table, if, after testing, a weight, measure or instrument is rejected as incorrect, unjust, or otherwise unsuitable, one</w:t>
            </w:r>
            <w:r>
              <w:rPr>
                <w:sz w:val="18"/>
              </w:rPr>
              <w:noBreakHyphen/>
              <w:t>half only of the fee so prescribed with respect to that weight, measure or instrument may be charged in lieu of the fee in this Table.</w:t>
            </w:r>
          </w:p>
        </w:tc>
      </w:tr>
    </w:tbl>
    <w:p>
      <w:pPr>
        <w:pStyle w:val="yFootnotesection"/>
        <w:rPr>
          <w:rStyle w:val="CharSchNo"/>
        </w:rPr>
      </w:pPr>
      <w:r>
        <w:rPr>
          <w:rStyle w:val="CharSchNo"/>
        </w:rPr>
        <w:tab/>
        <w:t>[Table XIII inserted in Gazette 27 Jun 2006 p. 2261-3.]</w:t>
      </w:r>
    </w:p>
    <w:p>
      <w:pPr>
        <w:pStyle w:val="yScheduleHeading"/>
        <w:outlineLvl w:val="0"/>
      </w:pPr>
      <w:bookmarkStart w:id="248" w:name="_Toc390077273"/>
      <w:r>
        <w:rPr>
          <w:rStyle w:val="CharSchNo"/>
        </w:rPr>
        <w:t>Table XIIIB</w:t>
      </w:r>
      <w:bookmarkEnd w:id="248"/>
    </w:p>
    <w:p>
      <w:pPr>
        <w:pStyle w:val="yHeading2"/>
      </w:pPr>
      <w:bookmarkStart w:id="249" w:name="_Toc390077274"/>
      <w:r>
        <w:t>Miscellaneous Fees</w:t>
      </w:r>
      <w:bookmarkEnd w:id="249"/>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4819"/>
        <w:gridCol w:w="1559"/>
      </w:tblGrid>
      <w:tr>
        <w:trPr>
          <w:tblHeader/>
        </w:trPr>
        <w:tc>
          <w:tcPr>
            <w:tcW w:w="4819" w:type="dxa"/>
            <w:tcBorders>
              <w:top w:val="nil"/>
              <w:left w:val="nil"/>
              <w:bottom w:val="nil"/>
              <w:right w:val="nil"/>
            </w:tcBorders>
          </w:tcPr>
          <w:p>
            <w:pPr>
              <w:pStyle w:val="yTable"/>
              <w:tabs>
                <w:tab w:val="left" w:pos="425"/>
              </w:tabs>
              <w:ind w:left="425" w:right="-142" w:hanging="425"/>
              <w:rPr>
                <w:sz w:val="18"/>
              </w:rPr>
            </w:pPr>
          </w:p>
        </w:tc>
        <w:tc>
          <w:tcPr>
            <w:tcW w:w="1559" w:type="dxa"/>
            <w:tcBorders>
              <w:top w:val="nil"/>
              <w:left w:val="nil"/>
              <w:bottom w:val="nil"/>
              <w:right w:val="nil"/>
            </w:tcBorders>
          </w:tcPr>
          <w:p>
            <w:pPr>
              <w:pStyle w:val="yTable"/>
              <w:spacing w:before="0"/>
              <w:jc w:val="center"/>
              <w:rPr>
                <w:b/>
              </w:rPr>
            </w:pPr>
            <w:r>
              <w:rPr>
                <w:b/>
              </w:rPr>
              <w:t>Fee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s>
              <w:ind w:left="425" w:right="-142" w:hanging="425"/>
              <w:rPr>
                <w:sz w:val="18"/>
              </w:rPr>
            </w:pPr>
            <w:r>
              <w:rPr>
                <w:sz w:val="18"/>
              </w:rPr>
              <w:t>1.</w:t>
            </w:r>
            <w:r>
              <w:rPr>
                <w:sz w:val="18"/>
              </w:rPr>
              <w:tab/>
              <w:t xml:space="preserve">Registration of public weighbridge </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$73.00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2.</w:t>
            </w:r>
            <w:r>
              <w:rPr>
                <w:sz w:val="18"/>
              </w:rPr>
              <w:tab/>
              <w:t>Public weighman’s licence</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$52.00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3.</w:t>
            </w:r>
            <w:r>
              <w:rPr>
                <w:sz w:val="18"/>
              </w:rPr>
              <w:tab/>
              <w:t>Scale adjuster’s licence</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$52.00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4.</w:t>
            </w:r>
            <w:r>
              <w:rPr>
                <w:sz w:val="18"/>
              </w:rPr>
              <w:tab/>
              <w:t>Scale repairer’s licence</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$52.00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 w:val="left" w:pos="1275"/>
              </w:tabs>
              <w:ind w:left="425" w:right="-142" w:hanging="425"/>
              <w:rPr>
                <w:sz w:val="18"/>
              </w:rPr>
            </w:pPr>
            <w:r>
              <w:rPr>
                <w:sz w:val="18"/>
              </w:rPr>
              <w:t>5.</w:t>
            </w:r>
            <w:r>
              <w:rPr>
                <w:sz w:val="18"/>
              </w:rPr>
              <w:tab/>
              <w:t>Petroleum products measuring instrument — </w:t>
            </w:r>
            <w:r>
              <w:rPr>
                <w:sz w:val="18"/>
              </w:rPr>
              <w:tab/>
              <w:t xml:space="preserve">repairer’s registration </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$52.00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 w:val="left" w:pos="1133"/>
              </w:tabs>
              <w:ind w:left="425" w:right="-142" w:hanging="425"/>
              <w:rPr>
                <w:sz w:val="18"/>
              </w:rPr>
            </w:pPr>
            <w:r>
              <w:rPr>
                <w:sz w:val="18"/>
              </w:rPr>
              <w:t>6.</w:t>
            </w:r>
            <w:r>
              <w:rPr>
                <w:sz w:val="18"/>
              </w:rPr>
              <w:tab/>
              <w:t>Charge for examination of applicant for weighman’s licence or scale repairer’s licence</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$73.00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7.</w:t>
            </w:r>
            <w:r>
              <w:rPr>
                <w:sz w:val="18"/>
              </w:rPr>
              <w:tab/>
              <w:t>Fees chargeable for — </w:t>
            </w:r>
          </w:p>
        </w:tc>
        <w:tc>
          <w:tcPr>
            <w:tcW w:w="1559" w:type="dxa"/>
            <w:tcBorders>
              <w:top w:val="single" w:sz="4" w:space="0" w:color="auto"/>
              <w:left w:val="single" w:sz="4" w:space="0" w:color="auto"/>
              <w:bottom w:val="single" w:sz="4" w:space="0" w:color="auto"/>
              <w:right w:val="single" w:sz="4" w:space="0" w:color="auto"/>
            </w:tcBorders>
          </w:tcPr>
          <w:p>
            <w:pPr>
              <w:pStyle w:val="yTable"/>
              <w:jc w:val="center"/>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(a)</w:t>
            </w:r>
            <w:r>
              <w:rPr>
                <w:sz w:val="18"/>
              </w:rPr>
              <w:tab/>
              <w:t xml:space="preserve">inspector’s time for any service rendered in carrying out repairs or adjustment, etc. to instruments or any waiting time other than time referred to in paragraph (b) </w:t>
            </w:r>
          </w:p>
        </w:tc>
        <w:tc>
          <w:tcPr>
            <w:tcW w:w="1559" w:type="dxa"/>
            <w:tcBorders>
              <w:top w:val="single" w:sz="4" w:space="0" w:color="auto"/>
              <w:left w:val="single" w:sz="4" w:space="0" w:color="auto"/>
              <w:bottom w:val="single" w:sz="4" w:space="0" w:color="auto"/>
              <w:right w:val="single" w:sz="4" w:space="0" w:color="auto"/>
            </w:tcBorders>
          </w:tcPr>
          <w:p>
            <w:pPr>
              <w:pStyle w:val="yTable"/>
              <w:keepLines/>
              <w:rPr>
                <w:sz w:val="18"/>
              </w:rPr>
            </w:pPr>
            <w:r>
              <w:rPr>
                <w:sz w:val="18"/>
              </w:rPr>
              <w:t>$40.50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(b)</w:t>
            </w:r>
            <w:r>
              <w:rPr>
                <w:sz w:val="18"/>
              </w:rPr>
              <w:tab/>
              <w:t>any waiting time allowed by an inspector to permit another person to carry out necessary repairs, etc.</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$40.50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keepNext/>
              <w:tabs>
                <w:tab w:val="left" w:pos="425"/>
                <w:tab w:val="left" w:pos="850"/>
              </w:tabs>
              <w:ind w:left="425" w:right="-142" w:hanging="425"/>
              <w:rPr>
                <w:sz w:val="18"/>
              </w:rPr>
            </w:pPr>
            <w:r>
              <w:rPr>
                <w:sz w:val="18"/>
              </w:rPr>
              <w:tab/>
              <w:t>(c)</w:t>
            </w:r>
            <w:r>
              <w:rPr>
                <w:sz w:val="18"/>
              </w:rPr>
              <w:tab/>
              <w:t>any adjustment to — </w:t>
            </w:r>
          </w:p>
        </w:tc>
        <w:tc>
          <w:tcPr>
            <w:tcW w:w="1559" w:type="dxa"/>
            <w:tcBorders>
              <w:top w:val="single" w:sz="4" w:space="0" w:color="auto"/>
              <w:left w:val="single" w:sz="4" w:space="0" w:color="auto"/>
              <w:bottom w:val="single" w:sz="4" w:space="0" w:color="auto"/>
              <w:right w:val="single" w:sz="4" w:space="0" w:color="auto"/>
            </w:tcBorders>
          </w:tcPr>
          <w:p>
            <w:pPr>
              <w:pStyle w:val="yTable"/>
              <w:keepNext/>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ind w:left="1275" w:right="-142" w:hanging="425"/>
              <w:rPr>
                <w:sz w:val="18"/>
              </w:rPr>
            </w:pPr>
            <w:r>
              <w:rPr>
                <w:sz w:val="18"/>
              </w:rPr>
              <w:t>(i)</w:t>
            </w:r>
            <w:r>
              <w:rPr>
                <w:sz w:val="18"/>
              </w:rPr>
              <w:tab/>
              <w:t>each 20 kg or lesser weight</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$20.00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pageBreakBefore/>
              <w:ind w:left="1276" w:right="-142" w:hanging="425"/>
              <w:rPr>
                <w:sz w:val="18"/>
              </w:rPr>
            </w:pPr>
            <w:r>
              <w:rPr>
                <w:sz w:val="18"/>
              </w:rPr>
              <w:t>(ii)</w:t>
            </w:r>
            <w:r>
              <w:rPr>
                <w:sz w:val="18"/>
              </w:rPr>
              <w:tab/>
              <w:t>weights above 20 kg</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Based on time taken at $40.50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ind w:left="1275" w:right="-142" w:hanging="425"/>
              <w:rPr>
                <w:sz w:val="18"/>
              </w:rPr>
            </w:pPr>
            <w:r>
              <w:rPr>
                <w:sz w:val="18"/>
              </w:rPr>
              <w:t>(iii)</w:t>
            </w:r>
            <w:r>
              <w:rPr>
                <w:sz w:val="18"/>
              </w:rPr>
              <w:tab/>
              <w:t xml:space="preserve">each measure of capacity not exceeding 50 L  </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$20.00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(d)</w:t>
            </w:r>
            <w:r>
              <w:rPr>
                <w:sz w:val="18"/>
              </w:rPr>
              <w:tab/>
              <w:t>any distance necessarily travelled by an inspector —</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ind w:left="1276" w:right="-142" w:hanging="425"/>
              <w:rPr>
                <w:sz w:val="18"/>
              </w:rPr>
            </w:pPr>
            <w:r>
              <w:rPr>
                <w:sz w:val="18"/>
              </w:rPr>
              <w:t>(i)</w:t>
            </w:r>
            <w:r>
              <w:rPr>
                <w:sz w:val="18"/>
              </w:rPr>
              <w:tab/>
              <w:t xml:space="preserve">for each kilometre not exceeding 100 km </w:t>
            </w:r>
          </w:p>
        </w:tc>
        <w:tc>
          <w:tcPr>
            <w:tcW w:w="1559" w:type="dxa"/>
            <w:tcBorders>
              <w:top w:val="single" w:sz="4" w:space="0" w:color="auto"/>
              <w:left w:val="single" w:sz="4" w:space="0" w:color="auto"/>
              <w:bottom w:val="single" w:sz="4" w:space="0" w:color="auto"/>
              <w:right w:val="single" w:sz="4" w:space="0" w:color="auto"/>
            </w:tcBorders>
          </w:tcPr>
          <w:p>
            <w:pPr>
              <w:pStyle w:val="yTable"/>
              <w:keepNext/>
              <w:keepLines/>
              <w:rPr>
                <w:sz w:val="18"/>
              </w:rPr>
            </w:pPr>
            <w:r>
              <w:rPr>
                <w:sz w:val="18"/>
              </w:rPr>
              <w:t>$0.75 (subject to a minimum charge of $10.00)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ind w:left="1275" w:right="-142" w:hanging="425"/>
              <w:rPr>
                <w:sz w:val="18"/>
              </w:rPr>
            </w:pPr>
            <w:r>
              <w:rPr>
                <w:sz w:val="18"/>
              </w:rPr>
              <w:t>(ii)</w:t>
            </w:r>
            <w:r>
              <w:rPr>
                <w:sz w:val="18"/>
              </w:rPr>
              <w:tab/>
              <w:t>for each kilometre over 100 km</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$0.40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(e)</w:t>
            </w:r>
            <w:r>
              <w:rPr>
                <w:sz w:val="18"/>
              </w:rPr>
              <w:tab/>
              <w:t>time involved in the calibration of any instrument to a degree of accuracy greater than the degree of accuracy applied to instruments in use for trade or the calibration and certification of instruments used for purposes other than trade</w:t>
            </w:r>
          </w:p>
        </w:tc>
        <w:tc>
          <w:tcPr>
            <w:tcW w:w="1559" w:type="dxa"/>
            <w:tcBorders>
              <w:top w:val="single" w:sz="4" w:space="0" w:color="auto"/>
              <w:left w:val="single" w:sz="4" w:space="0" w:color="auto"/>
              <w:bottom w:val="single" w:sz="4" w:space="0" w:color="auto"/>
              <w:right w:val="single" w:sz="4" w:space="0" w:color="auto"/>
            </w:tcBorders>
          </w:tcPr>
          <w:p>
            <w:pPr>
              <w:pStyle w:val="yTable"/>
              <w:keepNext/>
              <w:keepLines/>
              <w:rPr>
                <w:sz w:val="18"/>
              </w:rPr>
            </w:pPr>
            <w:r>
              <w:rPr>
                <w:sz w:val="18"/>
              </w:rPr>
              <w:t>$40.50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8.</w:t>
            </w:r>
            <w:r>
              <w:rPr>
                <w:sz w:val="18"/>
              </w:rPr>
              <w:tab/>
              <w:t>Charges for use of masses provided by Department — </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(a)</w:t>
            </w:r>
            <w:r>
              <w:rPr>
                <w:sz w:val="18"/>
              </w:rPr>
              <w:tab/>
              <w:t>booking of masses of 1 t or more</w:t>
            </w:r>
          </w:p>
        </w:tc>
        <w:tc>
          <w:tcPr>
            <w:tcW w:w="1559" w:type="dxa"/>
            <w:tcBorders>
              <w:top w:val="single" w:sz="4" w:space="0" w:color="auto"/>
              <w:left w:val="single" w:sz="4" w:space="0" w:color="auto"/>
              <w:bottom w:val="single" w:sz="4" w:space="0" w:color="auto"/>
              <w:right w:val="single" w:sz="4" w:space="0" w:color="auto"/>
            </w:tcBorders>
          </w:tcPr>
          <w:p>
            <w:pPr>
              <w:pStyle w:val="yTable"/>
              <w:keepNext/>
              <w:rPr>
                <w:sz w:val="18"/>
              </w:rPr>
            </w:pPr>
            <w:r>
              <w:rPr>
                <w:sz w:val="18"/>
              </w:rPr>
              <w:t>$20.00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(b)</w:t>
            </w:r>
            <w:r>
              <w:rPr>
                <w:sz w:val="18"/>
              </w:rPr>
              <w:tab/>
              <w:t>hire of masses for each day or part of a day</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$20.00 per 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(c)</w:t>
            </w:r>
            <w:r>
              <w:rPr>
                <w:sz w:val="18"/>
              </w:rPr>
              <w:tab/>
              <w:t>testing by inspector of equipment where masses are used</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$20.00 per 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double" w:sz="4" w:space="0" w:color="auto"/>
              <w:right w:val="single" w:sz="4" w:space="0" w:color="auto"/>
            </w:tcBorders>
          </w:tcPr>
          <w:p>
            <w:pPr>
              <w:pStyle w:val="yTable"/>
              <w:tabs>
                <w:tab w:val="left" w:pos="425"/>
              </w:tabs>
              <w:ind w:left="425" w:right="-142" w:hanging="425"/>
              <w:rPr>
                <w:sz w:val="18"/>
              </w:rPr>
            </w:pPr>
            <w:r>
              <w:rPr>
                <w:sz w:val="18"/>
              </w:rPr>
              <w:t>9.</w:t>
            </w:r>
            <w:r>
              <w:rPr>
                <w:sz w:val="18"/>
              </w:rPr>
              <w:tab/>
              <w:t>Charge for response to request to provide report, documentation or any other information which is additional to verification, reverification and testing services</w:t>
            </w:r>
          </w:p>
        </w:tc>
        <w:tc>
          <w:tcPr>
            <w:tcW w:w="1559" w:type="dxa"/>
            <w:tcBorders>
              <w:top w:val="single" w:sz="4" w:space="0" w:color="auto"/>
              <w:left w:val="single" w:sz="4" w:space="0" w:color="auto"/>
              <w:bottom w:val="double" w:sz="4" w:space="0" w:color="auto"/>
              <w:right w:val="single" w:sz="4" w:space="0" w:color="auto"/>
            </w:tcBorders>
          </w:tcPr>
          <w:p>
            <w:pPr>
              <w:pStyle w:val="yTable"/>
              <w:rPr>
                <w:sz w:val="18"/>
              </w:rPr>
            </w:pPr>
            <w:r>
              <w:rPr>
                <w:sz w:val="18"/>
              </w:rPr>
              <w:t>Based on time taken at $20.00 per 15 minutes or part thereof</w:t>
            </w:r>
          </w:p>
        </w:tc>
      </w:tr>
    </w:tbl>
    <w:p>
      <w:pPr>
        <w:pStyle w:val="yFootnotesection"/>
        <w:rPr>
          <w:rStyle w:val="CharSchNo"/>
        </w:rPr>
      </w:pPr>
      <w:r>
        <w:rPr>
          <w:rStyle w:val="CharSchNo"/>
        </w:rPr>
        <w:tab/>
        <w:t>[Table XIIIB inserted in Gazette 27 Jun 2006 p. 2263-4.]</w:t>
      </w:r>
    </w:p>
    <w:p>
      <w:pPr>
        <w:pStyle w:val="yScheduleHeading"/>
        <w:outlineLvl w:val="0"/>
      </w:pPr>
      <w:bookmarkStart w:id="250" w:name="_Toc390077275"/>
      <w:r>
        <w:rPr>
          <w:rStyle w:val="CharSchNo"/>
        </w:rPr>
        <w:t>Table XIV</w:t>
      </w:r>
      <w:bookmarkEnd w:id="250"/>
    </w:p>
    <w:p>
      <w:pPr>
        <w:pStyle w:val="yMiscellaneousBody"/>
        <w:tabs>
          <w:tab w:val="left" w:pos="284"/>
        </w:tabs>
        <w:rPr>
          <w:snapToGrid w:val="0"/>
        </w:rPr>
      </w:pPr>
      <w:r>
        <w:rPr>
          <w:snapToGrid w:val="0"/>
        </w:rPr>
        <w:tab/>
        <w:t>Denominations of measures other than those provided in the Act, Schedule A, which may be admitted to verification.</w:t>
      </w:r>
    </w:p>
    <w:p>
      <w:pPr>
        <w:pStyle w:val="yMiscellaneousHeading"/>
        <w:outlineLvl w:val="0"/>
        <w:rPr>
          <w:snapToGrid w:val="0"/>
        </w:rPr>
      </w:pPr>
      <w:r>
        <w:rPr>
          <w:snapToGrid w:val="0"/>
        </w:rPr>
        <w:t>MEASURES OF LENGTH</w:t>
      </w:r>
    </w:p>
    <w:p>
      <w:pPr>
        <w:pStyle w:val="yMiscellaneousBody"/>
        <w:ind w:left="284"/>
        <w:rPr>
          <w:snapToGrid w:val="0"/>
        </w:rPr>
      </w:pPr>
      <w:r>
        <w:rPr>
          <w:snapToGrid w:val="0"/>
        </w:rPr>
        <w:t>4 feet</w:t>
      </w:r>
    </w:p>
    <w:p>
      <w:pPr>
        <w:pStyle w:val="yMiscellaneousBody"/>
        <w:spacing w:before="0"/>
        <w:ind w:left="284"/>
        <w:rPr>
          <w:snapToGrid w:val="0"/>
        </w:rPr>
      </w:pPr>
      <w:r>
        <w:rPr>
          <w:snapToGrid w:val="0"/>
        </w:rPr>
        <w:t>4 feet 6 inches</w:t>
      </w:r>
    </w:p>
    <w:p>
      <w:pPr>
        <w:pStyle w:val="yMiscellaneousBody"/>
        <w:spacing w:before="0"/>
        <w:ind w:left="284"/>
        <w:rPr>
          <w:snapToGrid w:val="0"/>
        </w:rPr>
      </w:pPr>
      <w:r>
        <w:rPr>
          <w:snapToGrid w:val="0"/>
        </w:rPr>
        <w:t>5 feet</w:t>
      </w:r>
    </w:p>
    <w:p>
      <w:pPr>
        <w:pStyle w:val="yMiscellaneousBody"/>
        <w:spacing w:before="0"/>
        <w:ind w:left="284"/>
        <w:rPr>
          <w:snapToGrid w:val="0"/>
        </w:rPr>
      </w:pPr>
      <w:r>
        <w:rPr>
          <w:snapToGrid w:val="0"/>
        </w:rPr>
        <w:t>5 feet 6 inches</w:t>
      </w:r>
    </w:p>
    <w:p>
      <w:pPr>
        <w:pStyle w:val="yMiscellaneousBody"/>
        <w:spacing w:before="0"/>
        <w:ind w:left="284"/>
        <w:rPr>
          <w:snapToGrid w:val="0"/>
        </w:rPr>
      </w:pPr>
      <w:r>
        <w:rPr>
          <w:snapToGrid w:val="0"/>
        </w:rPr>
        <w:t>Any whole number of feet from 6 to 20 (inclusive).</w:t>
      </w:r>
    </w:p>
    <w:p>
      <w:pPr>
        <w:pStyle w:val="yMiscellaneousHeading"/>
        <w:outlineLvl w:val="0"/>
        <w:rPr>
          <w:snapToGrid w:val="0"/>
        </w:rPr>
      </w:pPr>
      <w:r>
        <w:rPr>
          <w:snapToGrid w:val="0"/>
        </w:rPr>
        <w:t>MEASURES OF CAPACITY (PORTABLE)</w:t>
      </w:r>
    </w:p>
    <w:p>
      <w:pPr>
        <w:pStyle w:val="yMiscellaneousBody"/>
        <w:ind w:left="284"/>
        <w:rPr>
          <w:snapToGrid w:val="0"/>
        </w:rPr>
      </w:pPr>
      <w:r>
        <w:rPr>
          <w:snapToGrid w:val="0"/>
        </w:rPr>
        <w:t>6 gallons</w:t>
      </w:r>
    </w:p>
    <w:p>
      <w:pPr>
        <w:pStyle w:val="yMiscellaneousBody"/>
        <w:spacing w:before="0"/>
        <w:ind w:left="284"/>
        <w:rPr>
          <w:snapToGrid w:val="0"/>
        </w:rPr>
      </w:pPr>
      <w:r>
        <w:rPr>
          <w:snapToGrid w:val="0"/>
        </w:rPr>
        <w:t>7 gallons</w:t>
      </w:r>
    </w:p>
    <w:p>
      <w:pPr>
        <w:pStyle w:val="yMiscellaneousBody"/>
        <w:spacing w:before="0"/>
        <w:ind w:left="284"/>
        <w:rPr>
          <w:snapToGrid w:val="0"/>
        </w:rPr>
      </w:pPr>
      <w:r>
        <w:rPr>
          <w:snapToGrid w:val="0"/>
        </w:rPr>
        <w:t>9 gallons</w:t>
      </w:r>
    </w:p>
    <w:p>
      <w:pPr>
        <w:pStyle w:val="yMiscellaneousBody"/>
        <w:spacing w:before="0"/>
        <w:ind w:left="284"/>
        <w:rPr>
          <w:snapToGrid w:val="0"/>
        </w:rPr>
      </w:pPr>
      <w:r>
        <w:rPr>
          <w:snapToGrid w:val="0"/>
        </w:rPr>
        <w:t>11 gallons and any whole number of gallons over 11.</w:t>
      </w:r>
    </w:p>
    <w:p>
      <w:pPr>
        <w:pStyle w:val="yMiscellaneousHeading"/>
        <w:outlineLvl w:val="0"/>
        <w:rPr>
          <w:snapToGrid w:val="0"/>
        </w:rPr>
      </w:pPr>
      <w:r>
        <w:rPr>
          <w:snapToGrid w:val="0"/>
        </w:rPr>
        <w:t>MEASURES OF CAPACITY (FIXED)</w:t>
      </w:r>
    </w:p>
    <w:p>
      <w:pPr>
        <w:pStyle w:val="yMiscellaneousBody"/>
        <w:tabs>
          <w:tab w:val="left" w:pos="284"/>
        </w:tabs>
        <w:rPr>
          <w:snapToGrid w:val="0"/>
        </w:rPr>
      </w:pPr>
      <w:r>
        <w:rPr>
          <w:snapToGrid w:val="0"/>
        </w:rPr>
        <w:tab/>
        <w:t>Any denomination permissible under the Act or regulations, and in addition any whole number of gallons.</w:t>
      </w:r>
    </w:p>
    <w:p>
      <w:pPr>
        <w:pStyle w:val="Footnotesection"/>
      </w:pPr>
      <w:r>
        <w:tab/>
        <w:t xml:space="preserve">[Table XIV amended in Gazette 4 Mar 1949 p. 415.] </w:t>
      </w:r>
    </w:p>
    <w:p>
      <w:pPr>
        <w:pStyle w:val="yScheduleHeading"/>
        <w:outlineLvl w:val="0"/>
      </w:pPr>
      <w:bookmarkStart w:id="251" w:name="_Toc390077276"/>
      <w:r>
        <w:rPr>
          <w:rStyle w:val="CharSchNo"/>
        </w:rPr>
        <w:t>Table XV</w:t>
      </w:r>
      <w:bookmarkEnd w:id="251"/>
    </w:p>
    <w:p>
      <w:pPr>
        <w:pStyle w:val="MiscellaneousHeading"/>
        <w:rPr>
          <w:i/>
          <w:snapToGrid w:val="0"/>
        </w:rPr>
      </w:pPr>
      <w:r>
        <w:rPr>
          <w:i/>
          <w:snapToGrid w:val="0"/>
        </w:rPr>
        <w:t xml:space="preserve">Weights and Measures Act 1915 </w:t>
      </w:r>
    </w:p>
    <w:p>
      <w:pPr>
        <w:pStyle w:val="MiscellaneousHeading"/>
        <w:rPr>
          <w:i/>
          <w:snapToGrid w:val="0"/>
        </w:rPr>
      </w:pPr>
      <w:r>
        <w:rPr>
          <w:i/>
          <w:snapToGrid w:val="0"/>
        </w:rPr>
        <w:t xml:space="preserve">Application for License as a Scale Adjuster </w:t>
      </w:r>
    </w:p>
    <w:p>
      <w:pPr>
        <w:pStyle w:val="yMiscellaneousBody"/>
        <w:rPr>
          <w:snapToGrid w:val="0"/>
        </w:rPr>
      </w:pPr>
      <w:r>
        <w:rPr>
          <w:snapToGrid w:val="0"/>
        </w:rPr>
        <w:t>To the Chief Inspector,</w:t>
      </w:r>
      <w:r>
        <w:rPr>
          <w:snapToGrid w:val="0"/>
        </w:rPr>
        <w:br/>
        <w:t>Perth.</w:t>
      </w:r>
    </w:p>
    <w:p>
      <w:pPr>
        <w:pStyle w:val="yMiscellaneousBody"/>
        <w:tabs>
          <w:tab w:val="left" w:pos="284"/>
        </w:tabs>
        <w:rPr>
          <w:snapToGrid w:val="0"/>
        </w:rPr>
      </w:pPr>
      <w:r>
        <w:rPr>
          <w:snapToGrid w:val="0"/>
        </w:rPr>
        <w:tab/>
        <w:t>I/We ................................, of ............................................, hereby apply for a license as a Scale Adjuster.</w:t>
      </w:r>
    </w:p>
    <w:p>
      <w:pPr>
        <w:pStyle w:val="yMiscellaneousBody"/>
        <w:rPr>
          <w:snapToGrid w:val="0"/>
        </w:rPr>
      </w:pPr>
      <w:r>
        <w:rPr>
          <w:snapToGrid w:val="0"/>
        </w:rPr>
        <w:t>Dated the ....................................... day of ....................................., 20    .</w:t>
      </w:r>
    </w:p>
    <w:p>
      <w:pPr>
        <w:pStyle w:val="yMiscellaneousBody"/>
        <w:jc w:val="right"/>
        <w:rPr>
          <w:snapToGrid w:val="0"/>
        </w:rPr>
      </w:pPr>
      <w:r>
        <w:rPr>
          <w:snapToGrid w:val="0"/>
        </w:rPr>
        <w:t>Signature ..........................................................</w:t>
      </w:r>
    </w:p>
    <w:p>
      <w:pPr>
        <w:pStyle w:val="yMiscellaneousBody"/>
        <w:jc w:val="right"/>
        <w:rPr>
          <w:snapToGrid w:val="0"/>
        </w:rPr>
      </w:pPr>
      <w:r>
        <w:rPr>
          <w:snapToGrid w:val="0"/>
        </w:rPr>
        <w:t>Address ............................................................</w:t>
      </w:r>
    </w:p>
    <w:p>
      <w:pPr>
        <w:pStyle w:val="yFootnotesection"/>
      </w:pPr>
      <w:r>
        <w:tab/>
        <w:t xml:space="preserve">[Table XV amended in Gazette 9 Sep 1968 p. 2744; 31 Aug 1984 p. 2829.] </w:t>
      </w:r>
    </w:p>
    <w:p>
      <w:pPr>
        <w:pStyle w:val="yScheduleHeading"/>
        <w:outlineLvl w:val="0"/>
      </w:pPr>
      <w:bookmarkStart w:id="252" w:name="_Toc390077277"/>
      <w:r>
        <w:rPr>
          <w:rStyle w:val="CharSchNo"/>
        </w:rPr>
        <w:t>Table XVI</w:t>
      </w:r>
      <w:bookmarkEnd w:id="252"/>
    </w:p>
    <w:p>
      <w:pPr>
        <w:pStyle w:val="MiscellaneousHeading"/>
        <w:rPr>
          <w:i/>
          <w:snapToGrid w:val="0"/>
        </w:rPr>
      </w:pPr>
      <w:r>
        <w:rPr>
          <w:i/>
          <w:snapToGrid w:val="0"/>
        </w:rPr>
        <w:t>Weights and Measures Act 1915</w:t>
      </w:r>
    </w:p>
    <w:p>
      <w:pPr>
        <w:pStyle w:val="MiscellaneousHeading"/>
        <w:rPr>
          <w:i/>
          <w:snapToGrid w:val="0"/>
        </w:rPr>
      </w:pPr>
      <w:r>
        <w:rPr>
          <w:i/>
          <w:snapToGrid w:val="0"/>
        </w:rPr>
        <w:t>Application for License as a Scale Repairer</w:t>
      </w:r>
    </w:p>
    <w:p>
      <w:pPr>
        <w:pStyle w:val="yMiscellaneousBody"/>
        <w:rPr>
          <w:snapToGrid w:val="0"/>
        </w:rPr>
      </w:pPr>
      <w:r>
        <w:rPr>
          <w:snapToGrid w:val="0"/>
        </w:rPr>
        <w:t>To the Chief Inspector,</w:t>
      </w:r>
      <w:r>
        <w:rPr>
          <w:snapToGrid w:val="0"/>
        </w:rPr>
        <w:br/>
        <w:t>Perth.</w:t>
      </w:r>
    </w:p>
    <w:p>
      <w:pPr>
        <w:pStyle w:val="yMiscellaneousBody"/>
        <w:rPr>
          <w:snapToGrid w:val="0"/>
        </w:rPr>
      </w:pPr>
      <w:r>
        <w:rPr>
          <w:snapToGrid w:val="0"/>
        </w:rPr>
        <w:t>I, ............................. of .............................., hereby apply for a license to act as a qualified scale repairer.</w:t>
      </w:r>
    </w:p>
    <w:p>
      <w:pPr>
        <w:pStyle w:val="yMiscellaneousBody"/>
        <w:rPr>
          <w:snapToGrid w:val="0"/>
        </w:rPr>
      </w:pPr>
      <w:r>
        <w:rPr>
          <w:snapToGrid w:val="0"/>
        </w:rPr>
        <w:t>Dated the ....................................... day of ......................................., 20    .</w:t>
      </w:r>
    </w:p>
    <w:p>
      <w:pPr>
        <w:pStyle w:val="yMiscellaneousBody"/>
        <w:jc w:val="right"/>
        <w:rPr>
          <w:snapToGrid w:val="0"/>
        </w:rPr>
      </w:pPr>
      <w:r>
        <w:rPr>
          <w:snapToGrid w:val="0"/>
        </w:rPr>
        <w:t>Signature ...........................................................</w:t>
      </w:r>
    </w:p>
    <w:p>
      <w:pPr>
        <w:pStyle w:val="yMiscellaneousBody"/>
        <w:jc w:val="right"/>
        <w:rPr>
          <w:snapToGrid w:val="0"/>
        </w:rPr>
      </w:pPr>
      <w:r>
        <w:rPr>
          <w:snapToGrid w:val="0"/>
        </w:rPr>
        <w:t>Address .............................................................</w:t>
      </w:r>
    </w:p>
    <w:p>
      <w:pPr>
        <w:pStyle w:val="yFootnotesection"/>
      </w:pPr>
      <w:r>
        <w:tab/>
        <w:t xml:space="preserve">[Table XVI amended in Gazette 9 Sep 1968 p. 2744; 31 Aug 1984 p. 2829.] </w:t>
      </w:r>
    </w:p>
    <w:p>
      <w:pPr>
        <w:pStyle w:val="yScheduleHeading"/>
        <w:outlineLvl w:val="0"/>
      </w:pPr>
      <w:bookmarkStart w:id="253" w:name="_Toc390077278"/>
      <w:r>
        <w:rPr>
          <w:rStyle w:val="CharSchNo"/>
        </w:rPr>
        <w:t>Table XVII</w:t>
      </w:r>
      <w:bookmarkEnd w:id="253"/>
    </w:p>
    <w:p>
      <w:pPr>
        <w:pStyle w:val="yMiscellaneousBody"/>
        <w:tabs>
          <w:tab w:val="left" w:pos="284"/>
        </w:tabs>
        <w:rPr>
          <w:snapToGrid w:val="0"/>
        </w:rPr>
      </w:pPr>
      <w:r>
        <w:rPr>
          <w:snapToGrid w:val="0"/>
        </w:rPr>
        <w:tab/>
        <w:t>Weighing instruments intended for use primarily for the purpose of weighing human beings and having a maximum capacity of not more than 30 lbs.</w:t>
      </w:r>
    </w:p>
    <w:p>
      <w:pPr>
        <w:pStyle w:val="yMiscellaneousBody"/>
        <w:rPr>
          <w:snapToGrid w:val="0"/>
        </w:rPr>
      </w:pPr>
      <w:r>
        <w:rPr>
          <w:snapToGrid w:val="0"/>
        </w:rPr>
        <w:t>Errors permissible on verification.</w:t>
      </w:r>
    </w:p>
    <w:tbl>
      <w:tblPr>
        <w:tblW w:w="0" w:type="auto"/>
        <w:tblInd w:w="113" w:type="dxa"/>
        <w:tblLayout w:type="fixed"/>
        <w:tblCellMar>
          <w:left w:w="85" w:type="dxa"/>
          <w:right w:w="85" w:type="dxa"/>
        </w:tblCellMar>
        <w:tblLook w:val="0000" w:firstRow="0" w:lastRow="0" w:firstColumn="0" w:lastColumn="0" w:noHBand="0" w:noVBand="0"/>
      </w:tblPr>
      <w:tblGrid>
        <w:gridCol w:w="3402"/>
        <w:gridCol w:w="3686"/>
      </w:tblGrid>
      <w:tr>
        <w:tc>
          <w:tcPr>
            <w:tcW w:w="3402" w:type="dxa"/>
          </w:tcPr>
          <w:p>
            <w:pPr>
              <w:pStyle w:val="yTable"/>
              <w:jc w:val="center"/>
              <w:rPr>
                <w:b/>
                <w:sz w:val="18"/>
              </w:rPr>
            </w:pPr>
            <w:r>
              <w:rPr>
                <w:b/>
                <w:sz w:val="18"/>
              </w:rPr>
              <w:t>Capacity</w:t>
            </w:r>
          </w:p>
        </w:tc>
        <w:tc>
          <w:tcPr>
            <w:tcW w:w="3686" w:type="dxa"/>
          </w:tcPr>
          <w:p>
            <w:pPr>
              <w:pStyle w:val="yTable"/>
              <w:jc w:val="center"/>
              <w:rPr>
                <w:b/>
                <w:sz w:val="18"/>
              </w:rPr>
            </w:pPr>
            <w:r>
              <w:rPr>
                <w:b/>
                <w:sz w:val="18"/>
              </w:rPr>
              <w:t>Maximum Error in Excess or Deficiency</w:t>
            </w:r>
          </w:p>
        </w:tc>
      </w:tr>
      <w:tr>
        <w:tc>
          <w:tcPr>
            <w:tcW w:w="3402" w:type="dxa"/>
          </w:tcPr>
          <w:p>
            <w:pPr>
              <w:pStyle w:val="yTable"/>
              <w:jc w:val="center"/>
              <w:rPr>
                <w:sz w:val="18"/>
              </w:rPr>
            </w:pPr>
            <w:r>
              <w:rPr>
                <w:sz w:val="18"/>
              </w:rPr>
              <w:t>5 lbs.</w:t>
            </w:r>
          </w:p>
        </w:tc>
        <w:tc>
          <w:tcPr>
            <w:tcW w:w="3686" w:type="dxa"/>
          </w:tcPr>
          <w:p>
            <w:pPr>
              <w:pStyle w:val="yTable"/>
              <w:jc w:val="center"/>
              <w:rPr>
                <w:sz w:val="18"/>
              </w:rPr>
            </w:pPr>
            <w:r>
              <w:rPr>
                <w:sz w:val="18"/>
              </w:rPr>
              <w:t>½ oz.</w:t>
            </w:r>
          </w:p>
        </w:tc>
      </w:tr>
      <w:tr>
        <w:tc>
          <w:tcPr>
            <w:tcW w:w="3402" w:type="dxa"/>
          </w:tcPr>
          <w:p>
            <w:pPr>
              <w:pStyle w:val="yTable"/>
              <w:jc w:val="center"/>
              <w:rPr>
                <w:sz w:val="18"/>
              </w:rPr>
            </w:pPr>
            <w:r>
              <w:rPr>
                <w:sz w:val="18"/>
              </w:rPr>
              <w:t>10 lbs.</w:t>
            </w:r>
          </w:p>
        </w:tc>
        <w:tc>
          <w:tcPr>
            <w:tcW w:w="3686" w:type="dxa"/>
          </w:tcPr>
          <w:p>
            <w:pPr>
              <w:pStyle w:val="yTable"/>
              <w:jc w:val="center"/>
              <w:rPr>
                <w:sz w:val="18"/>
              </w:rPr>
            </w:pPr>
            <w:r>
              <w:rPr>
                <w:sz w:val="18"/>
              </w:rPr>
              <w:t>1 oz.</w:t>
            </w:r>
          </w:p>
        </w:tc>
      </w:tr>
      <w:tr>
        <w:tc>
          <w:tcPr>
            <w:tcW w:w="3402" w:type="dxa"/>
          </w:tcPr>
          <w:p>
            <w:pPr>
              <w:pStyle w:val="yTable"/>
              <w:jc w:val="center"/>
              <w:rPr>
                <w:sz w:val="18"/>
              </w:rPr>
            </w:pPr>
            <w:r>
              <w:rPr>
                <w:sz w:val="18"/>
              </w:rPr>
              <w:t>20 lbs.</w:t>
            </w:r>
          </w:p>
        </w:tc>
        <w:tc>
          <w:tcPr>
            <w:tcW w:w="3686" w:type="dxa"/>
          </w:tcPr>
          <w:p>
            <w:pPr>
              <w:pStyle w:val="yTable"/>
              <w:jc w:val="center"/>
              <w:rPr>
                <w:sz w:val="18"/>
              </w:rPr>
            </w:pPr>
            <w:r>
              <w:rPr>
                <w:sz w:val="18"/>
              </w:rPr>
              <w:t>2 oz.</w:t>
            </w:r>
          </w:p>
        </w:tc>
      </w:tr>
      <w:tr>
        <w:tc>
          <w:tcPr>
            <w:tcW w:w="3402" w:type="dxa"/>
          </w:tcPr>
          <w:p>
            <w:pPr>
              <w:pStyle w:val="yTable"/>
              <w:jc w:val="center"/>
              <w:rPr>
                <w:sz w:val="18"/>
              </w:rPr>
            </w:pPr>
            <w:r>
              <w:rPr>
                <w:sz w:val="18"/>
              </w:rPr>
              <w:t>30 lbs.</w:t>
            </w:r>
          </w:p>
        </w:tc>
        <w:tc>
          <w:tcPr>
            <w:tcW w:w="3686" w:type="dxa"/>
          </w:tcPr>
          <w:p>
            <w:pPr>
              <w:pStyle w:val="yTable"/>
              <w:jc w:val="center"/>
              <w:rPr>
                <w:sz w:val="18"/>
              </w:rPr>
            </w:pPr>
            <w:r>
              <w:rPr>
                <w:sz w:val="18"/>
              </w:rPr>
              <w:t>3 oz.</w:t>
            </w:r>
          </w:p>
        </w:tc>
      </w:tr>
    </w:tbl>
    <w:p>
      <w:pPr>
        <w:pStyle w:val="yFootnotesection"/>
      </w:pPr>
      <w:r>
        <w:tab/>
        <w:t xml:space="preserve">[Table XVII inserted in Gazette 4 Mar 1949 p. 416.] </w:t>
      </w:r>
    </w:p>
    <w:p>
      <w:pPr>
        <w:tabs>
          <w:tab w:val="left" w:pos="425"/>
          <w:tab w:val="left" w:pos="850"/>
          <w:tab w:val="left" w:pos="992"/>
        </w:tabs>
        <w:ind w:left="992" w:hanging="992"/>
        <w:sectPr>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pPr>
        <w:pStyle w:val="nHeading2"/>
        <w:outlineLvl w:val="0"/>
      </w:pPr>
      <w:bookmarkStart w:id="254" w:name="_Toc390077279"/>
      <w:r>
        <w:t>Notes</w:t>
      </w:r>
      <w:bookmarkEnd w:id="254"/>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Weights and Measures Regulations 1927</w:t>
      </w:r>
      <w:r>
        <w:rPr>
          <w:snapToGrid w:val="0"/>
        </w:rPr>
        <w:t xml:space="preserve"> and includes the amendments made by the other written laws referred to in the following table.  The table also contains information about any reprint.</w:t>
      </w:r>
    </w:p>
    <w:p>
      <w:pPr>
        <w:pStyle w:val="nHeading3"/>
        <w:outlineLvl w:val="0"/>
        <w:rPr>
          <w:snapToGrid w:val="0"/>
        </w:rPr>
      </w:pPr>
      <w:bookmarkStart w:id="255" w:name="_Toc390077280"/>
      <w:r>
        <w:rPr>
          <w:snapToGrid w:val="0"/>
        </w:rPr>
        <w:t>Compilation table</w:t>
      </w:r>
      <w:bookmarkEnd w:id="25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Borders>
              <w:top w:val="single" w:sz="8" w:space="0" w:color="auto"/>
            </w:tcBorders>
          </w:tcPr>
          <w:p>
            <w:pPr>
              <w:pStyle w:val="nTable"/>
              <w:spacing w:after="40"/>
              <w:ind w:right="113"/>
              <w:rPr>
                <w:sz w:val="19"/>
              </w:rPr>
            </w:pPr>
            <w:r>
              <w:rPr>
                <w:i/>
                <w:sz w:val="19"/>
              </w:rPr>
              <w:t>Weights and Measures Regulations 1927</w:t>
            </w:r>
          </w:p>
        </w:tc>
        <w:tc>
          <w:tcPr>
            <w:tcW w:w="1276" w:type="dxa"/>
            <w:tcBorders>
              <w:top w:val="single" w:sz="8" w:space="0" w:color="auto"/>
            </w:tcBorders>
          </w:tcPr>
          <w:p>
            <w:pPr>
              <w:pStyle w:val="nTable"/>
              <w:spacing w:after="40"/>
              <w:rPr>
                <w:sz w:val="19"/>
              </w:rPr>
            </w:pPr>
            <w:r>
              <w:rPr>
                <w:sz w:val="19"/>
              </w:rPr>
              <w:t>3 Jun 1927 p. 1416</w:t>
            </w:r>
            <w:r>
              <w:rPr>
                <w:sz w:val="19"/>
              </w:rPr>
              <w:noBreakHyphen/>
              <w:t>48</w:t>
            </w:r>
          </w:p>
        </w:tc>
        <w:tc>
          <w:tcPr>
            <w:tcW w:w="2693" w:type="dxa"/>
            <w:tcBorders>
              <w:top w:val="single" w:sz="8" w:space="0" w:color="auto"/>
            </w:tcBorders>
          </w:tcPr>
          <w:p>
            <w:pPr>
              <w:pStyle w:val="nTable"/>
              <w:spacing w:after="40"/>
              <w:rPr>
                <w:sz w:val="19"/>
              </w:rPr>
            </w:pPr>
            <w:r>
              <w:rPr>
                <w:sz w:val="19"/>
              </w:rPr>
              <w:t>3 Jun 1927</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14 Oct 1927 p. 2349</w:t>
            </w:r>
          </w:p>
        </w:tc>
        <w:tc>
          <w:tcPr>
            <w:tcW w:w="2693" w:type="dxa"/>
          </w:tcPr>
          <w:p>
            <w:pPr>
              <w:pStyle w:val="nTable"/>
              <w:spacing w:after="40"/>
              <w:rPr>
                <w:sz w:val="19"/>
              </w:rPr>
            </w:pPr>
            <w:r>
              <w:rPr>
                <w:sz w:val="19"/>
              </w:rPr>
              <w:t>14 Oct 1927</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22 Feb 1929 p. 608</w:t>
            </w:r>
            <w:r>
              <w:rPr>
                <w:sz w:val="19"/>
              </w:rPr>
              <w:noBreakHyphen/>
              <w:t>9</w:t>
            </w:r>
          </w:p>
        </w:tc>
        <w:tc>
          <w:tcPr>
            <w:tcW w:w="2693" w:type="dxa"/>
          </w:tcPr>
          <w:p>
            <w:pPr>
              <w:pStyle w:val="nTable"/>
              <w:spacing w:after="40"/>
              <w:rPr>
                <w:sz w:val="19"/>
              </w:rPr>
            </w:pPr>
            <w:r>
              <w:rPr>
                <w:sz w:val="19"/>
              </w:rPr>
              <w:t>22 Feb 1929</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19 Sep 1930 p. 2157</w:t>
            </w:r>
          </w:p>
        </w:tc>
        <w:tc>
          <w:tcPr>
            <w:tcW w:w="2693" w:type="dxa"/>
          </w:tcPr>
          <w:p>
            <w:pPr>
              <w:pStyle w:val="nTable"/>
              <w:spacing w:after="40"/>
              <w:rPr>
                <w:sz w:val="19"/>
              </w:rPr>
            </w:pPr>
            <w:r>
              <w:rPr>
                <w:sz w:val="19"/>
              </w:rPr>
              <w:t>19 Sep 1930</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13 Mar 1931 p. 835</w:t>
            </w:r>
          </w:p>
        </w:tc>
        <w:tc>
          <w:tcPr>
            <w:tcW w:w="2693" w:type="dxa"/>
          </w:tcPr>
          <w:p>
            <w:pPr>
              <w:pStyle w:val="nTable"/>
              <w:spacing w:after="40"/>
              <w:rPr>
                <w:sz w:val="19"/>
              </w:rPr>
            </w:pPr>
            <w:r>
              <w:rPr>
                <w:sz w:val="19"/>
              </w:rPr>
              <w:t>13 Mar 1931</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10 Jul 1931 p. 1617</w:t>
            </w:r>
          </w:p>
        </w:tc>
        <w:tc>
          <w:tcPr>
            <w:tcW w:w="2693" w:type="dxa"/>
          </w:tcPr>
          <w:p>
            <w:pPr>
              <w:pStyle w:val="nTable"/>
              <w:spacing w:after="40"/>
              <w:rPr>
                <w:sz w:val="19"/>
              </w:rPr>
            </w:pPr>
            <w:r>
              <w:rPr>
                <w:sz w:val="19"/>
              </w:rPr>
              <w:t>10 Jul 1931</w:t>
            </w:r>
          </w:p>
        </w:tc>
      </w:tr>
      <w:tr>
        <w:trPr>
          <w:cantSplit/>
        </w:trPr>
        <w:tc>
          <w:tcPr>
            <w:tcW w:w="3118" w:type="dxa"/>
          </w:tcPr>
          <w:p>
            <w:pPr>
              <w:pStyle w:val="nTable"/>
              <w:keepNext/>
              <w:spacing w:after="40"/>
              <w:ind w:right="113"/>
              <w:rPr>
                <w:sz w:val="19"/>
              </w:rPr>
            </w:pPr>
          </w:p>
        </w:tc>
        <w:tc>
          <w:tcPr>
            <w:tcW w:w="1276" w:type="dxa"/>
          </w:tcPr>
          <w:p>
            <w:pPr>
              <w:pStyle w:val="nTable"/>
              <w:spacing w:after="40"/>
              <w:rPr>
                <w:sz w:val="19"/>
              </w:rPr>
            </w:pPr>
            <w:r>
              <w:rPr>
                <w:sz w:val="19"/>
              </w:rPr>
              <w:t>29 Jan 1932 p. 106</w:t>
            </w:r>
          </w:p>
        </w:tc>
        <w:tc>
          <w:tcPr>
            <w:tcW w:w="2693" w:type="dxa"/>
          </w:tcPr>
          <w:p>
            <w:pPr>
              <w:pStyle w:val="nTable"/>
              <w:keepNext/>
              <w:spacing w:after="40"/>
              <w:rPr>
                <w:sz w:val="19"/>
              </w:rPr>
            </w:pPr>
            <w:r>
              <w:rPr>
                <w:sz w:val="19"/>
              </w:rPr>
              <w:t>29 Jan 1932</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3 Apr 1947 p. 580</w:t>
            </w:r>
          </w:p>
        </w:tc>
        <w:tc>
          <w:tcPr>
            <w:tcW w:w="2693" w:type="dxa"/>
          </w:tcPr>
          <w:p>
            <w:pPr>
              <w:pStyle w:val="nTable"/>
              <w:spacing w:after="40"/>
              <w:rPr>
                <w:sz w:val="19"/>
              </w:rPr>
            </w:pPr>
            <w:r>
              <w:rPr>
                <w:sz w:val="19"/>
              </w:rPr>
              <w:t>3 Apr 1947</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4 Mar 1949 p. 414</w:t>
            </w:r>
            <w:r>
              <w:rPr>
                <w:sz w:val="19"/>
              </w:rPr>
              <w:noBreakHyphen/>
              <w:t>16</w:t>
            </w:r>
          </w:p>
        </w:tc>
        <w:tc>
          <w:tcPr>
            <w:tcW w:w="2693" w:type="dxa"/>
          </w:tcPr>
          <w:p>
            <w:pPr>
              <w:pStyle w:val="nTable"/>
              <w:spacing w:after="40"/>
              <w:rPr>
                <w:sz w:val="19"/>
              </w:rPr>
            </w:pPr>
            <w:r>
              <w:rPr>
                <w:sz w:val="19"/>
              </w:rPr>
              <w:t>4 Mar 1949</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24 Feb 1950 p. 329</w:t>
            </w:r>
            <w:r>
              <w:rPr>
                <w:sz w:val="19"/>
              </w:rPr>
              <w:noBreakHyphen/>
              <w:t>31</w:t>
            </w:r>
          </w:p>
        </w:tc>
        <w:tc>
          <w:tcPr>
            <w:tcW w:w="2693" w:type="dxa"/>
          </w:tcPr>
          <w:p>
            <w:pPr>
              <w:pStyle w:val="nTable"/>
              <w:spacing w:after="40"/>
              <w:rPr>
                <w:sz w:val="19"/>
              </w:rPr>
            </w:pPr>
            <w:r>
              <w:rPr>
                <w:sz w:val="19"/>
              </w:rPr>
              <w:t>24 Feb 1950</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3 Nov 1950 p. 2462</w:t>
            </w:r>
          </w:p>
        </w:tc>
        <w:tc>
          <w:tcPr>
            <w:tcW w:w="2693" w:type="dxa"/>
          </w:tcPr>
          <w:p>
            <w:pPr>
              <w:pStyle w:val="nTable"/>
              <w:spacing w:after="40"/>
              <w:rPr>
                <w:sz w:val="19"/>
              </w:rPr>
            </w:pPr>
            <w:r>
              <w:rPr>
                <w:sz w:val="19"/>
              </w:rPr>
              <w:t>3 Nov 1950</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25 May 1951 p. 1504</w:t>
            </w:r>
          </w:p>
        </w:tc>
        <w:tc>
          <w:tcPr>
            <w:tcW w:w="2693" w:type="dxa"/>
          </w:tcPr>
          <w:p>
            <w:pPr>
              <w:pStyle w:val="nTable"/>
              <w:spacing w:after="40"/>
              <w:rPr>
                <w:sz w:val="19"/>
              </w:rPr>
            </w:pPr>
            <w:r>
              <w:rPr>
                <w:sz w:val="19"/>
              </w:rPr>
              <w:t>25 May 1951</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 Jun 1951 p. 1515</w:t>
            </w:r>
            <w:r>
              <w:rPr>
                <w:sz w:val="19"/>
              </w:rPr>
              <w:noBreakHyphen/>
              <w:t>16</w:t>
            </w:r>
          </w:p>
        </w:tc>
        <w:tc>
          <w:tcPr>
            <w:tcW w:w="2693" w:type="dxa"/>
          </w:tcPr>
          <w:p>
            <w:pPr>
              <w:pStyle w:val="nTable"/>
              <w:spacing w:after="40"/>
              <w:rPr>
                <w:sz w:val="19"/>
              </w:rPr>
            </w:pPr>
            <w:r>
              <w:rPr>
                <w:sz w:val="19"/>
              </w:rPr>
              <w:t>1 Jun 1951</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12 Oct 1951 p. 2712</w:t>
            </w:r>
            <w:r>
              <w:rPr>
                <w:sz w:val="19"/>
              </w:rPr>
              <w:noBreakHyphen/>
              <w:t>13</w:t>
            </w:r>
          </w:p>
        </w:tc>
        <w:tc>
          <w:tcPr>
            <w:tcW w:w="2693" w:type="dxa"/>
          </w:tcPr>
          <w:p>
            <w:pPr>
              <w:pStyle w:val="nTable"/>
              <w:spacing w:after="40"/>
              <w:rPr>
                <w:sz w:val="19"/>
              </w:rPr>
            </w:pPr>
            <w:r>
              <w:rPr>
                <w:sz w:val="19"/>
              </w:rPr>
              <w:t>12 Oct 1951</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9 Apr 1957 p. 1074</w:t>
            </w:r>
            <w:r>
              <w:rPr>
                <w:sz w:val="19"/>
              </w:rPr>
              <w:noBreakHyphen/>
              <w:t>7</w:t>
            </w:r>
          </w:p>
        </w:tc>
        <w:tc>
          <w:tcPr>
            <w:tcW w:w="2693" w:type="dxa"/>
          </w:tcPr>
          <w:p>
            <w:pPr>
              <w:pStyle w:val="nTable"/>
              <w:spacing w:after="40"/>
              <w:rPr>
                <w:sz w:val="19"/>
              </w:rPr>
            </w:pPr>
            <w:r>
              <w:rPr>
                <w:sz w:val="19"/>
              </w:rPr>
              <w:t>9 Apr 1957</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23 May 1960 p. 1393</w:t>
            </w:r>
            <w:r>
              <w:rPr>
                <w:sz w:val="19"/>
              </w:rPr>
              <w:noBreakHyphen/>
              <w:t>413</w:t>
            </w:r>
          </w:p>
        </w:tc>
        <w:tc>
          <w:tcPr>
            <w:tcW w:w="2693" w:type="dxa"/>
          </w:tcPr>
          <w:p>
            <w:pPr>
              <w:pStyle w:val="nTable"/>
              <w:spacing w:after="40"/>
              <w:rPr>
                <w:sz w:val="19"/>
              </w:rPr>
            </w:pPr>
            <w:r>
              <w:rPr>
                <w:sz w:val="19"/>
              </w:rPr>
              <w:t>23 May 1960</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9 Jan 1962 p. 89</w:t>
            </w:r>
            <w:r>
              <w:rPr>
                <w:sz w:val="19"/>
              </w:rPr>
              <w:noBreakHyphen/>
              <w:t>92</w:t>
            </w:r>
          </w:p>
        </w:tc>
        <w:tc>
          <w:tcPr>
            <w:tcW w:w="2693" w:type="dxa"/>
          </w:tcPr>
          <w:p>
            <w:pPr>
              <w:pStyle w:val="nTable"/>
              <w:spacing w:after="40"/>
              <w:rPr>
                <w:sz w:val="19"/>
              </w:rPr>
            </w:pPr>
            <w:r>
              <w:rPr>
                <w:sz w:val="19"/>
              </w:rPr>
              <w:t>9 Jan 1962</w:t>
            </w:r>
          </w:p>
        </w:tc>
      </w:tr>
      <w:tr>
        <w:trPr>
          <w:cantSplit/>
        </w:trPr>
        <w:tc>
          <w:tcPr>
            <w:tcW w:w="3118" w:type="dxa"/>
          </w:tcPr>
          <w:p>
            <w:pPr>
              <w:pStyle w:val="nTable"/>
              <w:spacing w:after="40"/>
              <w:ind w:right="113"/>
              <w:rPr>
                <w:i/>
                <w:sz w:val="19"/>
              </w:rPr>
            </w:pPr>
            <w:r>
              <w:rPr>
                <w:i/>
                <w:sz w:val="19"/>
              </w:rPr>
              <w:t>Decimal Currency Act 1965</w:t>
            </w:r>
          </w:p>
        </w:tc>
        <w:tc>
          <w:tcPr>
            <w:tcW w:w="1276" w:type="dxa"/>
          </w:tcPr>
          <w:p>
            <w:pPr>
              <w:pStyle w:val="nTable"/>
              <w:spacing w:after="40"/>
              <w:rPr>
                <w:sz w:val="19"/>
              </w:rPr>
            </w:pPr>
            <w:r>
              <w:rPr>
                <w:sz w:val="19"/>
              </w:rPr>
              <w:t>113 of 1965</w:t>
            </w:r>
          </w:p>
        </w:tc>
        <w:tc>
          <w:tcPr>
            <w:tcW w:w="2693" w:type="dxa"/>
          </w:tcPr>
          <w:p>
            <w:pPr>
              <w:pStyle w:val="nTable"/>
              <w:spacing w:after="40"/>
              <w:rPr>
                <w:sz w:val="19"/>
              </w:rPr>
            </w:pPr>
            <w:r>
              <w:rPr>
                <w:sz w:val="19"/>
              </w:rPr>
              <w:t>s. 4-9: 14 Feb 1966 (see s. 2(2)); balance: 21 Dec 1965 (see s. 2(1))</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6 Jan 1966 p. 21</w:t>
            </w:r>
            <w:r>
              <w:rPr>
                <w:sz w:val="19"/>
              </w:rPr>
              <w:noBreakHyphen/>
              <w:t>6</w:t>
            </w:r>
          </w:p>
        </w:tc>
        <w:tc>
          <w:tcPr>
            <w:tcW w:w="2693" w:type="dxa"/>
          </w:tcPr>
          <w:p>
            <w:pPr>
              <w:pStyle w:val="nTable"/>
              <w:spacing w:after="40"/>
              <w:rPr>
                <w:sz w:val="19"/>
              </w:rPr>
            </w:pPr>
            <w:r>
              <w:rPr>
                <w:sz w:val="19"/>
              </w:rPr>
              <w:t>6 Jan 1966</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5 Jul 1967 p. 1758</w:t>
            </w:r>
          </w:p>
        </w:tc>
        <w:tc>
          <w:tcPr>
            <w:tcW w:w="2693" w:type="dxa"/>
          </w:tcPr>
          <w:p>
            <w:pPr>
              <w:pStyle w:val="nTable"/>
              <w:spacing w:after="40"/>
              <w:rPr>
                <w:sz w:val="19"/>
              </w:rPr>
            </w:pPr>
            <w:r>
              <w:rPr>
                <w:sz w:val="19"/>
              </w:rPr>
              <w:t>5 Jul 1967</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9 Sep 1968 p. 2743</w:t>
            </w:r>
            <w:r>
              <w:rPr>
                <w:sz w:val="19"/>
              </w:rPr>
              <w:noBreakHyphen/>
              <w:t>4</w:t>
            </w:r>
          </w:p>
        </w:tc>
        <w:tc>
          <w:tcPr>
            <w:tcW w:w="2693" w:type="dxa"/>
          </w:tcPr>
          <w:p>
            <w:pPr>
              <w:pStyle w:val="nTable"/>
              <w:spacing w:after="40"/>
              <w:rPr>
                <w:sz w:val="19"/>
              </w:rPr>
            </w:pPr>
            <w:r>
              <w:rPr>
                <w:sz w:val="19"/>
              </w:rPr>
              <w:t>9 Sep 1968</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24 Jul 1970 p. 2206</w:t>
            </w:r>
          </w:p>
        </w:tc>
        <w:tc>
          <w:tcPr>
            <w:tcW w:w="2693" w:type="dxa"/>
          </w:tcPr>
          <w:p>
            <w:pPr>
              <w:pStyle w:val="nTable"/>
              <w:spacing w:after="40"/>
              <w:rPr>
                <w:sz w:val="19"/>
              </w:rPr>
            </w:pPr>
            <w:r>
              <w:rPr>
                <w:sz w:val="19"/>
              </w:rPr>
              <w:t>24 Jul 1970</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21 Sep 1973 p. 3548</w:t>
            </w:r>
          </w:p>
        </w:tc>
        <w:tc>
          <w:tcPr>
            <w:tcW w:w="2693" w:type="dxa"/>
          </w:tcPr>
          <w:p>
            <w:pPr>
              <w:pStyle w:val="nTable"/>
              <w:spacing w:after="40"/>
              <w:rPr>
                <w:sz w:val="19"/>
              </w:rPr>
            </w:pPr>
            <w:r>
              <w:rPr>
                <w:sz w:val="19"/>
              </w:rPr>
              <w:t>21 Sep 1973</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20 Dec 1974 p. 5655</w:t>
            </w:r>
          </w:p>
        </w:tc>
        <w:tc>
          <w:tcPr>
            <w:tcW w:w="2693" w:type="dxa"/>
          </w:tcPr>
          <w:p>
            <w:pPr>
              <w:pStyle w:val="nTable"/>
              <w:spacing w:after="40"/>
              <w:rPr>
                <w:sz w:val="19"/>
              </w:rPr>
            </w:pPr>
            <w:r>
              <w:rPr>
                <w:sz w:val="19"/>
              </w:rPr>
              <w:t>20 Dec 1974</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23 May 1975 p. 1429</w:t>
            </w:r>
          </w:p>
        </w:tc>
        <w:tc>
          <w:tcPr>
            <w:tcW w:w="2693" w:type="dxa"/>
          </w:tcPr>
          <w:p>
            <w:pPr>
              <w:pStyle w:val="nTable"/>
              <w:spacing w:after="40"/>
              <w:rPr>
                <w:sz w:val="19"/>
              </w:rPr>
            </w:pPr>
            <w:r>
              <w:rPr>
                <w:sz w:val="19"/>
              </w:rPr>
              <w:t>23 May 1975</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20 Jun 1975 p. 1986</w:t>
            </w:r>
            <w:r>
              <w:rPr>
                <w:sz w:val="19"/>
              </w:rPr>
              <w:noBreakHyphen/>
              <w:t>90</w:t>
            </w:r>
          </w:p>
        </w:tc>
        <w:tc>
          <w:tcPr>
            <w:tcW w:w="2693" w:type="dxa"/>
          </w:tcPr>
          <w:p>
            <w:pPr>
              <w:pStyle w:val="nTable"/>
              <w:spacing w:after="40"/>
              <w:rPr>
                <w:sz w:val="19"/>
              </w:rPr>
            </w:pPr>
            <w:r>
              <w:rPr>
                <w:sz w:val="19"/>
              </w:rPr>
              <w:t>1 Jul 1975</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16 Jul 1976 p. 2501</w:t>
            </w:r>
            <w:r>
              <w:rPr>
                <w:sz w:val="19"/>
              </w:rPr>
              <w:noBreakHyphen/>
              <w:t>2</w:t>
            </w:r>
          </w:p>
        </w:tc>
        <w:tc>
          <w:tcPr>
            <w:tcW w:w="2693" w:type="dxa"/>
          </w:tcPr>
          <w:p>
            <w:pPr>
              <w:pStyle w:val="nTable"/>
              <w:spacing w:after="40"/>
              <w:rPr>
                <w:sz w:val="19"/>
              </w:rPr>
            </w:pPr>
            <w:r>
              <w:rPr>
                <w:sz w:val="19"/>
              </w:rPr>
              <w:t>16 Jul 1976</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 Oct 1976 p. 3608</w:t>
            </w:r>
          </w:p>
        </w:tc>
        <w:tc>
          <w:tcPr>
            <w:tcW w:w="2693" w:type="dxa"/>
          </w:tcPr>
          <w:p>
            <w:pPr>
              <w:pStyle w:val="nTable"/>
              <w:spacing w:after="40"/>
              <w:rPr>
                <w:sz w:val="19"/>
              </w:rPr>
            </w:pPr>
            <w:r>
              <w:rPr>
                <w:sz w:val="19"/>
              </w:rPr>
              <w:t>1 Oct 1976</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10 Dec 1976 p. 4956</w:t>
            </w:r>
          </w:p>
        </w:tc>
        <w:tc>
          <w:tcPr>
            <w:tcW w:w="2693" w:type="dxa"/>
          </w:tcPr>
          <w:p>
            <w:pPr>
              <w:pStyle w:val="nTable"/>
              <w:spacing w:after="40"/>
              <w:rPr>
                <w:sz w:val="19"/>
              </w:rPr>
            </w:pPr>
            <w:r>
              <w:rPr>
                <w:sz w:val="19"/>
              </w:rPr>
              <w:t>10 Dec 1976</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6 May 1977 p. 1345</w:t>
            </w:r>
          </w:p>
        </w:tc>
        <w:tc>
          <w:tcPr>
            <w:tcW w:w="2693" w:type="dxa"/>
          </w:tcPr>
          <w:p>
            <w:pPr>
              <w:pStyle w:val="nTable"/>
              <w:spacing w:after="40"/>
              <w:rPr>
                <w:sz w:val="19"/>
              </w:rPr>
            </w:pPr>
            <w:r>
              <w:rPr>
                <w:sz w:val="19"/>
              </w:rPr>
              <w:t>6 May 1977</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29 Jul 1977 p. 2497</w:t>
            </w:r>
          </w:p>
        </w:tc>
        <w:tc>
          <w:tcPr>
            <w:tcW w:w="2693" w:type="dxa"/>
          </w:tcPr>
          <w:p>
            <w:pPr>
              <w:pStyle w:val="nTable"/>
              <w:spacing w:after="40"/>
              <w:rPr>
                <w:sz w:val="19"/>
              </w:rPr>
            </w:pPr>
            <w:r>
              <w:rPr>
                <w:sz w:val="19"/>
              </w:rPr>
              <w:t>29 Jul 1977</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28 Oct 1977 p. 3834</w:t>
            </w:r>
          </w:p>
        </w:tc>
        <w:tc>
          <w:tcPr>
            <w:tcW w:w="2693" w:type="dxa"/>
          </w:tcPr>
          <w:p>
            <w:pPr>
              <w:pStyle w:val="nTable"/>
              <w:spacing w:after="40"/>
              <w:rPr>
                <w:sz w:val="19"/>
              </w:rPr>
            </w:pPr>
            <w:r>
              <w:rPr>
                <w:sz w:val="19"/>
              </w:rPr>
              <w:t>28 Oct 1977</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20 Jan 1978 p. 225</w:t>
            </w:r>
          </w:p>
        </w:tc>
        <w:tc>
          <w:tcPr>
            <w:tcW w:w="2693" w:type="dxa"/>
          </w:tcPr>
          <w:p>
            <w:pPr>
              <w:pStyle w:val="nTable"/>
              <w:spacing w:after="40"/>
              <w:rPr>
                <w:sz w:val="19"/>
              </w:rPr>
            </w:pPr>
            <w:r>
              <w:rPr>
                <w:sz w:val="19"/>
              </w:rPr>
              <w:t>20 Jan 1978</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23 Mar 1978 p. 875</w:t>
            </w:r>
            <w:r>
              <w:rPr>
                <w:sz w:val="19"/>
              </w:rPr>
              <w:noBreakHyphen/>
              <w:t>6</w:t>
            </w:r>
          </w:p>
        </w:tc>
        <w:tc>
          <w:tcPr>
            <w:tcW w:w="2693" w:type="dxa"/>
          </w:tcPr>
          <w:p>
            <w:pPr>
              <w:pStyle w:val="nTable"/>
              <w:spacing w:after="40"/>
              <w:rPr>
                <w:sz w:val="19"/>
              </w:rPr>
            </w:pPr>
            <w:r>
              <w:rPr>
                <w:sz w:val="19"/>
              </w:rPr>
              <w:t>23 Mar 1978</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14 Jul 1978 p. 2479</w:t>
            </w:r>
          </w:p>
        </w:tc>
        <w:tc>
          <w:tcPr>
            <w:tcW w:w="2693" w:type="dxa"/>
          </w:tcPr>
          <w:p>
            <w:pPr>
              <w:pStyle w:val="nTable"/>
              <w:spacing w:after="40"/>
              <w:rPr>
                <w:sz w:val="19"/>
              </w:rPr>
            </w:pPr>
            <w:r>
              <w:rPr>
                <w:sz w:val="19"/>
              </w:rPr>
              <w:t>14 Jul 1978</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20 Oct 1978 p. 3808</w:t>
            </w:r>
          </w:p>
        </w:tc>
        <w:tc>
          <w:tcPr>
            <w:tcW w:w="2693" w:type="dxa"/>
          </w:tcPr>
          <w:p>
            <w:pPr>
              <w:pStyle w:val="nTable"/>
              <w:spacing w:after="40"/>
              <w:rPr>
                <w:sz w:val="19"/>
              </w:rPr>
            </w:pPr>
            <w:r>
              <w:rPr>
                <w:sz w:val="19"/>
              </w:rPr>
              <w:t>20 Oct 1978</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29 Dec 1978 p. 4889</w:t>
            </w:r>
          </w:p>
        </w:tc>
        <w:tc>
          <w:tcPr>
            <w:tcW w:w="2693" w:type="dxa"/>
          </w:tcPr>
          <w:p>
            <w:pPr>
              <w:pStyle w:val="nTable"/>
              <w:spacing w:after="40"/>
              <w:rPr>
                <w:sz w:val="19"/>
              </w:rPr>
            </w:pPr>
            <w:r>
              <w:rPr>
                <w:sz w:val="19"/>
              </w:rPr>
              <w:t>29 Dec 1978</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 Mar 1979 p. 610</w:t>
            </w:r>
          </w:p>
        </w:tc>
        <w:tc>
          <w:tcPr>
            <w:tcW w:w="2693" w:type="dxa"/>
          </w:tcPr>
          <w:p>
            <w:pPr>
              <w:pStyle w:val="nTable"/>
              <w:spacing w:after="40"/>
              <w:rPr>
                <w:sz w:val="19"/>
              </w:rPr>
            </w:pPr>
            <w:r>
              <w:rPr>
                <w:sz w:val="19"/>
              </w:rPr>
              <w:t>2 Mar 1979</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19 Oct 1979 p. 3285</w:t>
            </w:r>
          </w:p>
        </w:tc>
        <w:tc>
          <w:tcPr>
            <w:tcW w:w="2693" w:type="dxa"/>
          </w:tcPr>
          <w:p>
            <w:pPr>
              <w:pStyle w:val="nTable"/>
              <w:spacing w:after="40"/>
              <w:rPr>
                <w:sz w:val="19"/>
              </w:rPr>
            </w:pPr>
            <w:r>
              <w:rPr>
                <w:sz w:val="19"/>
              </w:rPr>
              <w:t>19 Oct 1979</w:t>
            </w:r>
          </w:p>
        </w:tc>
      </w:tr>
      <w:tr>
        <w:trPr>
          <w:cantSplit/>
        </w:trPr>
        <w:tc>
          <w:tcPr>
            <w:tcW w:w="3118" w:type="dxa"/>
          </w:tcPr>
          <w:p>
            <w:pPr>
              <w:pStyle w:val="nTable"/>
              <w:spacing w:after="40"/>
              <w:ind w:right="113"/>
              <w:rPr>
                <w:sz w:val="19"/>
              </w:rPr>
            </w:pPr>
            <w:r>
              <w:rPr>
                <w:i/>
                <w:sz w:val="19"/>
              </w:rPr>
              <w:t>Weights and Measures Amendment Regulations 1980</w:t>
            </w:r>
          </w:p>
        </w:tc>
        <w:tc>
          <w:tcPr>
            <w:tcW w:w="1276" w:type="dxa"/>
          </w:tcPr>
          <w:p>
            <w:pPr>
              <w:pStyle w:val="nTable"/>
              <w:spacing w:after="40"/>
              <w:rPr>
                <w:sz w:val="19"/>
              </w:rPr>
            </w:pPr>
            <w:r>
              <w:rPr>
                <w:sz w:val="19"/>
              </w:rPr>
              <w:t>14 Nov 1980 p. 3882</w:t>
            </w:r>
            <w:r>
              <w:rPr>
                <w:sz w:val="19"/>
              </w:rPr>
              <w:noBreakHyphen/>
              <w:t>8</w:t>
            </w:r>
          </w:p>
        </w:tc>
        <w:tc>
          <w:tcPr>
            <w:tcW w:w="2693" w:type="dxa"/>
          </w:tcPr>
          <w:p>
            <w:pPr>
              <w:pStyle w:val="nTable"/>
              <w:spacing w:after="40"/>
              <w:rPr>
                <w:sz w:val="19"/>
              </w:rPr>
            </w:pPr>
            <w:r>
              <w:rPr>
                <w:sz w:val="19"/>
              </w:rPr>
              <w:t>1 Feb 1981 (see r. 1)</w:t>
            </w:r>
          </w:p>
        </w:tc>
      </w:tr>
      <w:tr>
        <w:trPr>
          <w:cantSplit/>
        </w:trPr>
        <w:tc>
          <w:tcPr>
            <w:tcW w:w="3118" w:type="dxa"/>
          </w:tcPr>
          <w:p>
            <w:pPr>
              <w:pStyle w:val="nTable"/>
              <w:spacing w:after="40"/>
              <w:ind w:right="113"/>
              <w:rPr>
                <w:sz w:val="19"/>
              </w:rPr>
            </w:pPr>
            <w:r>
              <w:rPr>
                <w:i/>
                <w:sz w:val="19"/>
              </w:rPr>
              <w:t>Weights and Measures Amendment Regulations (No. 2) 1980</w:t>
            </w:r>
          </w:p>
        </w:tc>
        <w:tc>
          <w:tcPr>
            <w:tcW w:w="1276" w:type="dxa"/>
          </w:tcPr>
          <w:p>
            <w:pPr>
              <w:pStyle w:val="nTable"/>
              <w:spacing w:after="40"/>
              <w:rPr>
                <w:sz w:val="19"/>
              </w:rPr>
            </w:pPr>
            <w:r>
              <w:rPr>
                <w:sz w:val="19"/>
              </w:rPr>
              <w:t>24 Dec 1980 p. 4402</w:t>
            </w:r>
            <w:r>
              <w:rPr>
                <w:sz w:val="19"/>
              </w:rPr>
              <w:noBreakHyphen/>
              <w:t>3</w:t>
            </w:r>
          </w:p>
        </w:tc>
        <w:tc>
          <w:tcPr>
            <w:tcW w:w="2693" w:type="dxa"/>
          </w:tcPr>
          <w:p>
            <w:pPr>
              <w:pStyle w:val="nTable"/>
              <w:spacing w:after="40"/>
              <w:rPr>
                <w:sz w:val="19"/>
              </w:rPr>
            </w:pPr>
            <w:r>
              <w:rPr>
                <w:sz w:val="19"/>
              </w:rPr>
              <w:t>1 Jan 1981 (see r. 2)</w:t>
            </w:r>
          </w:p>
        </w:tc>
      </w:tr>
      <w:tr>
        <w:trPr>
          <w:cantSplit/>
        </w:trPr>
        <w:tc>
          <w:tcPr>
            <w:tcW w:w="3118" w:type="dxa"/>
          </w:tcPr>
          <w:p>
            <w:pPr>
              <w:pStyle w:val="nTable"/>
              <w:spacing w:after="40"/>
              <w:ind w:right="113"/>
              <w:rPr>
                <w:sz w:val="19"/>
              </w:rPr>
            </w:pPr>
            <w:r>
              <w:rPr>
                <w:i/>
                <w:sz w:val="19"/>
              </w:rPr>
              <w:t>Weights and Measures Amendment Regulations 1981</w:t>
            </w:r>
          </w:p>
        </w:tc>
        <w:tc>
          <w:tcPr>
            <w:tcW w:w="1276" w:type="dxa"/>
          </w:tcPr>
          <w:p>
            <w:pPr>
              <w:pStyle w:val="nTable"/>
              <w:spacing w:after="40"/>
              <w:rPr>
                <w:sz w:val="19"/>
              </w:rPr>
            </w:pPr>
            <w:r>
              <w:rPr>
                <w:sz w:val="19"/>
              </w:rPr>
              <w:t>10 Apr 1981 p. 1259</w:t>
            </w:r>
          </w:p>
        </w:tc>
        <w:tc>
          <w:tcPr>
            <w:tcW w:w="2693" w:type="dxa"/>
          </w:tcPr>
          <w:p>
            <w:pPr>
              <w:pStyle w:val="nTable"/>
              <w:spacing w:after="40"/>
              <w:rPr>
                <w:sz w:val="19"/>
              </w:rPr>
            </w:pPr>
            <w:r>
              <w:rPr>
                <w:sz w:val="19"/>
              </w:rPr>
              <w:t>10 Apr 1981</w:t>
            </w:r>
          </w:p>
        </w:tc>
      </w:tr>
      <w:tr>
        <w:trPr>
          <w:cantSplit/>
        </w:trPr>
        <w:tc>
          <w:tcPr>
            <w:tcW w:w="3118" w:type="dxa"/>
          </w:tcPr>
          <w:p>
            <w:pPr>
              <w:pStyle w:val="nTable"/>
              <w:spacing w:after="40"/>
              <w:ind w:right="113"/>
              <w:rPr>
                <w:sz w:val="19"/>
              </w:rPr>
            </w:pPr>
            <w:r>
              <w:rPr>
                <w:i/>
                <w:sz w:val="19"/>
              </w:rPr>
              <w:t>Weights and Measures Amendment Regulations (No. 2) 1981</w:t>
            </w:r>
          </w:p>
        </w:tc>
        <w:tc>
          <w:tcPr>
            <w:tcW w:w="1276" w:type="dxa"/>
          </w:tcPr>
          <w:p>
            <w:pPr>
              <w:pStyle w:val="nTable"/>
              <w:spacing w:after="40"/>
              <w:rPr>
                <w:sz w:val="19"/>
              </w:rPr>
            </w:pPr>
            <w:r>
              <w:rPr>
                <w:sz w:val="19"/>
              </w:rPr>
              <w:t>23 Oct 1981 p. 4433</w:t>
            </w:r>
            <w:r>
              <w:rPr>
                <w:sz w:val="19"/>
              </w:rPr>
              <w:noBreakHyphen/>
              <w:t>6</w:t>
            </w:r>
          </w:p>
        </w:tc>
        <w:tc>
          <w:tcPr>
            <w:tcW w:w="2693" w:type="dxa"/>
          </w:tcPr>
          <w:p>
            <w:pPr>
              <w:pStyle w:val="nTable"/>
              <w:spacing w:after="40"/>
              <w:rPr>
                <w:sz w:val="19"/>
              </w:rPr>
            </w:pPr>
            <w:r>
              <w:rPr>
                <w:sz w:val="19"/>
              </w:rPr>
              <w:t>1 Jan 1982 (see r. 2)</w:t>
            </w:r>
          </w:p>
        </w:tc>
      </w:tr>
      <w:tr>
        <w:trPr>
          <w:cantSplit/>
        </w:trPr>
        <w:tc>
          <w:tcPr>
            <w:tcW w:w="3118" w:type="dxa"/>
          </w:tcPr>
          <w:p>
            <w:pPr>
              <w:pStyle w:val="nTable"/>
              <w:spacing w:after="40"/>
              <w:ind w:right="113"/>
              <w:rPr>
                <w:sz w:val="19"/>
              </w:rPr>
            </w:pPr>
            <w:r>
              <w:rPr>
                <w:i/>
                <w:sz w:val="19"/>
              </w:rPr>
              <w:t>Weights and Measures Amendment Regulations 1982</w:t>
            </w:r>
          </w:p>
        </w:tc>
        <w:tc>
          <w:tcPr>
            <w:tcW w:w="1276" w:type="dxa"/>
          </w:tcPr>
          <w:p>
            <w:pPr>
              <w:pStyle w:val="nTable"/>
              <w:spacing w:after="40"/>
              <w:rPr>
                <w:sz w:val="19"/>
              </w:rPr>
            </w:pPr>
            <w:r>
              <w:rPr>
                <w:sz w:val="19"/>
              </w:rPr>
              <w:t>2 Jul 1982 p. 2382</w:t>
            </w:r>
          </w:p>
        </w:tc>
        <w:tc>
          <w:tcPr>
            <w:tcW w:w="2693" w:type="dxa"/>
          </w:tcPr>
          <w:p>
            <w:pPr>
              <w:pStyle w:val="nTable"/>
              <w:spacing w:after="40"/>
              <w:rPr>
                <w:sz w:val="19"/>
              </w:rPr>
            </w:pPr>
            <w:r>
              <w:rPr>
                <w:sz w:val="19"/>
              </w:rPr>
              <w:t>2 Jul 1982</w:t>
            </w:r>
          </w:p>
        </w:tc>
      </w:tr>
      <w:tr>
        <w:trPr>
          <w:cantSplit/>
        </w:trPr>
        <w:tc>
          <w:tcPr>
            <w:tcW w:w="3118" w:type="dxa"/>
          </w:tcPr>
          <w:p>
            <w:pPr>
              <w:pStyle w:val="nTable"/>
              <w:spacing w:after="40"/>
              <w:ind w:right="113"/>
              <w:rPr>
                <w:sz w:val="19"/>
              </w:rPr>
            </w:pPr>
            <w:r>
              <w:rPr>
                <w:i/>
                <w:sz w:val="19"/>
              </w:rPr>
              <w:t>Weights and Measures Amendment Regulations (No. 2) 1982</w:t>
            </w:r>
          </w:p>
        </w:tc>
        <w:tc>
          <w:tcPr>
            <w:tcW w:w="1276" w:type="dxa"/>
          </w:tcPr>
          <w:p>
            <w:pPr>
              <w:pStyle w:val="nTable"/>
              <w:spacing w:after="40"/>
              <w:rPr>
                <w:sz w:val="19"/>
              </w:rPr>
            </w:pPr>
            <w:r>
              <w:rPr>
                <w:sz w:val="19"/>
              </w:rPr>
              <w:t>30 Jul 1982 p. 3008</w:t>
            </w:r>
            <w:r>
              <w:rPr>
                <w:sz w:val="19"/>
              </w:rPr>
              <w:noBreakHyphen/>
              <w:t>11</w:t>
            </w:r>
          </w:p>
        </w:tc>
        <w:tc>
          <w:tcPr>
            <w:tcW w:w="2693" w:type="dxa"/>
          </w:tcPr>
          <w:p>
            <w:pPr>
              <w:pStyle w:val="nTable"/>
              <w:spacing w:after="40"/>
              <w:rPr>
                <w:sz w:val="19"/>
              </w:rPr>
            </w:pPr>
            <w:r>
              <w:rPr>
                <w:sz w:val="19"/>
              </w:rPr>
              <w:t>1 Jan 1983 (see r. 2)</w:t>
            </w:r>
          </w:p>
        </w:tc>
      </w:tr>
      <w:tr>
        <w:trPr>
          <w:cantSplit/>
        </w:trPr>
        <w:tc>
          <w:tcPr>
            <w:tcW w:w="3118" w:type="dxa"/>
          </w:tcPr>
          <w:p>
            <w:pPr>
              <w:pStyle w:val="nTable"/>
              <w:spacing w:after="40"/>
              <w:ind w:right="113"/>
              <w:rPr>
                <w:sz w:val="19"/>
              </w:rPr>
            </w:pPr>
            <w:r>
              <w:rPr>
                <w:i/>
                <w:sz w:val="19"/>
              </w:rPr>
              <w:t>Weights and Measures Amendment Regulations 1984</w:t>
            </w:r>
          </w:p>
        </w:tc>
        <w:tc>
          <w:tcPr>
            <w:tcW w:w="1276" w:type="dxa"/>
          </w:tcPr>
          <w:p>
            <w:pPr>
              <w:pStyle w:val="nTable"/>
              <w:spacing w:after="40"/>
              <w:rPr>
                <w:sz w:val="19"/>
              </w:rPr>
            </w:pPr>
            <w:r>
              <w:rPr>
                <w:sz w:val="19"/>
              </w:rPr>
              <w:t>31 Jul 1984 p. 2263-69</w:t>
            </w:r>
          </w:p>
        </w:tc>
        <w:tc>
          <w:tcPr>
            <w:tcW w:w="2693" w:type="dxa"/>
          </w:tcPr>
          <w:p>
            <w:pPr>
              <w:pStyle w:val="nTable"/>
              <w:spacing w:after="40"/>
              <w:rPr>
                <w:sz w:val="19"/>
              </w:rPr>
            </w:pPr>
            <w:r>
              <w:rPr>
                <w:sz w:val="19"/>
              </w:rPr>
              <w:t>1 Aug 1984 (see r. 2)</w:t>
            </w:r>
          </w:p>
        </w:tc>
      </w:tr>
      <w:tr>
        <w:trPr>
          <w:cantSplit/>
        </w:trPr>
        <w:tc>
          <w:tcPr>
            <w:tcW w:w="3118" w:type="dxa"/>
          </w:tcPr>
          <w:p>
            <w:pPr>
              <w:pStyle w:val="nTable"/>
              <w:spacing w:after="40"/>
              <w:ind w:right="113"/>
              <w:rPr>
                <w:sz w:val="19"/>
              </w:rPr>
            </w:pPr>
            <w:r>
              <w:rPr>
                <w:i/>
                <w:sz w:val="19"/>
              </w:rPr>
              <w:t>Weights and Measures Amendment Regulations (No. 2) 1984</w:t>
            </w:r>
          </w:p>
        </w:tc>
        <w:tc>
          <w:tcPr>
            <w:tcW w:w="1276" w:type="dxa"/>
          </w:tcPr>
          <w:p>
            <w:pPr>
              <w:pStyle w:val="nTable"/>
              <w:spacing w:after="40"/>
              <w:rPr>
                <w:sz w:val="19"/>
              </w:rPr>
            </w:pPr>
            <w:r>
              <w:rPr>
                <w:sz w:val="19"/>
              </w:rPr>
              <w:t>31 Aug 1984 p. 2829</w:t>
            </w:r>
          </w:p>
        </w:tc>
        <w:tc>
          <w:tcPr>
            <w:tcW w:w="2693" w:type="dxa"/>
          </w:tcPr>
          <w:p>
            <w:pPr>
              <w:pStyle w:val="nTable"/>
              <w:spacing w:after="40"/>
              <w:rPr>
                <w:sz w:val="19"/>
              </w:rPr>
            </w:pPr>
            <w:r>
              <w:rPr>
                <w:sz w:val="19"/>
              </w:rPr>
              <w:t>31 Aug 1984</w:t>
            </w:r>
          </w:p>
        </w:tc>
      </w:tr>
      <w:tr>
        <w:trPr>
          <w:cantSplit/>
        </w:trPr>
        <w:tc>
          <w:tcPr>
            <w:tcW w:w="3118" w:type="dxa"/>
          </w:tcPr>
          <w:p>
            <w:pPr>
              <w:pStyle w:val="nTable"/>
              <w:spacing w:after="40"/>
              <w:ind w:right="113"/>
              <w:rPr>
                <w:sz w:val="19"/>
              </w:rPr>
            </w:pPr>
            <w:r>
              <w:rPr>
                <w:i/>
                <w:sz w:val="19"/>
              </w:rPr>
              <w:t>Weights and Measures Amendment Regulations 1985</w:t>
            </w:r>
          </w:p>
        </w:tc>
        <w:tc>
          <w:tcPr>
            <w:tcW w:w="1276" w:type="dxa"/>
          </w:tcPr>
          <w:p>
            <w:pPr>
              <w:pStyle w:val="nTable"/>
              <w:spacing w:after="40"/>
              <w:rPr>
                <w:sz w:val="19"/>
              </w:rPr>
            </w:pPr>
            <w:r>
              <w:rPr>
                <w:sz w:val="19"/>
              </w:rPr>
              <w:t>21 Jun 1985 p. 2263</w:t>
            </w:r>
            <w:r>
              <w:rPr>
                <w:sz w:val="19"/>
              </w:rPr>
              <w:noBreakHyphen/>
              <w:t>6</w:t>
            </w:r>
          </w:p>
        </w:tc>
        <w:tc>
          <w:tcPr>
            <w:tcW w:w="2693" w:type="dxa"/>
          </w:tcPr>
          <w:p>
            <w:pPr>
              <w:pStyle w:val="nTable"/>
              <w:spacing w:after="40"/>
              <w:rPr>
                <w:sz w:val="19"/>
              </w:rPr>
            </w:pPr>
            <w:r>
              <w:rPr>
                <w:sz w:val="19"/>
              </w:rPr>
              <w:t>21 Jun 1985</w:t>
            </w:r>
          </w:p>
        </w:tc>
      </w:tr>
      <w:tr>
        <w:trPr>
          <w:cantSplit/>
        </w:trPr>
        <w:tc>
          <w:tcPr>
            <w:tcW w:w="3118" w:type="dxa"/>
          </w:tcPr>
          <w:p>
            <w:pPr>
              <w:pStyle w:val="nTable"/>
              <w:spacing w:after="40"/>
              <w:ind w:right="113"/>
              <w:rPr>
                <w:sz w:val="19"/>
              </w:rPr>
            </w:pPr>
            <w:r>
              <w:rPr>
                <w:i/>
                <w:sz w:val="19"/>
              </w:rPr>
              <w:t>Weights and Measures Amendment Regulations (No. 2) 1985</w:t>
            </w:r>
          </w:p>
        </w:tc>
        <w:tc>
          <w:tcPr>
            <w:tcW w:w="1276" w:type="dxa"/>
          </w:tcPr>
          <w:p>
            <w:pPr>
              <w:pStyle w:val="nTable"/>
              <w:spacing w:after="40"/>
              <w:rPr>
                <w:sz w:val="19"/>
              </w:rPr>
            </w:pPr>
            <w:r>
              <w:rPr>
                <w:sz w:val="19"/>
              </w:rPr>
              <w:t>19 Jul 1985 p. 2522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13"/>
              <w:rPr>
                <w:sz w:val="19"/>
              </w:rPr>
            </w:pPr>
            <w:r>
              <w:rPr>
                <w:i/>
                <w:sz w:val="19"/>
              </w:rPr>
              <w:t>Weights and Measures Amendment Regulations 1986</w:t>
            </w:r>
          </w:p>
        </w:tc>
        <w:tc>
          <w:tcPr>
            <w:tcW w:w="1276" w:type="dxa"/>
          </w:tcPr>
          <w:p>
            <w:pPr>
              <w:pStyle w:val="nTable"/>
              <w:spacing w:after="40"/>
              <w:rPr>
                <w:sz w:val="19"/>
              </w:rPr>
            </w:pPr>
            <w:r>
              <w:rPr>
                <w:sz w:val="19"/>
              </w:rPr>
              <w:t>13 Jun 1986 p. 1998</w:t>
            </w:r>
            <w:r>
              <w:rPr>
                <w:sz w:val="19"/>
              </w:rPr>
              <w:noBreakHyphen/>
              <w:t>2000</w:t>
            </w:r>
          </w:p>
        </w:tc>
        <w:tc>
          <w:tcPr>
            <w:tcW w:w="2693" w:type="dxa"/>
          </w:tcPr>
          <w:p>
            <w:pPr>
              <w:pStyle w:val="nTable"/>
              <w:spacing w:after="40"/>
              <w:rPr>
                <w:sz w:val="19"/>
              </w:rPr>
            </w:pPr>
            <w:r>
              <w:rPr>
                <w:sz w:val="19"/>
              </w:rPr>
              <w:t>1 Jul 1986 (see r. 2)</w:t>
            </w:r>
          </w:p>
        </w:tc>
      </w:tr>
      <w:tr>
        <w:trPr>
          <w:cantSplit/>
        </w:trPr>
        <w:tc>
          <w:tcPr>
            <w:tcW w:w="3118" w:type="dxa"/>
          </w:tcPr>
          <w:p>
            <w:pPr>
              <w:pStyle w:val="nTable"/>
              <w:spacing w:after="40"/>
              <w:ind w:right="113"/>
              <w:rPr>
                <w:sz w:val="19"/>
              </w:rPr>
            </w:pPr>
            <w:r>
              <w:rPr>
                <w:i/>
                <w:sz w:val="19"/>
              </w:rPr>
              <w:t>Weights and Measures Amendment Regulations (No. 2) 1986</w:t>
            </w:r>
          </w:p>
        </w:tc>
        <w:tc>
          <w:tcPr>
            <w:tcW w:w="1276" w:type="dxa"/>
          </w:tcPr>
          <w:p>
            <w:pPr>
              <w:pStyle w:val="nTable"/>
              <w:spacing w:after="40"/>
              <w:rPr>
                <w:sz w:val="19"/>
              </w:rPr>
            </w:pPr>
            <w:r>
              <w:rPr>
                <w:sz w:val="19"/>
              </w:rPr>
              <w:t>29 Aug 1986 p. 3207</w:t>
            </w:r>
          </w:p>
        </w:tc>
        <w:tc>
          <w:tcPr>
            <w:tcW w:w="2693" w:type="dxa"/>
          </w:tcPr>
          <w:p>
            <w:pPr>
              <w:pStyle w:val="nTable"/>
              <w:spacing w:after="40"/>
              <w:rPr>
                <w:sz w:val="19"/>
              </w:rPr>
            </w:pPr>
            <w:r>
              <w:rPr>
                <w:sz w:val="19"/>
              </w:rPr>
              <w:t>29 Aug 1986</w:t>
            </w:r>
          </w:p>
        </w:tc>
      </w:tr>
      <w:tr>
        <w:trPr>
          <w:cantSplit/>
        </w:trPr>
        <w:tc>
          <w:tcPr>
            <w:tcW w:w="3118" w:type="dxa"/>
          </w:tcPr>
          <w:p>
            <w:pPr>
              <w:pStyle w:val="nTable"/>
              <w:spacing w:after="40"/>
              <w:ind w:right="113"/>
              <w:rPr>
                <w:sz w:val="19"/>
              </w:rPr>
            </w:pPr>
            <w:r>
              <w:rPr>
                <w:i/>
                <w:sz w:val="19"/>
              </w:rPr>
              <w:t>Weights and Measures Amendment Regulations 1987</w:t>
            </w:r>
          </w:p>
        </w:tc>
        <w:tc>
          <w:tcPr>
            <w:tcW w:w="1276" w:type="dxa"/>
          </w:tcPr>
          <w:p>
            <w:pPr>
              <w:pStyle w:val="nTable"/>
              <w:spacing w:after="40"/>
              <w:rPr>
                <w:sz w:val="19"/>
              </w:rPr>
            </w:pPr>
            <w:r>
              <w:rPr>
                <w:sz w:val="19"/>
              </w:rPr>
              <w:t>4 Sep 1987 p. 3520</w:t>
            </w:r>
            <w:r>
              <w:rPr>
                <w:sz w:val="19"/>
              </w:rPr>
              <w:noBreakHyphen/>
              <w:t>2</w:t>
            </w:r>
          </w:p>
        </w:tc>
        <w:tc>
          <w:tcPr>
            <w:tcW w:w="2693" w:type="dxa"/>
          </w:tcPr>
          <w:p>
            <w:pPr>
              <w:pStyle w:val="nTable"/>
              <w:spacing w:after="40"/>
              <w:rPr>
                <w:sz w:val="19"/>
              </w:rPr>
            </w:pPr>
            <w:r>
              <w:rPr>
                <w:sz w:val="19"/>
              </w:rPr>
              <w:t>4 Sep 1987</w:t>
            </w:r>
          </w:p>
        </w:tc>
      </w:tr>
      <w:tr>
        <w:trPr>
          <w:cantSplit/>
        </w:trPr>
        <w:tc>
          <w:tcPr>
            <w:tcW w:w="3118" w:type="dxa"/>
          </w:tcPr>
          <w:p>
            <w:pPr>
              <w:pStyle w:val="nTable"/>
              <w:spacing w:after="40"/>
              <w:ind w:right="113"/>
              <w:rPr>
                <w:sz w:val="19"/>
              </w:rPr>
            </w:pPr>
            <w:r>
              <w:rPr>
                <w:i/>
                <w:sz w:val="19"/>
              </w:rPr>
              <w:t>Weights and Measures Amendment Regulations 1988</w:t>
            </w:r>
          </w:p>
        </w:tc>
        <w:tc>
          <w:tcPr>
            <w:tcW w:w="1276" w:type="dxa"/>
          </w:tcPr>
          <w:p>
            <w:pPr>
              <w:pStyle w:val="nTable"/>
              <w:spacing w:after="40"/>
              <w:rPr>
                <w:sz w:val="19"/>
              </w:rPr>
            </w:pPr>
            <w:r>
              <w:rPr>
                <w:sz w:val="19"/>
              </w:rPr>
              <w:t>21 Oct 1988 p. 4254</w:t>
            </w:r>
            <w:r>
              <w:rPr>
                <w:sz w:val="19"/>
              </w:rPr>
              <w:noBreakHyphen/>
              <w:t>7</w:t>
            </w:r>
          </w:p>
        </w:tc>
        <w:tc>
          <w:tcPr>
            <w:tcW w:w="2693" w:type="dxa"/>
          </w:tcPr>
          <w:p>
            <w:pPr>
              <w:pStyle w:val="nTable"/>
              <w:spacing w:after="40"/>
              <w:rPr>
                <w:sz w:val="19"/>
              </w:rPr>
            </w:pPr>
            <w:r>
              <w:rPr>
                <w:sz w:val="19"/>
              </w:rPr>
              <w:t>21 Oct 1988</w:t>
            </w:r>
          </w:p>
        </w:tc>
      </w:tr>
      <w:tr>
        <w:trPr>
          <w:cantSplit/>
        </w:trPr>
        <w:tc>
          <w:tcPr>
            <w:tcW w:w="3118" w:type="dxa"/>
          </w:tcPr>
          <w:p>
            <w:pPr>
              <w:pStyle w:val="nTable"/>
              <w:spacing w:after="40"/>
              <w:ind w:right="113"/>
              <w:rPr>
                <w:sz w:val="19"/>
              </w:rPr>
            </w:pPr>
            <w:r>
              <w:rPr>
                <w:i/>
                <w:sz w:val="19"/>
              </w:rPr>
              <w:t>Weights and Measures Amendment Regulations 1989</w:t>
            </w:r>
          </w:p>
        </w:tc>
        <w:tc>
          <w:tcPr>
            <w:tcW w:w="1276" w:type="dxa"/>
          </w:tcPr>
          <w:p>
            <w:pPr>
              <w:pStyle w:val="nTable"/>
              <w:spacing w:after="40"/>
              <w:rPr>
                <w:sz w:val="19"/>
              </w:rPr>
            </w:pPr>
            <w:r>
              <w:rPr>
                <w:sz w:val="19"/>
              </w:rPr>
              <w:t>30 Jun 1989 p. 1976</w:t>
            </w:r>
            <w:r>
              <w:rPr>
                <w:sz w:val="19"/>
              </w:rPr>
              <w:noBreakHyphen/>
              <w:t>8 (erratum 7 Jul 1989 p. 2111)</w:t>
            </w:r>
          </w:p>
        </w:tc>
        <w:tc>
          <w:tcPr>
            <w:tcW w:w="2693" w:type="dxa"/>
          </w:tcPr>
          <w:p>
            <w:pPr>
              <w:pStyle w:val="nTable"/>
              <w:spacing w:after="40"/>
              <w:rPr>
                <w:sz w:val="19"/>
              </w:rPr>
            </w:pPr>
            <w:r>
              <w:rPr>
                <w:sz w:val="19"/>
              </w:rPr>
              <w:t>1 Jul 1989 (see r. 2)</w:t>
            </w:r>
          </w:p>
        </w:tc>
      </w:tr>
      <w:tr>
        <w:trPr>
          <w:cantSplit/>
        </w:trPr>
        <w:tc>
          <w:tcPr>
            <w:tcW w:w="3118" w:type="dxa"/>
          </w:tcPr>
          <w:p>
            <w:pPr>
              <w:pStyle w:val="nTable"/>
              <w:spacing w:after="40"/>
              <w:ind w:right="113"/>
              <w:rPr>
                <w:sz w:val="19"/>
              </w:rPr>
            </w:pPr>
            <w:r>
              <w:rPr>
                <w:i/>
                <w:sz w:val="19"/>
              </w:rPr>
              <w:t>Weights and Measures Amendment Regulations 1990</w:t>
            </w:r>
          </w:p>
        </w:tc>
        <w:tc>
          <w:tcPr>
            <w:tcW w:w="1276" w:type="dxa"/>
          </w:tcPr>
          <w:p>
            <w:pPr>
              <w:pStyle w:val="nTable"/>
              <w:spacing w:after="40"/>
              <w:rPr>
                <w:sz w:val="19"/>
              </w:rPr>
            </w:pPr>
            <w:r>
              <w:rPr>
                <w:sz w:val="19"/>
              </w:rPr>
              <w:t>1 Aug 1990 p. 3656</w:t>
            </w:r>
          </w:p>
        </w:tc>
        <w:tc>
          <w:tcPr>
            <w:tcW w:w="2693" w:type="dxa"/>
          </w:tcPr>
          <w:p>
            <w:pPr>
              <w:pStyle w:val="nTable"/>
              <w:spacing w:after="40"/>
              <w:rPr>
                <w:sz w:val="19"/>
              </w:rPr>
            </w:pPr>
            <w:r>
              <w:rPr>
                <w:sz w:val="19"/>
              </w:rPr>
              <w:t>1 Aug 1990</w:t>
            </w:r>
          </w:p>
        </w:tc>
      </w:tr>
      <w:tr>
        <w:trPr>
          <w:cantSplit/>
        </w:trPr>
        <w:tc>
          <w:tcPr>
            <w:tcW w:w="3118" w:type="dxa"/>
          </w:tcPr>
          <w:p>
            <w:pPr>
              <w:pStyle w:val="nTable"/>
              <w:spacing w:after="40"/>
              <w:ind w:right="113"/>
              <w:rPr>
                <w:sz w:val="19"/>
              </w:rPr>
            </w:pPr>
            <w:r>
              <w:rPr>
                <w:i/>
                <w:sz w:val="19"/>
              </w:rPr>
              <w:t>Weights and Measures Amendment Regulations 1991</w:t>
            </w:r>
          </w:p>
        </w:tc>
        <w:tc>
          <w:tcPr>
            <w:tcW w:w="1276" w:type="dxa"/>
          </w:tcPr>
          <w:p>
            <w:pPr>
              <w:pStyle w:val="nTable"/>
              <w:spacing w:after="40"/>
              <w:rPr>
                <w:sz w:val="19"/>
              </w:rPr>
            </w:pPr>
            <w:r>
              <w:rPr>
                <w:sz w:val="19"/>
              </w:rPr>
              <w:t>13 Dec 1991 p. 6166</w:t>
            </w:r>
            <w:r>
              <w:rPr>
                <w:sz w:val="19"/>
              </w:rPr>
              <w:noBreakHyphen/>
              <w:t>72</w:t>
            </w:r>
          </w:p>
        </w:tc>
        <w:tc>
          <w:tcPr>
            <w:tcW w:w="2693" w:type="dxa"/>
          </w:tcPr>
          <w:p>
            <w:pPr>
              <w:pStyle w:val="nTable"/>
              <w:spacing w:after="40"/>
              <w:rPr>
                <w:sz w:val="19"/>
              </w:rPr>
            </w:pPr>
            <w:r>
              <w:rPr>
                <w:sz w:val="19"/>
              </w:rPr>
              <w:t>13 Dec 1991</w:t>
            </w:r>
          </w:p>
        </w:tc>
      </w:tr>
      <w:tr>
        <w:trPr>
          <w:cantSplit/>
        </w:trPr>
        <w:tc>
          <w:tcPr>
            <w:tcW w:w="3118" w:type="dxa"/>
          </w:tcPr>
          <w:p>
            <w:pPr>
              <w:pStyle w:val="nTable"/>
              <w:spacing w:after="40"/>
              <w:ind w:right="113"/>
              <w:rPr>
                <w:sz w:val="19"/>
              </w:rPr>
            </w:pPr>
            <w:r>
              <w:rPr>
                <w:i/>
                <w:sz w:val="19"/>
              </w:rPr>
              <w:t>Weights and Measures Amendment Regulations 1992</w:t>
            </w:r>
          </w:p>
        </w:tc>
        <w:tc>
          <w:tcPr>
            <w:tcW w:w="1276" w:type="dxa"/>
          </w:tcPr>
          <w:p>
            <w:pPr>
              <w:pStyle w:val="nTable"/>
              <w:spacing w:after="40"/>
              <w:rPr>
                <w:sz w:val="19"/>
              </w:rPr>
            </w:pPr>
            <w:r>
              <w:rPr>
                <w:sz w:val="19"/>
              </w:rPr>
              <w:t>1 Sep 1992 p. 4403</w:t>
            </w:r>
            <w:r>
              <w:rPr>
                <w:sz w:val="19"/>
              </w:rPr>
              <w:noBreakHyphen/>
              <w:t>6</w:t>
            </w:r>
          </w:p>
        </w:tc>
        <w:tc>
          <w:tcPr>
            <w:tcW w:w="2693" w:type="dxa"/>
          </w:tcPr>
          <w:p>
            <w:pPr>
              <w:pStyle w:val="nTable"/>
              <w:spacing w:after="40"/>
              <w:rPr>
                <w:sz w:val="19"/>
              </w:rPr>
            </w:pPr>
            <w:r>
              <w:rPr>
                <w:sz w:val="19"/>
              </w:rPr>
              <w:t>1 Sep 1992 (see r. 2)</w:t>
            </w:r>
          </w:p>
        </w:tc>
      </w:tr>
      <w:tr>
        <w:trPr>
          <w:cantSplit/>
        </w:trPr>
        <w:tc>
          <w:tcPr>
            <w:tcW w:w="3118" w:type="dxa"/>
          </w:tcPr>
          <w:p>
            <w:pPr>
              <w:pStyle w:val="nTable"/>
              <w:spacing w:after="40"/>
              <w:ind w:right="113"/>
              <w:rPr>
                <w:sz w:val="19"/>
              </w:rPr>
            </w:pPr>
            <w:r>
              <w:rPr>
                <w:i/>
                <w:sz w:val="19"/>
              </w:rPr>
              <w:t>Weights and Measures Amendment Regulations 1995</w:t>
            </w:r>
          </w:p>
        </w:tc>
        <w:tc>
          <w:tcPr>
            <w:tcW w:w="1276" w:type="dxa"/>
          </w:tcPr>
          <w:p>
            <w:pPr>
              <w:pStyle w:val="nTable"/>
              <w:spacing w:after="40"/>
              <w:rPr>
                <w:sz w:val="19"/>
              </w:rPr>
            </w:pPr>
            <w:r>
              <w:rPr>
                <w:sz w:val="19"/>
              </w:rPr>
              <w:t>15 Aug 1995 p. 3525</w:t>
            </w:r>
            <w:r>
              <w:rPr>
                <w:sz w:val="19"/>
              </w:rPr>
              <w:noBreakHyphen/>
              <w:t>9</w:t>
            </w:r>
          </w:p>
        </w:tc>
        <w:tc>
          <w:tcPr>
            <w:tcW w:w="2693" w:type="dxa"/>
          </w:tcPr>
          <w:p>
            <w:pPr>
              <w:pStyle w:val="nTable"/>
              <w:spacing w:after="40"/>
              <w:rPr>
                <w:sz w:val="19"/>
              </w:rPr>
            </w:pPr>
            <w:r>
              <w:rPr>
                <w:sz w:val="19"/>
              </w:rPr>
              <w:t>15 Aug 1995</w:t>
            </w:r>
          </w:p>
        </w:tc>
      </w:tr>
      <w:tr>
        <w:trPr>
          <w:cantSplit/>
        </w:trPr>
        <w:tc>
          <w:tcPr>
            <w:tcW w:w="3118" w:type="dxa"/>
          </w:tcPr>
          <w:p>
            <w:pPr>
              <w:pStyle w:val="nTable"/>
              <w:spacing w:after="40"/>
              <w:ind w:right="113"/>
              <w:rPr>
                <w:sz w:val="19"/>
              </w:rPr>
            </w:pPr>
            <w:r>
              <w:rPr>
                <w:i/>
                <w:sz w:val="19"/>
              </w:rPr>
              <w:t>Weights and Measures Amendment Regulations 1996</w:t>
            </w:r>
          </w:p>
        </w:tc>
        <w:tc>
          <w:tcPr>
            <w:tcW w:w="1276" w:type="dxa"/>
          </w:tcPr>
          <w:p>
            <w:pPr>
              <w:pStyle w:val="nTable"/>
              <w:spacing w:after="40"/>
              <w:rPr>
                <w:sz w:val="19"/>
              </w:rPr>
            </w:pPr>
            <w:r>
              <w:rPr>
                <w:sz w:val="19"/>
              </w:rPr>
              <w:t>2 Jul 1996 p. 3184</w:t>
            </w:r>
            <w:r>
              <w:rPr>
                <w:sz w:val="19"/>
              </w:rPr>
              <w:noBreakHyphen/>
              <w:t>6</w:t>
            </w:r>
          </w:p>
        </w:tc>
        <w:tc>
          <w:tcPr>
            <w:tcW w:w="2693" w:type="dxa"/>
          </w:tcPr>
          <w:p>
            <w:pPr>
              <w:pStyle w:val="nTable"/>
              <w:spacing w:after="40"/>
              <w:rPr>
                <w:sz w:val="19"/>
              </w:rPr>
            </w:pPr>
            <w:r>
              <w:rPr>
                <w:sz w:val="19"/>
              </w:rPr>
              <w:t>2 Jul 1996</w:t>
            </w:r>
          </w:p>
        </w:tc>
      </w:tr>
      <w:tr>
        <w:trPr>
          <w:cantSplit/>
        </w:trPr>
        <w:tc>
          <w:tcPr>
            <w:tcW w:w="3118" w:type="dxa"/>
          </w:tcPr>
          <w:p>
            <w:pPr>
              <w:pStyle w:val="nTable"/>
              <w:spacing w:after="40"/>
              <w:ind w:right="113"/>
              <w:rPr>
                <w:sz w:val="19"/>
              </w:rPr>
            </w:pPr>
            <w:r>
              <w:rPr>
                <w:i/>
                <w:sz w:val="19"/>
              </w:rPr>
              <w:t>Miscellaneous Amendments Regulations 1997</w:t>
            </w:r>
            <w:r>
              <w:rPr>
                <w:sz w:val="19"/>
              </w:rPr>
              <w:t xml:space="preserve"> r. 2</w:t>
            </w:r>
          </w:p>
        </w:tc>
        <w:tc>
          <w:tcPr>
            <w:tcW w:w="1276" w:type="dxa"/>
          </w:tcPr>
          <w:p>
            <w:pPr>
              <w:pStyle w:val="nTable"/>
              <w:spacing w:after="40"/>
              <w:rPr>
                <w:sz w:val="19"/>
              </w:rPr>
            </w:pPr>
            <w:r>
              <w:rPr>
                <w:sz w:val="19"/>
              </w:rPr>
              <w:t>6 Jan 1998 p. 33</w:t>
            </w:r>
          </w:p>
        </w:tc>
        <w:tc>
          <w:tcPr>
            <w:tcW w:w="2693" w:type="dxa"/>
          </w:tcPr>
          <w:p>
            <w:pPr>
              <w:pStyle w:val="nTable"/>
              <w:spacing w:after="40"/>
              <w:rPr>
                <w:sz w:val="19"/>
              </w:rPr>
            </w:pPr>
            <w:r>
              <w:rPr>
                <w:sz w:val="19"/>
              </w:rPr>
              <w:t>6 Jan 1998</w:t>
            </w:r>
          </w:p>
        </w:tc>
      </w:tr>
      <w:tr>
        <w:trPr>
          <w:cantSplit/>
        </w:trPr>
        <w:tc>
          <w:tcPr>
            <w:tcW w:w="3118" w:type="dxa"/>
          </w:tcPr>
          <w:p>
            <w:pPr>
              <w:pStyle w:val="nTable"/>
              <w:spacing w:after="40"/>
              <w:ind w:right="113"/>
              <w:rPr>
                <w:i/>
                <w:sz w:val="19"/>
              </w:rPr>
            </w:pPr>
            <w:r>
              <w:rPr>
                <w:i/>
                <w:sz w:val="19"/>
              </w:rPr>
              <w:t>Weights and Measures Amendment Regulations 2000</w:t>
            </w:r>
          </w:p>
        </w:tc>
        <w:tc>
          <w:tcPr>
            <w:tcW w:w="1276" w:type="dxa"/>
          </w:tcPr>
          <w:p>
            <w:pPr>
              <w:pStyle w:val="nTable"/>
              <w:spacing w:after="40"/>
              <w:rPr>
                <w:sz w:val="19"/>
              </w:rPr>
            </w:pPr>
            <w:r>
              <w:rPr>
                <w:sz w:val="19"/>
              </w:rPr>
              <w:t>30 Jun 2000 p. 3403</w:t>
            </w:r>
            <w:r>
              <w:rPr>
                <w:sz w:val="19"/>
              </w:rPr>
              <w:noBreakHyphen/>
              <w:t>5</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Weights and Measures Amendment Regulations 2002</w:t>
            </w:r>
          </w:p>
        </w:tc>
        <w:tc>
          <w:tcPr>
            <w:tcW w:w="1276" w:type="dxa"/>
          </w:tcPr>
          <w:p>
            <w:pPr>
              <w:pStyle w:val="nTable"/>
              <w:spacing w:after="40"/>
              <w:rPr>
                <w:sz w:val="19"/>
              </w:rPr>
            </w:pPr>
            <w:r>
              <w:rPr>
                <w:sz w:val="19"/>
              </w:rPr>
              <w:t>28 Jun 2002 p. 3060</w:t>
            </w:r>
            <w:r>
              <w:rPr>
                <w:sz w:val="19"/>
              </w:rPr>
              <w:noBreakHyphen/>
              <w:t>3</w:t>
            </w:r>
          </w:p>
        </w:tc>
        <w:tc>
          <w:tcPr>
            <w:tcW w:w="2693" w:type="dxa"/>
          </w:tcPr>
          <w:p>
            <w:pPr>
              <w:pStyle w:val="nTable"/>
              <w:spacing w:after="40"/>
              <w:rPr>
                <w:sz w:val="19"/>
              </w:rPr>
            </w:pPr>
            <w:r>
              <w:rPr>
                <w:sz w:val="19"/>
              </w:rPr>
              <w:t>1 Jul 2002 (see r. 2)</w:t>
            </w:r>
          </w:p>
        </w:tc>
      </w:tr>
      <w:tr>
        <w:trPr>
          <w:cantSplit/>
        </w:trPr>
        <w:tc>
          <w:tcPr>
            <w:tcW w:w="7087" w:type="dxa"/>
            <w:gridSpan w:val="3"/>
          </w:tcPr>
          <w:p>
            <w:pPr>
              <w:pStyle w:val="nTable"/>
              <w:spacing w:after="40"/>
              <w:rPr>
                <w:sz w:val="19"/>
              </w:rPr>
            </w:pPr>
            <w:r>
              <w:rPr>
                <w:b/>
                <w:sz w:val="19"/>
              </w:rPr>
              <w:t xml:space="preserve">Reprint of the </w:t>
            </w:r>
            <w:r>
              <w:rPr>
                <w:b/>
                <w:i/>
                <w:sz w:val="19"/>
              </w:rPr>
              <w:t>Weights and Measures Regulations 1927</w:t>
            </w:r>
            <w:r>
              <w:rPr>
                <w:b/>
                <w:sz w:val="19"/>
              </w:rPr>
              <w:t xml:space="preserve"> as at 4 Oct 2002</w:t>
            </w:r>
            <w:r>
              <w:rPr>
                <w:sz w:val="19"/>
              </w:rPr>
              <w:t xml:space="preserve"> (Correction in </w:t>
            </w:r>
            <w:r>
              <w:rPr>
                <w:i/>
                <w:sz w:val="19"/>
              </w:rPr>
              <w:t>Gazette</w:t>
            </w:r>
            <w:r>
              <w:rPr>
                <w:sz w:val="19"/>
              </w:rPr>
              <w:t xml:space="preserve"> 1 Nov 2002 p. 5369) (includes amendments listed above)</w:t>
            </w:r>
          </w:p>
        </w:tc>
      </w:tr>
      <w:tr>
        <w:trPr>
          <w:cantSplit/>
        </w:trPr>
        <w:tc>
          <w:tcPr>
            <w:tcW w:w="3118" w:type="dxa"/>
          </w:tcPr>
          <w:p>
            <w:pPr>
              <w:pStyle w:val="nTable"/>
              <w:spacing w:after="40"/>
              <w:ind w:right="113"/>
              <w:rPr>
                <w:i/>
                <w:sz w:val="19"/>
              </w:rPr>
            </w:pPr>
            <w:r>
              <w:rPr>
                <w:i/>
                <w:sz w:val="19"/>
              </w:rPr>
              <w:t>Weights and Measures Amendment Regulations 2003</w:t>
            </w:r>
          </w:p>
        </w:tc>
        <w:tc>
          <w:tcPr>
            <w:tcW w:w="1276" w:type="dxa"/>
          </w:tcPr>
          <w:p>
            <w:pPr>
              <w:pStyle w:val="nTable"/>
              <w:spacing w:after="40"/>
              <w:rPr>
                <w:sz w:val="19"/>
              </w:rPr>
            </w:pPr>
            <w:r>
              <w:rPr>
                <w:sz w:val="19"/>
              </w:rPr>
              <w:t>1 Apr 2003 p. 1003-6</w:t>
            </w:r>
          </w:p>
        </w:tc>
        <w:tc>
          <w:tcPr>
            <w:tcW w:w="2693" w:type="dxa"/>
          </w:tcPr>
          <w:p>
            <w:pPr>
              <w:pStyle w:val="nTable"/>
              <w:spacing w:after="40"/>
              <w:rPr>
                <w:sz w:val="19"/>
              </w:rPr>
            </w:pPr>
            <w:r>
              <w:rPr>
                <w:sz w:val="19"/>
              </w:rPr>
              <w:t>1 Apr 2003</w:t>
            </w:r>
          </w:p>
        </w:tc>
      </w:tr>
      <w:tr>
        <w:trPr>
          <w:cantSplit/>
        </w:trPr>
        <w:tc>
          <w:tcPr>
            <w:tcW w:w="3118" w:type="dxa"/>
          </w:tcPr>
          <w:p>
            <w:pPr>
              <w:pStyle w:val="nTable"/>
              <w:spacing w:after="40"/>
              <w:ind w:right="113"/>
              <w:rPr>
                <w:i/>
                <w:sz w:val="19"/>
              </w:rPr>
            </w:pPr>
            <w:r>
              <w:rPr>
                <w:i/>
                <w:sz w:val="19"/>
              </w:rPr>
              <w:t>Weights and Measures Amendment Regulations (No. 2) 2003</w:t>
            </w:r>
          </w:p>
        </w:tc>
        <w:tc>
          <w:tcPr>
            <w:tcW w:w="1276" w:type="dxa"/>
          </w:tcPr>
          <w:p>
            <w:pPr>
              <w:pStyle w:val="nTable"/>
              <w:spacing w:after="40"/>
              <w:rPr>
                <w:sz w:val="19"/>
              </w:rPr>
            </w:pPr>
            <w:r>
              <w:rPr>
                <w:sz w:val="19"/>
              </w:rPr>
              <w:t>27 Jun 2003 p. 2557-60</w:t>
            </w:r>
          </w:p>
        </w:tc>
        <w:tc>
          <w:tcPr>
            <w:tcW w:w="2693" w:type="dxa"/>
          </w:tcPr>
          <w:p>
            <w:pPr>
              <w:pStyle w:val="nTable"/>
              <w:spacing w:after="40"/>
              <w:rPr>
                <w:sz w:val="19"/>
              </w:rPr>
            </w:pPr>
            <w:r>
              <w:rPr>
                <w:sz w:val="19"/>
              </w:rPr>
              <w:t>1 Jul 2003 (see r. 2)</w:t>
            </w:r>
          </w:p>
        </w:tc>
      </w:tr>
      <w:tr>
        <w:trPr>
          <w:cantSplit/>
        </w:trPr>
        <w:tc>
          <w:tcPr>
            <w:tcW w:w="3118" w:type="dxa"/>
          </w:tcPr>
          <w:p>
            <w:pPr>
              <w:pStyle w:val="nTable"/>
              <w:spacing w:after="40"/>
              <w:ind w:right="113"/>
              <w:rPr>
                <w:i/>
                <w:sz w:val="19"/>
              </w:rPr>
            </w:pPr>
            <w:r>
              <w:rPr>
                <w:i/>
                <w:sz w:val="19"/>
              </w:rPr>
              <w:t>Weights and Measures Amendment Regulations 2004</w:t>
            </w:r>
          </w:p>
        </w:tc>
        <w:tc>
          <w:tcPr>
            <w:tcW w:w="1276" w:type="dxa"/>
          </w:tcPr>
          <w:p>
            <w:pPr>
              <w:pStyle w:val="nTable"/>
              <w:spacing w:after="40"/>
              <w:rPr>
                <w:sz w:val="19"/>
              </w:rPr>
            </w:pPr>
            <w:r>
              <w:rPr>
                <w:sz w:val="19"/>
              </w:rPr>
              <w:t>29 Jun 2004 p. 2513-16</w:t>
            </w:r>
          </w:p>
        </w:tc>
        <w:tc>
          <w:tcPr>
            <w:tcW w:w="2693" w:type="dxa"/>
          </w:tcPr>
          <w:p>
            <w:pPr>
              <w:pStyle w:val="nTable"/>
              <w:spacing w:after="40"/>
              <w:rPr>
                <w:sz w:val="19"/>
              </w:rPr>
            </w:pPr>
            <w:r>
              <w:rPr>
                <w:sz w:val="19"/>
              </w:rPr>
              <w:t>1 Jul 2004 (see r. 2)</w:t>
            </w:r>
          </w:p>
        </w:tc>
      </w:tr>
      <w:tr>
        <w:trPr>
          <w:cantSplit/>
        </w:trPr>
        <w:tc>
          <w:tcPr>
            <w:tcW w:w="3118" w:type="dxa"/>
          </w:tcPr>
          <w:p>
            <w:pPr>
              <w:pStyle w:val="nTable"/>
              <w:spacing w:after="40"/>
              <w:ind w:right="113"/>
              <w:rPr>
                <w:i/>
                <w:sz w:val="19"/>
              </w:rPr>
            </w:pPr>
            <w:r>
              <w:rPr>
                <w:i/>
                <w:sz w:val="19"/>
              </w:rPr>
              <w:t>Weights and Measures Amendment Regulations 2005</w:t>
            </w:r>
          </w:p>
        </w:tc>
        <w:tc>
          <w:tcPr>
            <w:tcW w:w="1276" w:type="dxa"/>
          </w:tcPr>
          <w:p>
            <w:pPr>
              <w:pStyle w:val="nTable"/>
              <w:spacing w:after="40"/>
              <w:rPr>
                <w:sz w:val="19"/>
              </w:rPr>
            </w:pPr>
            <w:r>
              <w:rPr>
                <w:sz w:val="19"/>
              </w:rPr>
              <w:t>28 Jun 2005 p. 2895-8</w:t>
            </w:r>
          </w:p>
        </w:tc>
        <w:tc>
          <w:tcPr>
            <w:tcW w:w="2693" w:type="dxa"/>
          </w:tcPr>
          <w:p>
            <w:pPr>
              <w:pStyle w:val="nTable"/>
              <w:spacing w:after="40"/>
              <w:rPr>
                <w:sz w:val="19"/>
              </w:rPr>
            </w:pPr>
            <w:r>
              <w:rPr>
                <w:sz w:val="19"/>
              </w:rPr>
              <w:t>1 Jul 2005 (see r. 2)</w:t>
            </w:r>
          </w:p>
        </w:tc>
      </w:tr>
      <w:tr>
        <w:trPr>
          <w:cantSplit/>
        </w:trPr>
        <w:tc>
          <w:tcPr>
            <w:tcW w:w="3118" w:type="dxa"/>
            <w:tcBorders>
              <w:bottom w:val="single" w:sz="8" w:space="0" w:color="auto"/>
            </w:tcBorders>
          </w:tcPr>
          <w:p>
            <w:pPr>
              <w:pStyle w:val="nTable"/>
              <w:spacing w:after="40"/>
              <w:ind w:right="113"/>
              <w:rPr>
                <w:i/>
                <w:sz w:val="19"/>
              </w:rPr>
            </w:pPr>
            <w:r>
              <w:rPr>
                <w:i/>
                <w:sz w:val="19"/>
              </w:rPr>
              <w:t>Weights and Measures Amendment Regulations 2006</w:t>
            </w:r>
          </w:p>
        </w:tc>
        <w:tc>
          <w:tcPr>
            <w:tcW w:w="1276" w:type="dxa"/>
            <w:tcBorders>
              <w:bottom w:val="single" w:sz="8" w:space="0" w:color="auto"/>
            </w:tcBorders>
          </w:tcPr>
          <w:p>
            <w:pPr>
              <w:pStyle w:val="nTable"/>
              <w:spacing w:after="40"/>
              <w:rPr>
                <w:sz w:val="19"/>
              </w:rPr>
            </w:pPr>
            <w:r>
              <w:rPr>
                <w:sz w:val="19"/>
              </w:rPr>
              <w:t>27 Jun 2006 p. 2261-4</w:t>
            </w:r>
          </w:p>
        </w:tc>
        <w:tc>
          <w:tcPr>
            <w:tcW w:w="2693" w:type="dxa"/>
            <w:tcBorders>
              <w:bottom w:val="single" w:sz="8" w:space="0" w:color="auto"/>
            </w:tcBorders>
          </w:tcPr>
          <w:p>
            <w:pPr>
              <w:pStyle w:val="nTable"/>
              <w:spacing w:after="40"/>
              <w:rPr>
                <w:sz w:val="19"/>
              </w:rPr>
            </w:pPr>
            <w:r>
              <w:rPr>
                <w:sz w:val="19"/>
              </w:rPr>
              <w:t>1 Jul 2006 (see r. 2)</w:t>
            </w:r>
          </w:p>
        </w:tc>
      </w:tr>
    </w:tbl>
    <w:p>
      <w:pPr>
        <w:pStyle w:val="nSubsection"/>
      </w:pPr>
      <w:r>
        <w:rPr>
          <w:vertAlign w:val="superscript"/>
        </w:rPr>
        <w:t>2</w:t>
      </w:r>
      <w:r>
        <w:tab/>
        <w:t>The Weights and Measures Office no longer exists.</w:t>
      </w:r>
    </w:p>
    <w:p>
      <w:pPr>
        <w:pStyle w:val="nSubsection"/>
      </w:pPr>
      <w:r>
        <w:rPr>
          <w:vertAlign w:val="superscript"/>
        </w:rPr>
        <w:t>3</w:t>
      </w:r>
      <w:r>
        <w:tab/>
        <w:t>Currently the Department of Consumer and Employment Protection.</w:t>
      </w:r>
    </w:p>
    <w:p/>
    <w:p>
      <w:pPr>
        <w:sectPr>
          <w:headerReference w:type="even" r:id="rId32"/>
          <w:headerReference w:type="default" r:id="rId33"/>
          <w:headerReference w:type="first" r:id="rId34"/>
          <w:pgSz w:w="11906" w:h="16838" w:code="9"/>
          <w:pgMar w:top="2381" w:right="2409" w:bottom="3543" w:left="2409" w:header="720" w:footer="3380" w:gutter="0"/>
          <w:cols w:space="720"/>
          <w:noEndnote/>
          <w:docGrid w:linePitch="326"/>
        </w:sectPr>
      </w:pPr>
    </w:p>
    <w:p/>
    <w:sectPr>
      <w:headerReference w:type="even" r:id="rId35"/>
      <w:headerReference w:type="default" r:id="rId36"/>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01-e0-04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2006</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01-e0-04</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01-e0-04</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01-e0-04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2006</w:t>
    </w:r>
    <w:r>
      <w:rPr>
        <w:rFonts w:ascii="Arial" w:hAnsi="Arial" w:cs="Arial"/>
        <w:sz w:val="20"/>
      </w:rPr>
      <w:fldChar w:fldCharType="end"/>
    </w:r>
  </w:p>
  <w:p>
    <w:pPr>
      <w:rPr>
        <w:i/>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01-e0-04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i/>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01-e0-04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01-e0-04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2006</w:t>
    </w:r>
    <w:r>
      <w:rPr>
        <w:rFonts w:ascii="Arial" w:hAnsi="Arial" w:cs="Arial"/>
        <w:sz w:val="20"/>
      </w:rPr>
      <w:fldChar w:fldCharType="end"/>
    </w:r>
    <w:r>
      <w:rPr>
        <w:rFonts w:ascii="Arial" w:hAnsi="Arial" w:cs="Arial"/>
        <w:sz w:val="20"/>
      </w:rPr>
      <w:t xml:space="preserve"> </w:t>
    </w:r>
  </w:p>
  <w:p>
    <w:pPr>
      <w:rPr>
        <w:i/>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01-e0-04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155</w:t>
    </w:r>
    <w:r>
      <w:rPr>
        <w:rStyle w:val="CharPageNo"/>
        <w:rFonts w:ascii="Arial" w:hAnsi="Arial"/>
      </w:rPr>
      <w:fldChar w:fldCharType="end"/>
    </w:r>
  </w:p>
  <w:p>
    <w:pPr>
      <w:rPr>
        <w:i/>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01-e0-04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Weights and Measures Regulations 1927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Weights and Measures Regulations 1927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Weights and Measures Regulations 1927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Weights and Measures Regulations 1927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Weights and Measures Regulations 1927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Weights and Measures Regulations 1927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Weights and Measures Regulations 1927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Weights and Measures Regulations 1927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Weights and Measures Regulations 1927</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Weights and Measures Regulations 1927</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39AFFB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FDC5DB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14A48A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A0C360A"/>
    <w:lvl w:ilvl="0">
      <w:start w:val="1"/>
      <w:numFmt w:val="decimal"/>
      <w:pStyle w:val="ListNumber2"/>
      <w:lvlText w:val="%1."/>
      <w:lvlJc w:val="left"/>
      <w:pPr>
        <w:tabs>
          <w:tab w:val="num" w:pos="720"/>
        </w:tabs>
        <w:ind w:left="720" w:hanging="360"/>
      </w:pPr>
    </w:lvl>
  </w:abstractNum>
  <w:abstractNum w:abstractNumId="4">
    <w:nsid w:val="FFFFFF80"/>
    <w:multiLevelType w:val="singleLevel"/>
    <w:tmpl w:val="6EAE7C1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5F6A2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9E6525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2B2875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63C2142"/>
    <w:lvl w:ilvl="0">
      <w:start w:val="1"/>
      <w:numFmt w:val="decimal"/>
      <w:pStyle w:val="ListNumber"/>
      <w:lvlText w:val="%1."/>
      <w:lvlJc w:val="left"/>
      <w:pPr>
        <w:tabs>
          <w:tab w:val="num" w:pos="360"/>
        </w:tabs>
        <w:ind w:left="360" w:hanging="360"/>
      </w:pPr>
    </w:lvl>
  </w:abstractNum>
  <w:abstractNum w:abstractNumId="9">
    <w:nsid w:val="FFFFFF89"/>
    <w:multiLevelType w:val="singleLevel"/>
    <w:tmpl w:val="507C374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E4B0E31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ACE2039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9105627"/>
    <w:docVar w:name="WAFER_20140609105617" w:val="RemoveTocBookmarks,RemoveUnusedBookmarks,RemoveLanguageTags,UsedStyles,ResetPageSize"/>
    <w:docVar w:name="WAFER_20140609105617_GUID" w:val="c4a47ba3-f96c-44fb-a1dd-c93329d72c00"/>
    <w:docVar w:name="WAFER_20140609105627" w:val="RemoveTocBookmarks,RunningHeaders"/>
    <w:docVar w:name="WAFER_20140609105627_GUID" w:val="987f7464-77d1-418c-9174-3bdf88a4f3f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1332" w:hanging="1332"/>
    </w:pPr>
    <w:rPr>
      <w:snapToGrid w:val="0"/>
      <w:sz w:val="24"/>
    </w:rPr>
  </w:style>
  <w:style w:type="paragraph" w:customStyle="1" w:styleId="Defsubpara">
    <w:name w:val="Defsubpara"/>
    <w:pPr>
      <w:keepLines/>
      <w:tabs>
        <w:tab w:val="right" w:pos="2325"/>
        <w:tab w:val="left" w:pos="2608"/>
      </w:tabs>
      <w:spacing w:before="80" w:line="260" w:lineRule="atLeast"/>
      <w:ind w:left="2608" w:hanging="2608"/>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1332" w:hanging="1332"/>
    </w:pPr>
    <w:rPr>
      <w:snapToGrid w:val="0"/>
      <w:sz w:val="24"/>
    </w:rPr>
  </w:style>
  <w:style w:type="paragraph" w:customStyle="1" w:styleId="Defsubpara">
    <w:name w:val="Defsubpara"/>
    <w:pPr>
      <w:keepLines/>
      <w:tabs>
        <w:tab w:val="right" w:pos="2325"/>
        <w:tab w:val="left" w:pos="2608"/>
      </w:tabs>
      <w:spacing w:before="80" w:line="260" w:lineRule="atLeast"/>
      <w:ind w:left="2608" w:hanging="2608"/>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oleObject" Target="embeddings/oleObject1.bin"/><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image" Target="media/image2.wmf"/><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167</Pages>
  <Words>36427</Words>
  <Characters>195981</Characters>
  <Application>Microsoft Office Word</Application>
  <DocSecurity>0</DocSecurity>
  <Lines>5938</Lines>
  <Paragraphs>3809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228599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Weights and Measures Regulations 1927 - 01-e0-04</dc:title>
  <dc:subject/>
  <dc:creator/>
  <cp:keywords/>
  <dc:description/>
  <cp:lastModifiedBy>svcMRProcess</cp:lastModifiedBy>
  <cp:revision>4</cp:revision>
  <cp:lastPrinted>2002-11-01T02:10:00Z</cp:lastPrinted>
  <dcterms:created xsi:type="dcterms:W3CDTF">2020-03-01T00:40:00Z</dcterms:created>
  <dcterms:modified xsi:type="dcterms:W3CDTF">2020-03-01T00:40:00Z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 June 1927 pp.1416-48</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4864</vt:i4>
  </property>
  <property fmtid="{D5CDD505-2E9C-101B-9397-08002B2CF9AE}" pid="6" name="AsAtDate">
    <vt:lpwstr>01 Jul 2006</vt:lpwstr>
  </property>
  <property fmtid="{D5CDD505-2E9C-101B-9397-08002B2CF9AE}" pid="7" name="Suffix">
    <vt:lpwstr>01-e0-04</vt:lpwstr>
  </property>
</Properties>
</file>