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_Toc159597332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_Toc159597333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_Toc159597334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_Toc159597335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_Toc159597337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_Toc159597338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_Toc159597339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_Toc159597340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_Toc159597341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_Toc159597342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_Toc159597343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_Toc159597345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_Toc159597346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_Toc159597347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_Toc159597348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_Toc159597349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_Toc159597351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_Toc159597352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_Toc159597353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_Toc159597354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_Toc159597355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_Toc159597358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_Toc159597360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_Toc159597361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_Toc159597362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_Toc159597363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_Toc159597364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_Toc159597365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_Toc159597366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_Toc159597368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_Toc159597369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_Toc159597370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_Toc159597371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_Toc159597372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_Toc159597373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_Toc159597374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_Toc159597375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_Toc159597376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_Toc159597377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_Toc159597378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_Toc159597379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_Toc159597381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_Toc159597382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_Toc159597383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_Toc159597384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_Toc159597385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_Toc159597386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_Toc159597388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_Toc159597389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_Toc159597390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_Toc159597391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_Toc159597392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_Toc159597393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_Toc159597395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_Toc159597396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_Toc159597398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_Toc159597399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_Toc159597400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_Toc159597402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_Toc159597403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_Toc159597404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_Toc159597405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_Toc159597406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_Toc159597408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_Toc159597409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_Toc159597410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_Toc159597411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_Toc159597412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_Toc159597413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_Toc159597414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_Toc159597415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_Toc159597416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_Toc159597418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_Toc159597419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_Toc159597420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_Toc159597422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_Toc159597423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_Toc159597424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_Toc159597425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_Toc159597426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_Toc159597427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_Toc159597428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_Toc159597429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_Toc159597430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_Toc159597431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_Toc159597432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_Toc159597433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_Toc159597434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_Toc159597435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_Toc159597437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_Toc159597438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_Toc159597439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_Toc159597440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_Toc159597441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_Toc159597442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_Toc159597443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_Toc159597444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_Toc159597445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_Toc159597446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_Toc159597447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_Toc159597448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_Toc159597449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_Toc159597451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_Toc159597452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_Toc159597453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_Toc159597454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_Toc159597457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_Toc159597459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_Toc159597460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_Toc159597462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_Toc159597463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_Toc159597464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_Toc159597465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_Toc159597466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_Toc159597468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_Toc159597469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_Toc159597470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_Toc159597471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_Toc159597472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_Toc159597473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_Toc159597475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_Toc159597476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_Toc159597477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_Toc159597478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_Toc159597479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_Toc159597480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_Toc159597481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_Toc159597483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_Toc159597484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_Toc159597485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_Toc159597486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_Toc159597487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_Toc159597488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_Toc159597489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_Toc159597490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_Toc159597491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_Toc159597492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_Toc159597493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_Toc159597494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_Toc159597495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_Toc159597496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_Toc159597497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_Toc159597499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_Toc159597500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_Toc159597501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_Toc159597502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_Toc159597504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_Toc159597505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_Toc159597506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_Toc159597507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_Toc159597508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_Toc159597509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_Toc159597511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_Toc159597512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_Toc159597513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_Toc159597514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_Toc159597515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_Toc159597516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_Toc159597517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_Toc159597519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_Toc159597520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_Toc159597521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_Toc159597523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_Toc159597524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_Toc159597525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_Toc159597526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_Toc159597527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_Toc159597528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_Toc159597529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_Toc159597530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_Toc159597531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_Toc159597533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_Toc159597534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_Toc159597535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_Toc159597536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_Toc159597537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_Toc159597538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_Toc159597539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_Toc159597540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_Toc159597541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_Toc159597542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_Toc159597543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_Toc159597544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_Toc159597546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_Toc159597547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_Toc159597548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_Toc159597549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_Toc159597550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_Toc159597551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_Toc159597552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_Toc159597553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_Toc159597554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_Toc159597555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_Toc159597556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_Toc159597557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_Toc159597558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_Toc159597559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_Toc159597560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_Toc159597562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_Toc159597563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_Toc159597564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_Toc159597567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_Toc159597568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_Toc159597569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_Toc159597570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_Toc159597571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_Toc159597572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_Toc159597573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_Toc159597575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_Toc159597576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_Toc159597577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_Toc159597578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_Toc159597579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_Toc159597580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_Toc159597581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_Toc159597582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_Toc159597583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_Toc159597584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_Toc159597585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_Toc159597587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_Toc159597588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_Toc159597589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_Toc159597590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_Toc159597594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59411160"/>
      <w:bookmarkStart w:id="3" w:name="_Toc159411755"/>
      <w:bookmarkStart w:id="4" w:name="_Toc15959733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959733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5959733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59597334"/>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159597335"/>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59411165"/>
      <w:bookmarkStart w:id="11" w:name="_Toc159411760"/>
      <w:bookmarkStart w:id="12" w:name="_Toc159597336"/>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59597337"/>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59597338"/>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59597339"/>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59597340"/>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59597341"/>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59597342"/>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59597343"/>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59411173"/>
      <w:bookmarkStart w:id="21" w:name="_Toc159411768"/>
      <w:bookmarkStart w:id="22" w:name="_Toc159597344"/>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59597345"/>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59597346"/>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59597347"/>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59597348"/>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59597349"/>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59411179"/>
      <w:bookmarkStart w:id="29" w:name="_Toc159411774"/>
      <w:bookmarkStart w:id="30" w:name="_Toc159597350"/>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59597351"/>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59597352"/>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59597353"/>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59597354"/>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59597355"/>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59411185"/>
      <w:bookmarkStart w:id="37" w:name="_Toc159411780"/>
      <w:bookmarkStart w:id="38" w:name="_Toc159597356"/>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59411186"/>
      <w:bookmarkStart w:id="40" w:name="_Toc159411781"/>
      <w:bookmarkStart w:id="41" w:name="_Toc159597357"/>
      <w:r>
        <w:rPr>
          <w:rStyle w:val="CharDivNo"/>
        </w:rPr>
        <w:t>Division 1</w:t>
      </w:r>
      <w:r>
        <w:t> — </w:t>
      </w:r>
      <w:r>
        <w:rPr>
          <w:rStyle w:val="CharDivText"/>
        </w:rPr>
        <w:t>Preliminary</w:t>
      </w:r>
      <w:bookmarkEnd w:id="39"/>
      <w:bookmarkEnd w:id="40"/>
      <w:bookmarkEnd w:id="41"/>
    </w:p>
    <w:p>
      <w:pPr>
        <w:pStyle w:val="Heading5"/>
      </w:pPr>
      <w:bookmarkStart w:id="42" w:name="_Toc159597358"/>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59411188"/>
      <w:bookmarkStart w:id="44" w:name="_Toc159411783"/>
      <w:bookmarkStart w:id="45" w:name="_Toc159597359"/>
      <w:r>
        <w:rPr>
          <w:rStyle w:val="CharDivNo"/>
        </w:rPr>
        <w:t>Division 2</w:t>
      </w:r>
      <w:r>
        <w:t> — </w:t>
      </w:r>
      <w:r>
        <w:rPr>
          <w:rStyle w:val="CharDivText"/>
        </w:rPr>
        <w:t>Identification, location and nature</w:t>
      </w:r>
      <w:bookmarkEnd w:id="43"/>
      <w:bookmarkEnd w:id="44"/>
      <w:bookmarkEnd w:id="45"/>
    </w:p>
    <w:p>
      <w:pPr>
        <w:pStyle w:val="Heading5"/>
      </w:pPr>
      <w:bookmarkStart w:id="46" w:name="_Toc159597360"/>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59597361"/>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59597362"/>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59597363"/>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59597364"/>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59597365"/>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59597366"/>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59411196"/>
      <w:bookmarkStart w:id="54" w:name="_Toc159411791"/>
      <w:bookmarkStart w:id="55" w:name="_Toc159597367"/>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59597368"/>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59597369"/>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59597370"/>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59597371"/>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59597372"/>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59597373"/>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59597374"/>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59597375"/>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59597376"/>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59597377"/>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59597378"/>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59597379"/>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59411209"/>
      <w:bookmarkStart w:id="69" w:name="_Toc159411804"/>
      <w:bookmarkStart w:id="70" w:name="_Toc159597380"/>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59597381"/>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59597382"/>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59597383"/>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59597384"/>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59597385"/>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59597386"/>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59411216"/>
      <w:bookmarkStart w:id="78" w:name="_Toc159411811"/>
      <w:bookmarkStart w:id="79" w:name="_Toc159597387"/>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59597388"/>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59597389"/>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59597390"/>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59597391"/>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59597392"/>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59597393"/>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59411223"/>
      <w:bookmarkStart w:id="87" w:name="_Toc159411818"/>
      <w:bookmarkStart w:id="88" w:name="_Toc159597394"/>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59597395"/>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59597396"/>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59411226"/>
      <w:bookmarkStart w:id="92" w:name="_Toc159411821"/>
      <w:bookmarkStart w:id="93" w:name="_Toc159597397"/>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59597398"/>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59597399"/>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59597400"/>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59411230"/>
      <w:bookmarkStart w:id="98" w:name="_Toc159411825"/>
      <w:bookmarkStart w:id="99" w:name="_Toc159597401"/>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59597402"/>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59597403"/>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59597404"/>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59597405"/>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59597406"/>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59411236"/>
      <w:bookmarkStart w:id="106" w:name="_Toc159411831"/>
      <w:bookmarkStart w:id="107" w:name="_Toc159597407"/>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59597408"/>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59597409"/>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59597410"/>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59597411"/>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59597412"/>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59597413"/>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59597414"/>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59597415"/>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59597416"/>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59411246"/>
      <w:bookmarkStart w:id="118" w:name="_Toc159411841"/>
      <w:bookmarkStart w:id="119" w:name="_Toc159597417"/>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59597418"/>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59597419"/>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59597420"/>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59411250"/>
      <w:bookmarkStart w:id="124" w:name="_Toc159411845"/>
      <w:bookmarkStart w:id="125" w:name="_Toc159597421"/>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59597422"/>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59597423"/>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59597424"/>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59597425"/>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59597426"/>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59597427"/>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59597428"/>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59597429"/>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59597430"/>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59597431"/>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59597432"/>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59597433"/>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59597434"/>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59597435"/>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59411265"/>
      <w:bookmarkStart w:id="141" w:name="_Toc159411860"/>
      <w:bookmarkStart w:id="142" w:name="_Toc159597436"/>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59597437"/>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59597438"/>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59597439"/>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59597440"/>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59597441"/>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59597442"/>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49" w:name="_Toc159597443"/>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59597444"/>
      <w:r>
        <w:rPr>
          <w:rStyle w:val="CharSectno"/>
        </w:rPr>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1" w:name="_Toc159597445"/>
      <w:r>
        <w:rPr>
          <w:rStyle w:val="CharSectno"/>
        </w:rPr>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59597446"/>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59597447"/>
      <w:r>
        <w:rPr>
          <w:rStyle w:val="CharSectno"/>
        </w:rPr>
        <w:t>100</w:t>
      </w:r>
      <w:r>
        <w:t>.</w:t>
      </w:r>
      <w:r>
        <w:tab/>
        <w:t>Disclosure of remuneration and other benefits</w:t>
      </w:r>
      <w:bookmarkEnd w:id="15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59597448"/>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59597449"/>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59411279"/>
      <w:bookmarkStart w:id="157" w:name="_Toc159411874"/>
      <w:bookmarkStart w:id="158" w:name="_Toc159597450"/>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59597451"/>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59597452"/>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59597453"/>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59597454"/>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59411284"/>
      <w:bookmarkStart w:id="164" w:name="_Toc159411879"/>
      <w:bookmarkStart w:id="165" w:name="_Toc159597455"/>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59411285"/>
      <w:bookmarkStart w:id="167" w:name="_Toc159411880"/>
      <w:bookmarkStart w:id="168" w:name="_Toc159597456"/>
      <w:r>
        <w:rPr>
          <w:rStyle w:val="CharDivNo"/>
        </w:rPr>
        <w:t>Division 1</w:t>
      </w:r>
      <w:r>
        <w:t> — </w:t>
      </w:r>
      <w:r>
        <w:rPr>
          <w:rStyle w:val="CharDivText"/>
        </w:rPr>
        <w:t>Preliminary</w:t>
      </w:r>
      <w:bookmarkEnd w:id="166"/>
      <w:bookmarkEnd w:id="167"/>
      <w:bookmarkEnd w:id="168"/>
    </w:p>
    <w:p>
      <w:pPr>
        <w:pStyle w:val="Heading5"/>
      </w:pPr>
      <w:bookmarkStart w:id="169" w:name="_Toc159597457"/>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59411287"/>
      <w:bookmarkStart w:id="171" w:name="_Toc159411882"/>
      <w:bookmarkStart w:id="172" w:name="_Toc159597458"/>
      <w:r>
        <w:rPr>
          <w:rStyle w:val="CharDivNo"/>
        </w:rPr>
        <w:t>Division 2</w:t>
      </w:r>
      <w:r>
        <w:t> — </w:t>
      </w:r>
      <w:r>
        <w:rPr>
          <w:rStyle w:val="CharDivText"/>
        </w:rPr>
        <w:t>Outline proposal</w:t>
      </w:r>
      <w:bookmarkEnd w:id="170"/>
      <w:bookmarkEnd w:id="171"/>
      <w:bookmarkEnd w:id="172"/>
    </w:p>
    <w:p>
      <w:pPr>
        <w:pStyle w:val="Heading5"/>
      </w:pPr>
      <w:bookmarkStart w:id="173" w:name="_Toc159597459"/>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59597460"/>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59411290"/>
      <w:bookmarkStart w:id="176" w:name="_Toc159411885"/>
      <w:bookmarkStart w:id="177" w:name="_Toc159597461"/>
      <w:r>
        <w:rPr>
          <w:rStyle w:val="CharDivNo"/>
        </w:rPr>
        <w:t>Division 3</w:t>
      </w:r>
      <w:r>
        <w:t> — </w:t>
      </w:r>
      <w:r>
        <w:rPr>
          <w:rStyle w:val="CharDivText"/>
        </w:rPr>
        <w:t>Independent advocate</w:t>
      </w:r>
      <w:bookmarkEnd w:id="175"/>
      <w:bookmarkEnd w:id="176"/>
      <w:bookmarkEnd w:id="177"/>
    </w:p>
    <w:p>
      <w:pPr>
        <w:pStyle w:val="Heading5"/>
      </w:pPr>
      <w:bookmarkStart w:id="178" w:name="_Toc159597462"/>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59597463"/>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59597464"/>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59597465"/>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59597466"/>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59411296"/>
      <w:bookmarkStart w:id="184" w:name="_Toc159411891"/>
      <w:bookmarkStart w:id="185" w:name="_Toc159597467"/>
      <w:r>
        <w:rPr>
          <w:rStyle w:val="CharDivNo"/>
        </w:rPr>
        <w:t>Division 4</w:t>
      </w:r>
      <w:r>
        <w:t> — </w:t>
      </w:r>
      <w:r>
        <w:rPr>
          <w:rStyle w:val="CharDivText"/>
        </w:rPr>
        <w:t>Full proposal</w:t>
      </w:r>
      <w:bookmarkEnd w:id="183"/>
      <w:bookmarkEnd w:id="184"/>
      <w:bookmarkEnd w:id="185"/>
    </w:p>
    <w:p>
      <w:pPr>
        <w:pStyle w:val="Heading5"/>
      </w:pPr>
      <w:bookmarkStart w:id="186" w:name="_Toc159597468"/>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59597469"/>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59597470"/>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59597471"/>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59597472"/>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59597473"/>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59411303"/>
      <w:bookmarkStart w:id="193" w:name="_Toc159411898"/>
      <w:bookmarkStart w:id="194" w:name="_Toc159597474"/>
      <w:r>
        <w:rPr>
          <w:rStyle w:val="CharDivNo"/>
        </w:rPr>
        <w:t>Division 5</w:t>
      </w:r>
      <w:r>
        <w:t> — </w:t>
      </w:r>
      <w:r>
        <w:rPr>
          <w:rStyle w:val="CharDivText"/>
        </w:rPr>
        <w:t>Voting, confirmation and withdrawal</w:t>
      </w:r>
      <w:bookmarkEnd w:id="192"/>
      <w:bookmarkEnd w:id="193"/>
      <w:bookmarkEnd w:id="194"/>
    </w:p>
    <w:p>
      <w:pPr>
        <w:pStyle w:val="Heading5"/>
      </w:pPr>
      <w:bookmarkStart w:id="195" w:name="_Toc159597475"/>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59597476"/>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59597477"/>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59597478"/>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59597479"/>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59597480"/>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59597481"/>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59411311"/>
      <w:bookmarkStart w:id="203" w:name="_Toc159411906"/>
      <w:bookmarkStart w:id="204" w:name="_Toc159597482"/>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59597483"/>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59597484"/>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59597485"/>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59597486"/>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59597487"/>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59597488"/>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59597489"/>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59597490"/>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59597491"/>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59597492"/>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59597493"/>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59597494"/>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59597495"/>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59597496"/>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59597497"/>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59411327"/>
      <w:bookmarkStart w:id="221" w:name="_Toc159411922"/>
      <w:bookmarkStart w:id="222" w:name="_Toc159597498"/>
      <w:r>
        <w:rPr>
          <w:rStyle w:val="CharDivNo"/>
        </w:rPr>
        <w:t>Division 7</w:t>
      </w:r>
      <w:r>
        <w:t> — </w:t>
      </w:r>
      <w:r>
        <w:rPr>
          <w:rStyle w:val="CharDivText"/>
        </w:rPr>
        <w:t>Vulnerable persons</w:t>
      </w:r>
      <w:bookmarkEnd w:id="220"/>
      <w:bookmarkEnd w:id="221"/>
      <w:bookmarkEnd w:id="222"/>
    </w:p>
    <w:p>
      <w:pPr>
        <w:pStyle w:val="Heading5"/>
      </w:pPr>
      <w:bookmarkStart w:id="223" w:name="_Toc159597499"/>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59597500"/>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59597501"/>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59597502"/>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59411332"/>
      <w:bookmarkStart w:id="228" w:name="_Toc159411927"/>
      <w:bookmarkStart w:id="229" w:name="_Toc159597503"/>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59597504"/>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59597505"/>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59597506"/>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59597507"/>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59597508"/>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59597509"/>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59411339"/>
      <w:bookmarkStart w:id="237" w:name="_Toc159411934"/>
      <w:bookmarkStart w:id="238" w:name="_Toc159597510"/>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59597511"/>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59597512"/>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59597513"/>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59597514"/>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59597515"/>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59597516"/>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59597517"/>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59411347"/>
      <w:bookmarkStart w:id="247" w:name="_Toc159411942"/>
      <w:bookmarkStart w:id="248" w:name="_Toc159597518"/>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59597519"/>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59597520"/>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59597521"/>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59411351"/>
      <w:bookmarkStart w:id="253" w:name="_Toc159411946"/>
      <w:bookmarkStart w:id="254" w:name="_Toc159597522"/>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59597523"/>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59597524"/>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59597525"/>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59597526"/>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59597527"/>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59597528"/>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59597529"/>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59597530"/>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59597531"/>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59411361"/>
      <w:bookmarkStart w:id="265" w:name="_Toc159411956"/>
      <w:bookmarkStart w:id="266" w:name="_Toc159597532"/>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59597533"/>
      <w:r>
        <w:rPr>
          <w:rStyle w:val="CharSectno"/>
        </w:rPr>
        <w:t>172</w:t>
      </w:r>
      <w:r>
        <w:t>.</w:t>
      </w:r>
      <w:r>
        <w:tab/>
        <w:t>Terms used</w:t>
      </w:r>
      <w:bookmarkEnd w:id="267"/>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8" w:name="_Toc159597534"/>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59597535"/>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59597536"/>
      <w:r>
        <w:rPr>
          <w:rStyle w:val="CharSectno"/>
        </w:rPr>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59597537"/>
      <w:r>
        <w:rPr>
          <w:rStyle w:val="CharSectno"/>
        </w:rPr>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72" w:name="_Toc159597538"/>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59597539"/>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59597540"/>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59597541"/>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59597542"/>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59597543"/>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159597544"/>
      <w:r>
        <w:rPr>
          <w:rStyle w:val="CharSectno"/>
        </w:rPr>
        <w:t>183</w:t>
      </w:r>
      <w:r>
        <w:t>.</w:t>
      </w:r>
      <w:r>
        <w:tab/>
        <w:t>Phasing</w:t>
      </w:r>
      <w:r>
        <w:noBreakHyphen/>
        <w:t>in of professional indemnity insurance requirements</w:t>
      </w:r>
      <w:bookmarkEnd w:id="278"/>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9" w:name="_Toc159411374"/>
      <w:bookmarkStart w:id="280" w:name="_Toc159411969"/>
      <w:bookmarkStart w:id="281" w:name="_Toc159597545"/>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79"/>
      <w:bookmarkEnd w:id="280"/>
      <w:bookmarkEnd w:id="281"/>
    </w:p>
    <w:p>
      <w:pPr>
        <w:pStyle w:val="yHeading5"/>
      </w:pPr>
      <w:bookmarkStart w:id="282" w:name="_Toc159597546"/>
      <w:r>
        <w:rPr>
          <w:rStyle w:val="CharSClsNo"/>
        </w:rPr>
        <w:t>1</w:t>
      </w:r>
      <w:r>
        <w:t>.</w:t>
      </w:r>
      <w:r>
        <w:tab/>
        <w:t>Term used: Schedule 2A</w:t>
      </w:r>
      <w:bookmarkEnd w:id="282"/>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3" w:name="_Toc159597547"/>
      <w:r>
        <w:rPr>
          <w:rStyle w:val="CharSClsNo"/>
        </w:rPr>
        <w:t>2</w:t>
      </w:r>
      <w:r>
        <w:t>.</w:t>
      </w:r>
      <w:r>
        <w:tab/>
        <w:t>Application of Schedule</w:t>
      </w:r>
      <w:bookmarkEnd w:id="283"/>
    </w:p>
    <w:p>
      <w:pPr>
        <w:pStyle w:val="ySubsection"/>
      </w:pPr>
      <w:r>
        <w:tab/>
      </w:r>
      <w:r>
        <w:tab/>
        <w:t>This Schedule prescribes matters for the purposes of Schedule 2A.</w:t>
      </w:r>
    </w:p>
    <w:p>
      <w:pPr>
        <w:pStyle w:val="yHeading5"/>
      </w:pPr>
      <w:bookmarkStart w:id="284" w:name="_Toc159597548"/>
      <w:r>
        <w:rPr>
          <w:rStyle w:val="CharSClsNo"/>
        </w:rPr>
        <w:t>3</w:t>
      </w:r>
      <w:r>
        <w:t>.</w:t>
      </w:r>
      <w:r>
        <w:tab/>
        <w:t>Permitted boundary deviation</w:t>
      </w:r>
      <w:bookmarkEnd w:id="284"/>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5" w:name="_Toc159597549"/>
      <w:r>
        <w:rPr>
          <w:rStyle w:val="CharSClsNo"/>
        </w:rPr>
        <w:t>4</w:t>
      </w:r>
      <w:r>
        <w:t>.</w:t>
      </w:r>
      <w:r>
        <w:tab/>
        <w:t>Boundaries of cubic space — things that are included</w:t>
      </w:r>
      <w:bookmarkEnd w:id="285"/>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6" w:name="_Toc159597550"/>
      <w:r>
        <w:rPr>
          <w:rStyle w:val="CharSClsNo"/>
        </w:rPr>
        <w:t>5</w:t>
      </w:r>
      <w:r>
        <w:t>.</w:t>
      </w:r>
      <w:r>
        <w:tab/>
        <w:t>Boundaries of cubic space — things that are excluded</w:t>
      </w:r>
      <w:bookmarkEnd w:id="286"/>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7" w:name="_Toc159597551"/>
      <w:r>
        <w:rPr>
          <w:rStyle w:val="CharSClsNo"/>
        </w:rPr>
        <w:t>6</w:t>
      </w:r>
      <w:r>
        <w:t>.</w:t>
      </w:r>
      <w:r>
        <w:tab/>
        <w:t>Merger by resolution of buildings that are common property — sketch plan required</w:t>
      </w:r>
      <w:bookmarkEnd w:id="287"/>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8" w:name="_Toc159597552"/>
      <w:r>
        <w:rPr>
          <w:rStyle w:val="CharSClsNo"/>
        </w:rPr>
        <w:t>7</w:t>
      </w:r>
      <w:r>
        <w:t>.</w:t>
      </w:r>
      <w:r>
        <w:tab/>
        <w:t>Merger by resolution of land that is common property — requirements for sketch plan</w:t>
      </w:r>
      <w:bookmarkEnd w:id="288"/>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89" w:name="_Toc159597553"/>
      <w:r>
        <w:rPr>
          <w:rStyle w:val="CharSClsNo"/>
        </w:rPr>
        <w:t>8</w:t>
      </w:r>
      <w:r>
        <w:t>.</w:t>
      </w:r>
      <w:r>
        <w:tab/>
        <w:t>Merger by resolution of land that is common property — surveyor’s certificate</w:t>
      </w:r>
      <w:bookmarkEnd w:id="289"/>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0" w:name="_Toc159597554"/>
      <w:r>
        <w:rPr>
          <w:rStyle w:val="CharSClsNo"/>
        </w:rPr>
        <w:t>9</w:t>
      </w:r>
      <w:r>
        <w:t>.</w:t>
      </w:r>
      <w:r>
        <w:tab/>
        <w:t>Merger by resolution of land that is common property — disposition statement</w:t>
      </w:r>
      <w:bookmarkEnd w:id="290"/>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1" w:name="_Toc159597555"/>
      <w:r>
        <w:rPr>
          <w:rStyle w:val="CharSClsNo"/>
        </w:rPr>
        <w:t>10</w:t>
      </w:r>
      <w:r>
        <w:t>.</w:t>
      </w:r>
      <w:r>
        <w:tab/>
        <w:t>Conversion of strata scheme to survey</w:t>
      </w:r>
      <w:r>
        <w:noBreakHyphen/>
        <w:t>strata scheme — survey</w:t>
      </w:r>
      <w:r>
        <w:noBreakHyphen/>
        <w:t>strata plan</w:t>
      </w:r>
      <w:bookmarkEnd w:id="29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2" w:name="_Toc159597556"/>
      <w:r>
        <w:rPr>
          <w:rStyle w:val="CharSClsNo"/>
        </w:rPr>
        <w:t>11</w:t>
      </w:r>
      <w:r>
        <w:t>.</w:t>
      </w:r>
      <w:r>
        <w:tab/>
        <w:t>Conversion of strata scheme to survey</w:t>
      </w:r>
      <w:r>
        <w:noBreakHyphen/>
        <w:t>strata scheme — certificate of interest holders</w:t>
      </w:r>
      <w:bookmarkEnd w:id="292"/>
    </w:p>
    <w:p>
      <w:pPr>
        <w:pStyle w:val="ySubsection"/>
      </w:pPr>
      <w:r>
        <w:tab/>
      </w:r>
      <w:r>
        <w:tab/>
        <w:t>A certificate under Schedule 2A clause 31E(1)(e) must be in an approved form.</w:t>
      </w:r>
    </w:p>
    <w:p>
      <w:pPr>
        <w:pStyle w:val="yHeading5"/>
      </w:pPr>
      <w:bookmarkStart w:id="293" w:name="_Toc159597557"/>
      <w:r>
        <w:rPr>
          <w:rStyle w:val="CharSClsNo"/>
        </w:rPr>
        <w:t>12</w:t>
      </w:r>
      <w:r>
        <w:t>.</w:t>
      </w:r>
      <w:r>
        <w:tab/>
        <w:t>Conversion of strata scheme to survey</w:t>
      </w:r>
      <w:r>
        <w:noBreakHyphen/>
        <w:t>strata scheme — certificate of licensed surveyor</w:t>
      </w:r>
      <w:bookmarkEnd w:id="293"/>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4" w:name="_Toc159597558"/>
      <w:r>
        <w:rPr>
          <w:rStyle w:val="CharSClsNo"/>
        </w:rPr>
        <w:t>13</w:t>
      </w:r>
      <w:r>
        <w:t>.</w:t>
      </w:r>
      <w:r>
        <w:tab/>
        <w:t>Conversion of strata scheme to survey</w:t>
      </w:r>
      <w:r>
        <w:noBreakHyphen/>
        <w:t>strata scheme — disposition statement</w:t>
      </w:r>
      <w:bookmarkEnd w:id="294"/>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5" w:name="_Toc159597559"/>
      <w:r>
        <w:rPr>
          <w:rStyle w:val="CharSClsNo"/>
        </w:rPr>
        <w:t>14</w:t>
      </w:r>
      <w:r>
        <w:t>.</w:t>
      </w:r>
      <w:r>
        <w:tab/>
        <w:t>Action to be taken by Registrar of Titles</w:t>
      </w:r>
      <w:bookmarkEnd w:id="295"/>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6" w:name="_Toc159597560"/>
      <w:r>
        <w:rPr>
          <w:rStyle w:val="CharSClsNo"/>
        </w:rPr>
        <w:lastRenderedPageBreak/>
        <w:t>15</w:t>
      </w:r>
      <w:r>
        <w:t>.</w:t>
      </w:r>
      <w:r>
        <w:tab/>
        <w:t>Insurance</w:t>
      </w:r>
      <w:bookmarkEnd w:id="296"/>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7" w:name="_Toc159411390"/>
      <w:bookmarkStart w:id="298" w:name="_Toc159411985"/>
      <w:bookmarkStart w:id="299" w:name="_Toc159597561"/>
      <w:r>
        <w:rPr>
          <w:rStyle w:val="CharSchNo"/>
        </w:rPr>
        <w:lastRenderedPageBreak/>
        <w:t>Schedule 2</w:t>
      </w:r>
      <w:r>
        <w:rPr>
          <w:rStyle w:val="CharSDivNo"/>
        </w:rPr>
        <w:t> </w:t>
      </w:r>
      <w:r>
        <w:t>—</w:t>
      </w:r>
      <w:r>
        <w:rPr>
          <w:rStyle w:val="CharSDivText"/>
        </w:rPr>
        <w:t> </w:t>
      </w:r>
      <w:r>
        <w:rPr>
          <w:rStyle w:val="CharSchText"/>
        </w:rPr>
        <w:t>Explanation of effect of section 47</w:t>
      </w:r>
      <w:bookmarkEnd w:id="297"/>
      <w:bookmarkEnd w:id="298"/>
      <w:bookmarkEnd w:id="299"/>
    </w:p>
    <w:p>
      <w:pPr>
        <w:pStyle w:val="yShoulderClause"/>
      </w:pPr>
      <w:r>
        <w:t>[r. 57]</w:t>
      </w:r>
    </w:p>
    <w:p>
      <w:pPr>
        <w:pStyle w:val="yHeading5"/>
      </w:pPr>
      <w:bookmarkStart w:id="300" w:name="_Toc159597562"/>
      <w:r>
        <w:rPr>
          <w:rStyle w:val="CharSClsNo"/>
        </w:rPr>
        <w:t>1</w:t>
      </w:r>
      <w:r>
        <w:t>.</w:t>
      </w:r>
      <w:r>
        <w:tab/>
        <w:t>Enforcement of scheme by</w:t>
      </w:r>
      <w:r>
        <w:noBreakHyphen/>
        <w:t>laws</w:t>
      </w:r>
      <w:bookmarkEnd w:id="300"/>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1" w:name="_Toc159597563"/>
      <w:r>
        <w:rPr>
          <w:rStyle w:val="CharSClsNo"/>
        </w:rPr>
        <w:t>2</w:t>
      </w:r>
      <w:r>
        <w:t>.</w:t>
      </w:r>
      <w:r>
        <w:tab/>
        <w:t>Who can apply for enforcement of scheme by</w:t>
      </w:r>
      <w:r>
        <w:noBreakHyphen/>
        <w:t>laws</w:t>
      </w:r>
      <w:bookmarkEnd w:id="30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2" w:name="_Toc159597564"/>
      <w:r>
        <w:rPr>
          <w:rStyle w:val="CharSClsNo"/>
        </w:rPr>
        <w:t>3</w:t>
      </w:r>
      <w:r>
        <w:t>.</w:t>
      </w:r>
      <w:r>
        <w:tab/>
        <w:t>How this could affect you</w:t>
      </w:r>
      <w:bookmarkEnd w:id="302"/>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3" w:name="_Toc159411394"/>
      <w:bookmarkStart w:id="304" w:name="_Toc159411989"/>
      <w:bookmarkStart w:id="305" w:name="_Toc159597565"/>
      <w:r>
        <w:rPr>
          <w:rStyle w:val="CharSchNo"/>
        </w:rPr>
        <w:lastRenderedPageBreak/>
        <w:t>Schedule 3</w:t>
      </w:r>
      <w:r>
        <w:t> — </w:t>
      </w:r>
      <w:r>
        <w:rPr>
          <w:rStyle w:val="CharSchText"/>
        </w:rPr>
        <w:t>Provisions to be included in strata lease</w:t>
      </w:r>
      <w:bookmarkEnd w:id="303"/>
      <w:bookmarkEnd w:id="304"/>
      <w:bookmarkEnd w:id="305"/>
    </w:p>
    <w:p>
      <w:pPr>
        <w:pStyle w:val="yShoulderClause"/>
      </w:pPr>
      <w:r>
        <w:t>[r. 61, 62, 63]</w:t>
      </w:r>
    </w:p>
    <w:p>
      <w:pPr>
        <w:pStyle w:val="yHeading3"/>
      </w:pPr>
      <w:bookmarkStart w:id="306" w:name="_Toc159411395"/>
      <w:bookmarkStart w:id="307" w:name="_Toc159411990"/>
      <w:bookmarkStart w:id="308" w:name="_Toc159597566"/>
      <w:r>
        <w:rPr>
          <w:rStyle w:val="CharSDivNo"/>
        </w:rPr>
        <w:t>Division 1</w:t>
      </w:r>
      <w:r>
        <w:t> — </w:t>
      </w:r>
      <w:r>
        <w:rPr>
          <w:rStyle w:val="CharSDivText"/>
        </w:rPr>
        <w:t>General</w:t>
      </w:r>
      <w:bookmarkEnd w:id="306"/>
      <w:bookmarkEnd w:id="307"/>
      <w:bookmarkEnd w:id="308"/>
    </w:p>
    <w:p>
      <w:pPr>
        <w:pStyle w:val="yHeading5"/>
      </w:pPr>
      <w:bookmarkStart w:id="309" w:name="_Toc159597567"/>
      <w:r>
        <w:rPr>
          <w:rStyle w:val="CharSClsNo"/>
        </w:rPr>
        <w:t>1</w:t>
      </w:r>
      <w:r>
        <w:t>.</w:t>
      </w:r>
      <w:r>
        <w:tab/>
        <w:t>Preliminary</w:t>
      </w:r>
      <w:bookmarkEnd w:id="30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0" w:name="_Toc159597568"/>
      <w:r>
        <w:rPr>
          <w:rStyle w:val="CharSClsNo"/>
        </w:rPr>
        <w:t>2</w:t>
      </w:r>
      <w:r>
        <w:t>.</w:t>
      </w:r>
      <w:r>
        <w:tab/>
        <w:t>Terms used</w:t>
      </w:r>
      <w:bookmarkEnd w:id="310"/>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1" w:name="_Toc159597569"/>
      <w:r>
        <w:rPr>
          <w:rStyle w:val="CharSClsNo"/>
        </w:rPr>
        <w:t>3</w:t>
      </w:r>
      <w:r>
        <w:t>.</w:t>
      </w:r>
      <w:r>
        <w:tab/>
        <w:t>Lease of the lot</w:t>
      </w:r>
      <w:bookmarkEnd w:id="311"/>
    </w:p>
    <w:p>
      <w:pPr>
        <w:pStyle w:val="ySubsection"/>
      </w:pPr>
      <w:r>
        <w:tab/>
      </w:r>
      <w:r>
        <w:tab/>
        <w:t>The lessor leases the lot to the lessee for the term of this strata lease.</w:t>
      </w:r>
    </w:p>
    <w:p>
      <w:pPr>
        <w:pStyle w:val="yHeading5"/>
      </w:pPr>
      <w:bookmarkStart w:id="312" w:name="_Toc159597570"/>
      <w:r>
        <w:rPr>
          <w:rStyle w:val="CharSClsNo"/>
        </w:rPr>
        <w:t>4</w:t>
      </w:r>
      <w:r>
        <w:t>.</w:t>
      </w:r>
      <w:r>
        <w:tab/>
        <w:t>Term of strata lease</w:t>
      </w:r>
      <w:bookmarkEnd w:id="31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3" w:name="_Toc159597571"/>
      <w:r>
        <w:rPr>
          <w:rStyle w:val="CharSClsNo"/>
        </w:rPr>
        <w:t>5</w:t>
      </w:r>
      <w:r>
        <w:t>.</w:t>
      </w:r>
      <w:r>
        <w:tab/>
        <w:t>Covenants or conditions of strata lease</w:t>
      </w:r>
      <w:bookmarkEnd w:id="313"/>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4" w:name="_Toc159597572"/>
      <w:r>
        <w:rPr>
          <w:rStyle w:val="CharSClsNo"/>
        </w:rPr>
        <w:t>6</w:t>
      </w:r>
      <w:r>
        <w:t>.</w:t>
      </w:r>
      <w:r>
        <w:tab/>
        <w:t>Special provision for conditional tenure land</w:t>
      </w:r>
      <w:bookmarkEnd w:id="314"/>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5" w:name="_Toc159597573"/>
      <w:r>
        <w:rPr>
          <w:rStyle w:val="CharSClsNo"/>
        </w:rPr>
        <w:t>7</w:t>
      </w:r>
      <w:r>
        <w:t>.</w:t>
      </w:r>
      <w:r>
        <w:tab/>
        <w:t>Services of notices under strata lease</w:t>
      </w:r>
      <w:bookmarkEnd w:id="315"/>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6" w:name="_Toc159411403"/>
      <w:bookmarkStart w:id="317" w:name="_Toc159411998"/>
      <w:bookmarkStart w:id="318" w:name="_Toc159597574"/>
      <w:r>
        <w:rPr>
          <w:rStyle w:val="CharSDivNo"/>
        </w:rPr>
        <w:t>Division 2</w:t>
      </w:r>
      <w:r>
        <w:t> — </w:t>
      </w:r>
      <w:r>
        <w:rPr>
          <w:rStyle w:val="CharSDivText"/>
        </w:rPr>
        <w:t>Covenants or conditions</w:t>
      </w:r>
      <w:bookmarkEnd w:id="316"/>
      <w:bookmarkEnd w:id="317"/>
      <w:bookmarkEnd w:id="318"/>
      <w:r>
        <w:rPr>
          <w:rStyle w:val="CharSDivText"/>
        </w:rPr>
        <w:t xml:space="preserve"> </w:t>
      </w:r>
    </w:p>
    <w:p>
      <w:pPr>
        <w:pStyle w:val="yHeading5"/>
      </w:pPr>
      <w:bookmarkStart w:id="319" w:name="_Toc159597575"/>
      <w:r>
        <w:rPr>
          <w:rStyle w:val="CharSClsNo"/>
        </w:rPr>
        <w:t>8</w:t>
      </w:r>
      <w:r>
        <w:t>.</w:t>
      </w:r>
      <w:r>
        <w:tab/>
        <w:t>Term used: designated event</w:t>
      </w:r>
      <w:bookmarkEnd w:id="31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0" w:name="_Toc159597576"/>
      <w:r>
        <w:rPr>
          <w:rStyle w:val="CharSClsNo"/>
        </w:rPr>
        <w:t>9</w:t>
      </w:r>
      <w:r>
        <w:t>.</w:t>
      </w:r>
      <w:r>
        <w:tab/>
        <w:t>Compliance with legislation</w:t>
      </w:r>
      <w:bookmarkEnd w:id="320"/>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1" w:name="_Toc159597577"/>
      <w:r>
        <w:rPr>
          <w:rStyle w:val="CharSClsNo"/>
        </w:rPr>
        <w:t>10</w:t>
      </w:r>
      <w:r>
        <w:t>.</w:t>
      </w:r>
      <w:r>
        <w:tab/>
        <w:t>Compliance with scheme by</w:t>
      </w:r>
      <w:r>
        <w:noBreakHyphen/>
        <w:t>laws</w:t>
      </w:r>
      <w:bookmarkEnd w:id="321"/>
    </w:p>
    <w:p>
      <w:pPr>
        <w:pStyle w:val="ySubsection"/>
      </w:pPr>
      <w:r>
        <w:tab/>
      </w:r>
      <w:r>
        <w:tab/>
        <w:t>Both the lessor and the lessee must comply with the scheme by</w:t>
      </w:r>
      <w:r>
        <w:noBreakHyphen/>
        <w:t>laws for the leasehold scheme.</w:t>
      </w:r>
    </w:p>
    <w:p>
      <w:pPr>
        <w:pStyle w:val="yHeading5"/>
      </w:pPr>
      <w:bookmarkStart w:id="322" w:name="_Toc159597578"/>
      <w:r>
        <w:rPr>
          <w:rStyle w:val="CharSClsNo"/>
        </w:rPr>
        <w:t>11</w:t>
      </w:r>
      <w:r>
        <w:t>.</w:t>
      </w:r>
      <w:r>
        <w:tab/>
        <w:t>Requirement to maintain lot</w:t>
      </w:r>
      <w:bookmarkEnd w:id="32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3" w:name="_Toc159597579"/>
      <w:r>
        <w:rPr>
          <w:rStyle w:val="CharSClsNo"/>
        </w:rPr>
        <w:t>12</w:t>
      </w:r>
      <w:r>
        <w:t>.</w:t>
      </w:r>
      <w:r>
        <w:tab/>
        <w:t>Requirement to notify lessor of structural damage</w:t>
      </w:r>
      <w:bookmarkEnd w:id="323"/>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4" w:name="_Toc159597580"/>
      <w:r>
        <w:rPr>
          <w:rStyle w:val="CharSClsNo"/>
        </w:rPr>
        <w:t>13</w:t>
      </w:r>
      <w:r>
        <w:t>.</w:t>
      </w:r>
      <w:r>
        <w:tab/>
        <w:t>Payment of rates and charges</w:t>
      </w:r>
      <w:bookmarkEnd w:id="324"/>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5" w:name="_Toc159597581"/>
      <w:r>
        <w:rPr>
          <w:rStyle w:val="CharSClsNo"/>
        </w:rPr>
        <w:t>14</w:t>
      </w:r>
      <w:r>
        <w:t>.</w:t>
      </w:r>
      <w:r>
        <w:tab/>
        <w:t>Discharge of mortgages and removal of caveats</w:t>
      </w:r>
      <w:bookmarkEnd w:id="325"/>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6" w:name="_Toc159597582"/>
      <w:r>
        <w:rPr>
          <w:rStyle w:val="CharSClsNo"/>
        </w:rPr>
        <w:t>15</w:t>
      </w:r>
      <w:r>
        <w:t>.</w:t>
      </w:r>
      <w:r>
        <w:tab/>
        <w:t>Change in ownership details</w:t>
      </w:r>
      <w:bookmarkEnd w:id="326"/>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7" w:name="_Toc159597583"/>
      <w:r>
        <w:rPr>
          <w:rStyle w:val="CharSClsNo"/>
        </w:rPr>
        <w:t>16</w:t>
      </w:r>
      <w:r>
        <w:t>.</w:t>
      </w:r>
      <w:r>
        <w:tab/>
        <w:t>Lease by lessee must be consistent with strata lease</w:t>
      </w:r>
      <w:bookmarkEnd w:id="327"/>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8" w:name="_Toc159597584"/>
      <w:r>
        <w:rPr>
          <w:rStyle w:val="CharSClsNo"/>
        </w:rPr>
        <w:lastRenderedPageBreak/>
        <w:t>17</w:t>
      </w:r>
      <w:r>
        <w:t>.</w:t>
      </w:r>
      <w:r>
        <w:tab/>
        <w:t>Inspection of lot</w:t>
      </w:r>
      <w:bookmarkEnd w:id="328"/>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29" w:name="_Toc159597585"/>
      <w:r>
        <w:rPr>
          <w:rStyle w:val="CharSClsNo"/>
        </w:rPr>
        <w:t>18</w:t>
      </w:r>
      <w:r>
        <w:t>.</w:t>
      </w:r>
      <w:r>
        <w:tab/>
        <w:t>Lessee to deliver vacant possession when leasehold scheme expires</w:t>
      </w:r>
      <w:bookmarkEnd w:id="329"/>
    </w:p>
    <w:p>
      <w:pPr>
        <w:pStyle w:val="ySubsection"/>
      </w:pPr>
      <w:r>
        <w:tab/>
      </w:r>
      <w:r>
        <w:tab/>
        <w:t xml:space="preserve">The lessee must deliver vacant possession of the lot to the lessor when the leasehold scheme expires or if it is terminated. </w:t>
      </w:r>
    </w:p>
    <w:p>
      <w:pPr>
        <w:pStyle w:val="yScheduleHeading"/>
      </w:pPr>
      <w:bookmarkStart w:id="330" w:name="_Toc159411415"/>
      <w:bookmarkStart w:id="331" w:name="_Toc159412010"/>
      <w:bookmarkStart w:id="332" w:name="_Toc159597586"/>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0"/>
      <w:bookmarkEnd w:id="331"/>
      <w:bookmarkEnd w:id="332"/>
    </w:p>
    <w:p>
      <w:pPr>
        <w:pStyle w:val="yShoulderClause"/>
      </w:pPr>
      <w:r>
        <w:t>[r. 95, 97]</w:t>
      </w:r>
    </w:p>
    <w:p>
      <w:pPr>
        <w:pStyle w:val="yHeading5"/>
      </w:pPr>
      <w:bookmarkStart w:id="333" w:name="_Toc159597587"/>
      <w:r>
        <w:rPr>
          <w:rStyle w:val="CharSClsNo"/>
        </w:rPr>
        <w:t>1</w:t>
      </w:r>
      <w:r>
        <w:t>.</w:t>
      </w:r>
      <w:r>
        <w:tab/>
        <w:t>Terms used</w:t>
      </w:r>
      <w:bookmarkEnd w:id="333"/>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4" w:name="_Toc159597588"/>
      <w:r>
        <w:rPr>
          <w:rStyle w:val="CharSClsNo"/>
        </w:rPr>
        <w:t>2</w:t>
      </w:r>
      <w:r>
        <w:t>.</w:t>
      </w:r>
      <w:r>
        <w:tab/>
        <w:t>Principal of business</w:t>
      </w:r>
      <w:bookmarkEnd w:id="334"/>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5" w:name="_Toc159597589"/>
      <w:r>
        <w:rPr>
          <w:rStyle w:val="CharSClsNo"/>
        </w:rPr>
        <w:t>3</w:t>
      </w:r>
      <w:r>
        <w:t>.</w:t>
      </w:r>
      <w:r>
        <w:tab/>
        <w:t>Designated person</w:t>
      </w:r>
      <w:bookmarkEnd w:id="335"/>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6" w:name="_Toc159597590"/>
      <w:r>
        <w:rPr>
          <w:rStyle w:val="CharSClsNo"/>
        </w:rPr>
        <w:t>4</w:t>
      </w:r>
      <w:r>
        <w:t>.</w:t>
      </w:r>
      <w:r>
        <w:tab/>
        <w:t>Changes to titles of units</w:t>
      </w:r>
      <w:bookmarkEnd w:id="336"/>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7" w:name="_Toc159411420"/>
      <w:bookmarkStart w:id="338" w:name="_Toc159412015"/>
      <w:bookmarkStart w:id="339" w:name="_Toc159597591"/>
      <w:r>
        <w:rPr>
          <w:rStyle w:val="CharSchNo"/>
        </w:rPr>
        <w:lastRenderedPageBreak/>
        <w:t>Schedule 5</w:t>
      </w:r>
      <w:r>
        <w:rPr>
          <w:rStyle w:val="CharSDivNo"/>
        </w:rPr>
        <w:t> </w:t>
      </w:r>
      <w:r>
        <w:t>—</w:t>
      </w:r>
      <w:r>
        <w:rPr>
          <w:rStyle w:val="CharSDivText"/>
        </w:rPr>
        <w:t> </w:t>
      </w:r>
      <w:r>
        <w:rPr>
          <w:rStyle w:val="CharSchText"/>
        </w:rPr>
        <w:t>Fees payable to Registrar of Titles</w:t>
      </w:r>
      <w:bookmarkEnd w:id="337"/>
      <w:bookmarkEnd w:id="338"/>
      <w:bookmarkEnd w:id="33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340" w:name="_Toc159411421"/>
      <w:bookmarkStart w:id="341" w:name="_Toc159412016"/>
      <w:bookmarkStart w:id="342" w:name="_Toc159597592"/>
      <w:r>
        <w:rPr>
          <w:rStyle w:val="CharSchNo"/>
        </w:rPr>
        <w:lastRenderedPageBreak/>
        <w:t>Schedule 6</w:t>
      </w:r>
      <w:r>
        <w:rPr>
          <w:rStyle w:val="CharSDivNo"/>
        </w:rPr>
        <w:t> </w:t>
      </w:r>
      <w:r>
        <w:t>—</w:t>
      </w:r>
      <w:r>
        <w:rPr>
          <w:rStyle w:val="CharSDivText"/>
        </w:rPr>
        <w:t> </w:t>
      </w:r>
      <w:r>
        <w:rPr>
          <w:rStyle w:val="CharSchText"/>
        </w:rPr>
        <w:t>Fees payable to Planning Commission</w:t>
      </w:r>
      <w:bookmarkEnd w:id="340"/>
      <w:bookmarkEnd w:id="341"/>
      <w:bookmarkEnd w:id="34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3" w:name="_Toc159411422"/>
      <w:bookmarkStart w:id="344" w:name="_Toc159412017"/>
      <w:bookmarkStart w:id="345" w:name="_Toc159597593"/>
      <w:r>
        <w:lastRenderedPageBreak/>
        <w:t>Notes</w:t>
      </w:r>
      <w:bookmarkEnd w:id="343"/>
      <w:bookmarkEnd w:id="344"/>
      <w:bookmarkEnd w:id="345"/>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346" w:name="_Toc159597594"/>
      <w:r>
        <w:t>Compilation table</w:t>
      </w:r>
      <w:bookmarkEnd w:id="34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single" w:sz="4" w:space="0" w:color="auto"/>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single" w:sz="4" w:space="0" w:color="auto"/>
            </w:tcBorders>
            <w:shd w:val="clear" w:color="auto" w:fill="auto"/>
          </w:tcPr>
          <w:p>
            <w:pPr>
              <w:pStyle w:val="nTable"/>
              <w:spacing w:after="40"/>
            </w:pPr>
            <w:r>
              <w:t>SL 2024/18 21 Feb 2024</w:t>
            </w:r>
          </w:p>
        </w:tc>
        <w:tc>
          <w:tcPr>
            <w:tcW w:w="2693" w:type="dxa"/>
            <w:tcBorders>
              <w:top w:val="nil"/>
              <w:bottom w:val="single" w:sz="4" w:space="0" w:color="auto"/>
            </w:tcBorders>
            <w:shd w:val="clear" w:color="auto" w:fill="auto"/>
          </w:tcPr>
          <w:p>
            <w:pPr>
              <w:pStyle w:val="nTable"/>
              <w:spacing w:after="40"/>
            </w:pPr>
            <w:r>
              <w:t>1 Mar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48" w:name="_Toc159411425"/>
      <w:bookmarkStart w:id="349" w:name="_Toc159412019"/>
      <w:bookmarkStart w:id="350" w:name="_Toc159597595"/>
      <w:r>
        <w:rPr>
          <w:sz w:val="28"/>
        </w:rPr>
        <w:lastRenderedPageBreak/>
        <w:t>Defined terms</w:t>
      </w:r>
      <w:bookmarkEnd w:id="348"/>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lastRenderedPageBreak/>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564C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690B932" w14:textId="5C7E0363" w:rsidR="00EE5C78" w:rsidRDefault="001F6F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33C9">
                        <w:rPr>
                          <w:sz w:val="16"/>
                        </w:rPr>
                        <w:t>2024</w:t>
                      </w:r>
                      <w:r>
                        <w:rPr>
                          <w:sz w:val="16"/>
                        </w:rPr>
                        <w:fldChar w:fldCharType="end"/>
                      </w:r>
                      <w:r>
                        <w:rPr>
                          <w:sz w:val="16"/>
                        </w:rPr>
                        <w:t>.</w:t>
                      </w:r>
                    </w:p>
                    <w:p w14:paraId="591D8E93" w14:textId="77777777" w:rsidR="00EE5C78" w:rsidRDefault="001F6F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F38E51" w14:textId="2EC6CA80" w:rsidR="00EE5C78" w:rsidRDefault="001F6F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33C9">
                        <w:rPr>
                          <w:sz w:val="16"/>
                        </w:rPr>
                        <w:t>2024</w:t>
                      </w:r>
                      <w:r>
                        <w:rPr>
                          <w:sz w:val="16"/>
                        </w:rPr>
                        <w:fldChar w:fldCharType="end"/>
                      </w:r>
                      <w:r>
                        <w:rPr>
                          <w:sz w:val="16"/>
                        </w:rPr>
                        <w:t>.</w:t>
                      </w:r>
                    </w:p>
                    <w:p w14:paraId="63A7AF5C" w14:textId="77777777" w:rsidR="00EE5C78" w:rsidRDefault="001F6F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1" w:name="DefinedTerms"/>
    <w:bookmarkEnd w:id="35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230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43294</Words>
  <Characters>216039</Characters>
  <Application>Microsoft Office Word</Application>
  <DocSecurity>0</DocSecurity>
  <Lines>5838</Lines>
  <Paragraphs>3015</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2019 - 00-m0-00</dc:title>
  <dc:subject/>
  <dc:creator/>
  <cp:keywords/>
  <dc:description/>
  <cp:lastModifiedBy>Master Repository Process</cp:lastModifiedBy>
  <cp:revision>4</cp:revision>
  <cp:lastPrinted>2019-12-13T08:36:00Z</cp:lastPrinted>
  <dcterms:created xsi:type="dcterms:W3CDTF">2025-06-17T07:13:00Z</dcterms:created>
  <dcterms:modified xsi:type="dcterms:W3CDTF">2025-06-17T07:14:00Z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AsAtDate">
    <vt:lpwstr>01 Mar 2024</vt:lpwstr>
  </property>
  <property fmtid="{D5CDD505-2E9C-101B-9397-08002B2CF9AE}" pid="8" name="Suffix">
    <vt:lpwstr>00-m0-00</vt:lpwstr>
  </property>
  <property fmtid="{D5CDD505-2E9C-101B-9397-08002B2CF9AE}" pid="9" name="Official">
    <vt:lpwstr/>
  </property>
</Properties>
</file>