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_Toc160111562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_Toc160111563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_Toc160111564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_Toc160111565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_Toc160111566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_Toc160111567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_Toc160111568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_Toc160111569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_Toc160111570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_Toc160111571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_Toc160111572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_Toc160111573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_Toc160111574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_Toc160111575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_Toc160111576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_Toc160111577 \h </w:instrText>
      </w:r>
      <w:r>
        <w:fldChar w:fldCharType="separate"/>
      </w:r>
      <w:r>
        <w:t>11</w:t>
      </w:r>
      <w:r>
        <w:fldChar w:fldCharType="end"/>
      </w:r>
    </w:p>
    <w:p>
      <w:pPr>
        <w:pStyle w:val="TOC8"/>
        <w:rPr>
          <w:rFonts w:asciiTheme="minorHAnsi" w:eastAsiaTheme="minorEastAsia" w:hAnsiTheme="minorHAnsi" w:cstheme="minorBidi"/>
          <w:szCs w:val="22"/>
        </w:rPr>
      </w:pPr>
      <w:r>
        <w:t>10.</w:t>
      </w:r>
      <w:r>
        <w:tab/>
      </w:r>
      <w:r>
        <w:rPr>
          <w:bCs/>
        </w:rPr>
        <w:t>Schedule 1 item 8 fee</w:t>
      </w:r>
      <w:r>
        <w:tab/>
      </w:r>
      <w:r>
        <w:fldChar w:fldCharType="begin"/>
      </w:r>
      <w:r>
        <w:instrText xml:space="preserve"> PAGEREF _Toc160111578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_Toc160111579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_Toc160111580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_Toc160111585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_Toc160111586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160111562"/>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160111563"/>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160111564"/>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160111565"/>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160111566"/>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160111567"/>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8" w:name="_Toc160111568"/>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160111569"/>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0" w:name="_Toc160111570"/>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lastRenderedPageBreak/>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160111571"/>
      <w:r>
        <w:rPr>
          <w:rStyle w:val="CharSectno"/>
        </w:rPr>
        <w:lastRenderedPageBreak/>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160111572"/>
      <w:r>
        <w:rPr>
          <w:rStyle w:val="CharSectno"/>
        </w:rPr>
        <w:t>8A</w:t>
      </w:r>
      <w:r>
        <w:t>.</w:t>
      </w:r>
      <w:r>
        <w:tab/>
        <w:t>Recognition as eligible individual or eligible entity</w:t>
      </w:r>
      <w:bookmarkEnd w:id="1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w:t>
      </w:r>
      <w:r>
        <w:lastRenderedPageBreak/>
        <w:t xml:space="preserve">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160111573"/>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lastRenderedPageBreak/>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160111574"/>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160111575"/>
      <w:r>
        <w:rPr>
          <w:rStyle w:val="CharSectno"/>
        </w:rPr>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160111576"/>
      <w:r>
        <w:rPr>
          <w:rStyle w:val="CharSectno"/>
        </w:rPr>
        <w:lastRenderedPageBreak/>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160111577"/>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lastRenderedPageBreak/>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18" w:name="_Toc160111578"/>
      <w:r>
        <w:rPr>
          <w:rStyle w:val="CharSectno"/>
        </w:rPr>
        <w:t>10</w:t>
      </w:r>
      <w:r>
        <w:t>.</w:t>
      </w:r>
      <w:r>
        <w:tab/>
      </w:r>
      <w:r>
        <w:rPr>
          <w:bCs/>
        </w:rPr>
        <w:t>Schedule 1 item 8 fee</w:t>
      </w:r>
      <w:bookmarkEnd w:id="18"/>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19" w:name="_Toc160111579"/>
      <w:r>
        <w:rPr>
          <w:rStyle w:val="CharSectno"/>
        </w:rPr>
        <w:lastRenderedPageBreak/>
        <w:t>11</w:t>
      </w:r>
      <w:r>
        <w:t>.</w:t>
      </w:r>
      <w:r>
        <w:tab/>
        <w:t>Recovery of unpaid fees</w:t>
      </w:r>
      <w:bookmarkEnd w:id="1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0" w:name="_Toc160111580"/>
      <w:r>
        <w:rPr>
          <w:rStyle w:val="CharSectno"/>
        </w:rPr>
        <w:t>11A</w:t>
      </w:r>
      <w:r>
        <w:t>.</w:t>
      </w:r>
      <w:r>
        <w:tab/>
        <w:t>Searchable information</w:t>
      </w:r>
      <w:bookmarkEnd w:id="2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 xml:space="preserve">If suitable facilities exist at the Court to enable searchable information to be provided by email, then the information must </w:t>
      </w:r>
      <w:r>
        <w:rPr>
          <w:rFonts w:eastAsia="MS Mincho"/>
        </w:rPr>
        <w:lastRenderedPageBreak/>
        <w:t>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1" w:name="_Toc160105884"/>
      <w:bookmarkStart w:id="22" w:name="_Toc160107407"/>
      <w:bookmarkStart w:id="23" w:name="_Toc160111581"/>
      <w:r>
        <w:rPr>
          <w:rStyle w:val="CharSchNo"/>
        </w:rPr>
        <w:lastRenderedPageBreak/>
        <w:t>Schedule 1</w:t>
      </w:r>
      <w:r>
        <w:t> — </w:t>
      </w:r>
      <w:r>
        <w:rPr>
          <w:rStyle w:val="CharSchText"/>
        </w:rPr>
        <w:t>Registry fees</w:t>
      </w:r>
      <w:bookmarkEnd w:id="21"/>
      <w:bookmarkEnd w:id="22"/>
      <w:bookmarkEnd w:id="23"/>
    </w:p>
    <w:p>
      <w:pPr>
        <w:pStyle w:val="yShoulderClause"/>
      </w:pPr>
      <w:r>
        <w:t>[r. 4]</w:t>
      </w:r>
    </w:p>
    <w:p>
      <w:pPr>
        <w:pStyle w:val="yFootnoteheading"/>
        <w:spacing w:after="60"/>
      </w:pPr>
      <w:r>
        <w:tab/>
        <w:t>[Heading inserted: SL 2023/120 r. 18.]</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1 152.00</w:t>
            </w:r>
          </w:p>
        </w:tc>
        <w:tc>
          <w:tcPr>
            <w:tcW w:w="1276" w:type="dxa"/>
            <w:tcBorders>
              <w:top w:val="single" w:sz="4" w:space="0" w:color="auto"/>
            </w:tcBorders>
            <w:noWrap/>
            <w:vAlign w:val="bottom"/>
          </w:tcPr>
          <w:p>
            <w:pPr>
              <w:pStyle w:val="yTableNAm"/>
              <w:ind w:right="175"/>
              <w:jc w:val="right"/>
            </w:pPr>
            <w:r>
              <w:t>2 246.00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168.00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50.50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rPr>
                <w:highlight w:val="yellow"/>
              </w:rPr>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433.00</w:t>
            </w:r>
          </w:p>
        </w:tc>
        <w:tc>
          <w:tcPr>
            <w:tcW w:w="1276" w:type="dxa"/>
            <w:shd w:val="clear" w:color="auto" w:fill="auto"/>
            <w:noWrap/>
            <w:vAlign w:val="bottom"/>
          </w:tcPr>
          <w:p>
            <w:pPr>
              <w:pStyle w:val="yTableNAm"/>
              <w:tabs>
                <w:tab w:val="clear" w:pos="567"/>
              </w:tabs>
              <w:ind w:right="175"/>
              <w:jc w:val="right"/>
            </w:pPr>
            <w:r>
              <w:t>748.00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lastRenderedPageBreak/>
              <w:t>5.</w:t>
            </w:r>
          </w:p>
        </w:tc>
        <w:tc>
          <w:tcPr>
            <w:tcW w:w="2410" w:type="dxa"/>
            <w:noWrap/>
          </w:tcPr>
          <w:p>
            <w:pPr>
              <w:pStyle w:val="yTableNAm"/>
            </w:pPr>
            <w:r>
              <w:t xml:space="preserve">On </w:t>
            </w:r>
            <w:r>
              <w:rPr>
                <w:szCs w:val="18"/>
              </w:rPr>
              <w:t>filing an appeal notice —</w:t>
            </w:r>
          </w:p>
          <w:p>
            <w:pPr>
              <w:pStyle w:val="yTableNAm"/>
              <w:tabs>
                <w:tab w:val="clear" w:pos="567"/>
              </w:tabs>
              <w:ind w:left="317" w:hanging="317"/>
            </w:pPr>
            <w:r>
              <w:t>(a)</w:t>
            </w:r>
            <w:r>
              <w:tab/>
            </w:r>
            <w:r>
              <w:rPr>
                <w:szCs w:val="18"/>
              </w:rPr>
              <w:t>for a directions hearing and the first half day allocated for the hearing of the appeal</w:t>
            </w:r>
          </w:p>
        </w:tc>
        <w:tc>
          <w:tcPr>
            <w:tcW w:w="1275" w:type="dxa"/>
            <w:noWrap/>
            <w:vAlign w:val="bottom"/>
          </w:tcPr>
          <w:p>
            <w:pPr>
              <w:pStyle w:val="yTableNAm"/>
              <w:tabs>
                <w:tab w:val="clear" w:pos="567"/>
              </w:tabs>
              <w:ind w:right="175"/>
              <w:jc w:val="right"/>
            </w:pPr>
            <w:r>
              <w:t>653.00</w:t>
            </w:r>
          </w:p>
        </w:tc>
        <w:tc>
          <w:tcPr>
            <w:tcW w:w="1276" w:type="dxa"/>
            <w:noWrap/>
            <w:vAlign w:val="bottom"/>
          </w:tcPr>
          <w:p>
            <w:pPr>
              <w:pStyle w:val="yTableNAm"/>
              <w:tabs>
                <w:tab w:val="clear" w:pos="567"/>
              </w:tabs>
              <w:ind w:right="175"/>
              <w:jc w:val="right"/>
            </w:pPr>
            <w:r>
              <w:t>1 689.00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506.00</w:t>
            </w:r>
          </w:p>
        </w:tc>
        <w:tc>
          <w:tcPr>
            <w:tcW w:w="1276" w:type="dxa"/>
            <w:noWrap/>
            <w:vAlign w:val="bottom"/>
          </w:tcPr>
          <w:p>
            <w:pPr>
              <w:pStyle w:val="yTableNAm"/>
              <w:tabs>
                <w:tab w:val="clear" w:pos="567"/>
              </w:tabs>
              <w:ind w:right="175"/>
              <w:jc w:val="right"/>
            </w:pPr>
            <w:r>
              <w:t>1 315.00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lastRenderedPageBreak/>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1 152.00</w:t>
            </w:r>
          </w:p>
        </w:tc>
        <w:tc>
          <w:tcPr>
            <w:tcW w:w="1276" w:type="dxa"/>
            <w:noWrap/>
            <w:vAlign w:val="bottom"/>
          </w:tcPr>
          <w:p>
            <w:pPr>
              <w:pStyle w:val="yTableNAm"/>
              <w:tabs>
                <w:tab w:val="clear" w:pos="567"/>
              </w:tabs>
              <w:ind w:right="175"/>
              <w:jc w:val="right"/>
            </w:pPr>
            <w:r>
              <w:t>2 246.00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t>7.</w:t>
            </w:r>
          </w:p>
        </w:tc>
        <w:tc>
          <w:tcPr>
            <w:tcW w:w="2410" w:type="dxa"/>
            <w:noWrap/>
          </w:tcPr>
          <w:p>
            <w:pPr>
              <w:pStyle w:val="yTableNAm"/>
              <w:keepNext/>
            </w:pPr>
            <w:r>
              <w:t>Allocation of hearing date, for each day allocated</w:t>
            </w:r>
          </w:p>
        </w:tc>
        <w:tc>
          <w:tcPr>
            <w:tcW w:w="1275" w:type="dxa"/>
            <w:noWrap/>
            <w:vAlign w:val="bottom"/>
          </w:tcPr>
          <w:p>
            <w:pPr>
              <w:pStyle w:val="yTableNAm"/>
              <w:keepNext/>
              <w:tabs>
                <w:tab w:val="clear" w:pos="567"/>
              </w:tabs>
              <w:ind w:right="175"/>
              <w:jc w:val="right"/>
            </w:pPr>
            <w:r>
              <w:t>1 011.00</w:t>
            </w:r>
          </w:p>
        </w:tc>
        <w:tc>
          <w:tcPr>
            <w:tcW w:w="1276" w:type="dxa"/>
            <w:noWrap/>
            <w:vAlign w:val="bottom"/>
          </w:tcPr>
          <w:p>
            <w:pPr>
              <w:pStyle w:val="yTableNAm"/>
              <w:keepNext/>
              <w:tabs>
                <w:tab w:val="clear" w:pos="567"/>
              </w:tabs>
              <w:ind w:right="175"/>
              <w:jc w:val="right"/>
            </w:pPr>
            <w:r>
              <w:t>2 633.00</w:t>
            </w:r>
          </w:p>
        </w:tc>
        <w:tc>
          <w:tcPr>
            <w:tcW w:w="1275" w:type="dxa"/>
            <w:noWrap/>
            <w:vAlign w:val="bottom"/>
          </w:tcPr>
          <w:p>
            <w:pPr>
              <w:pStyle w:val="yTableNAm"/>
              <w:keepNext/>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 xml:space="preserve">See </w:t>
            </w:r>
            <w:r>
              <w:rPr>
                <w:rFonts w:ascii="Arial" w:hAnsi="Arial" w:cs="Arial"/>
                <w:sz w:val="18"/>
              </w:rPr>
              <w:t>regulation 9.</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 xml:space="preserve">Daily hearing fee before a court constituted by a </w:t>
            </w:r>
            <w:r>
              <w:rPr>
                <w:szCs w:val="16"/>
              </w:rPr>
              <w:t>judge</w:t>
            </w:r>
            <w:r>
              <w:rPr>
                <w:szCs w:val="18"/>
              </w:rPr>
              <w:t>, for each hearing day in addition to any hearing day for which a fee has been paid under item 5(b) or 7</w:t>
            </w:r>
          </w:p>
        </w:tc>
        <w:tc>
          <w:tcPr>
            <w:tcW w:w="1275" w:type="dxa"/>
            <w:noWrap/>
            <w:vAlign w:val="bottom"/>
          </w:tcPr>
          <w:p>
            <w:pPr>
              <w:pStyle w:val="yTableNAm"/>
              <w:tabs>
                <w:tab w:val="clear" w:pos="567"/>
              </w:tabs>
              <w:ind w:right="175"/>
              <w:jc w:val="right"/>
            </w:pPr>
            <w:r>
              <w:t>1 011.00</w:t>
            </w:r>
          </w:p>
        </w:tc>
        <w:tc>
          <w:tcPr>
            <w:tcW w:w="1276" w:type="dxa"/>
            <w:noWrap/>
            <w:vAlign w:val="bottom"/>
          </w:tcPr>
          <w:p>
            <w:pPr>
              <w:pStyle w:val="yTableNAm"/>
              <w:tabs>
                <w:tab w:val="clear" w:pos="567"/>
              </w:tabs>
              <w:ind w:right="175"/>
              <w:jc w:val="right"/>
            </w:pPr>
            <w:r>
              <w:t>2 633.00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If the Court allows more than 1 day for the continuation of the hearing and the hearing proceeds for more than that number of days, the fee is payable for each additional day or part day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rPr>
          <w:cantSplit/>
        </w:trPr>
        <w:tc>
          <w:tcPr>
            <w:tcW w:w="743" w:type="dxa"/>
            <w:noWrap/>
          </w:tcPr>
          <w:p>
            <w:pPr>
              <w:pStyle w:val="yTableNAm"/>
            </w:pPr>
            <w:r>
              <w:lastRenderedPageBreak/>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58.50</w:t>
            </w:r>
          </w:p>
        </w:tc>
        <w:tc>
          <w:tcPr>
            <w:tcW w:w="1276" w:type="dxa"/>
            <w:noWrap/>
            <w:vAlign w:val="bottom"/>
          </w:tcPr>
          <w:p>
            <w:pPr>
              <w:pStyle w:val="yTableNAm"/>
              <w:tabs>
                <w:tab w:val="clear" w:pos="567"/>
              </w:tabs>
              <w:ind w:right="175"/>
              <w:jc w:val="right"/>
            </w:pPr>
            <w:r>
              <w:t>58.50</w:t>
            </w:r>
          </w:p>
        </w:tc>
        <w:tc>
          <w:tcPr>
            <w:tcW w:w="1275" w:type="dxa"/>
            <w:noWrap/>
            <w:vAlign w:val="bottom"/>
          </w:tcPr>
          <w:p>
            <w:pPr>
              <w:pStyle w:val="yTableNAm"/>
              <w:tabs>
                <w:tab w:val="clear" w:pos="567"/>
              </w:tabs>
              <w:ind w:right="175"/>
              <w:jc w:val="right"/>
            </w:pPr>
            <w:r>
              <w:t>17.55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2 648.00</w:t>
            </w:r>
          </w:p>
        </w:tc>
        <w:tc>
          <w:tcPr>
            <w:tcW w:w="1276" w:type="dxa"/>
            <w:noWrap/>
            <w:vAlign w:val="bottom"/>
          </w:tcPr>
          <w:p>
            <w:pPr>
              <w:pStyle w:val="yTableNAm"/>
              <w:tabs>
                <w:tab w:val="clear" w:pos="567"/>
              </w:tabs>
              <w:ind w:right="175"/>
              <w:jc w:val="right"/>
            </w:pPr>
            <w:r>
              <w:t>2 648.00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85.50</w:t>
            </w:r>
          </w:p>
        </w:tc>
        <w:tc>
          <w:tcPr>
            <w:tcW w:w="1276" w:type="dxa"/>
            <w:noWrap/>
            <w:vAlign w:val="bottom"/>
          </w:tcPr>
          <w:p>
            <w:pPr>
              <w:pStyle w:val="yTableNAm"/>
              <w:tabs>
                <w:tab w:val="clear" w:pos="567"/>
              </w:tabs>
              <w:ind w:right="175"/>
              <w:jc w:val="right"/>
            </w:pPr>
            <w:r>
              <w:t>85.50</w:t>
            </w:r>
          </w:p>
        </w:tc>
        <w:tc>
          <w:tcPr>
            <w:tcW w:w="1275" w:type="dxa"/>
            <w:noWrap/>
            <w:vAlign w:val="bottom"/>
          </w:tcPr>
          <w:p>
            <w:pPr>
              <w:pStyle w:val="yTableNAm"/>
              <w:tabs>
                <w:tab w:val="clear" w:pos="567"/>
              </w:tabs>
              <w:ind w:right="175"/>
              <w:jc w:val="right"/>
            </w:pPr>
            <w:r>
              <w:t>25.60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129.00</w:t>
            </w:r>
          </w:p>
        </w:tc>
        <w:tc>
          <w:tcPr>
            <w:tcW w:w="1276" w:type="dxa"/>
            <w:noWrap/>
            <w:vAlign w:val="bottom"/>
          </w:tcPr>
          <w:p>
            <w:pPr>
              <w:pStyle w:val="yTableNAm"/>
              <w:tabs>
                <w:tab w:val="clear" w:pos="567"/>
              </w:tabs>
              <w:ind w:right="175"/>
              <w:jc w:val="right"/>
            </w:pPr>
            <w:r>
              <w:t>129.00</w:t>
            </w:r>
          </w:p>
        </w:tc>
        <w:tc>
          <w:tcPr>
            <w:tcW w:w="1275" w:type="dxa"/>
            <w:noWrap/>
            <w:vAlign w:val="bottom"/>
          </w:tcPr>
          <w:p>
            <w:pPr>
              <w:pStyle w:val="yTableNAm"/>
              <w:tabs>
                <w:tab w:val="clear" w:pos="567"/>
              </w:tabs>
              <w:ind w:right="175"/>
              <w:jc w:val="right"/>
            </w:pPr>
            <w:r>
              <w:t>38.70</w:t>
            </w:r>
          </w:p>
        </w:tc>
      </w:tr>
      <w:tr>
        <w:trPr>
          <w:cantSplit/>
        </w:trPr>
        <w:tc>
          <w:tcPr>
            <w:tcW w:w="743" w:type="dxa"/>
            <w:noWrap/>
          </w:tcPr>
          <w:p>
            <w:pPr>
              <w:pStyle w:val="yTableNAm"/>
            </w:pPr>
            <w:r>
              <w:lastRenderedPageBreak/>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2.45</w:t>
            </w:r>
          </w:p>
        </w:tc>
        <w:tc>
          <w:tcPr>
            <w:tcW w:w="1276" w:type="dxa"/>
            <w:noWrap/>
            <w:vAlign w:val="bottom"/>
          </w:tcPr>
          <w:p>
            <w:pPr>
              <w:pStyle w:val="yTableNAm"/>
              <w:tabs>
                <w:tab w:val="clear" w:pos="567"/>
              </w:tabs>
              <w:ind w:right="175"/>
              <w:jc w:val="right"/>
            </w:pPr>
            <w:r>
              <w:t>2.45</w:t>
            </w:r>
          </w:p>
        </w:tc>
        <w:tc>
          <w:tcPr>
            <w:tcW w:w="1275" w:type="dxa"/>
            <w:noWrap/>
            <w:vAlign w:val="bottom"/>
          </w:tcPr>
          <w:p>
            <w:pPr>
              <w:pStyle w:val="yTableNAm"/>
              <w:tabs>
                <w:tab w:val="clear" w:pos="567"/>
              </w:tabs>
              <w:ind w:right="175"/>
              <w:jc w:val="right"/>
            </w:pPr>
            <w:r>
              <w:t>0.75</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27.20</w:t>
            </w:r>
          </w:p>
        </w:tc>
        <w:tc>
          <w:tcPr>
            <w:tcW w:w="1276" w:type="dxa"/>
            <w:noWrap/>
            <w:vAlign w:val="bottom"/>
          </w:tcPr>
          <w:p>
            <w:pPr>
              <w:pStyle w:val="yTableNAm"/>
              <w:tabs>
                <w:tab w:val="clear" w:pos="567"/>
              </w:tabs>
              <w:ind w:right="175"/>
              <w:jc w:val="right"/>
            </w:pPr>
            <w:r>
              <w:t>27.20</w:t>
            </w:r>
          </w:p>
        </w:tc>
        <w:tc>
          <w:tcPr>
            <w:tcW w:w="1275" w:type="dxa"/>
            <w:noWrap/>
            <w:vAlign w:val="bottom"/>
          </w:tcPr>
          <w:p>
            <w:pPr>
              <w:pStyle w:val="yTableNAm"/>
              <w:tabs>
                <w:tab w:val="clear" w:pos="567"/>
              </w:tabs>
              <w:ind w:right="175"/>
              <w:jc w:val="right"/>
            </w:pPr>
            <w:r>
              <w:t>8.15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51.00</w:t>
            </w:r>
          </w:p>
        </w:tc>
        <w:tc>
          <w:tcPr>
            <w:tcW w:w="1276" w:type="dxa"/>
            <w:noWrap/>
            <w:vAlign w:val="bottom"/>
          </w:tcPr>
          <w:p>
            <w:pPr>
              <w:pStyle w:val="yTableNAm"/>
              <w:tabs>
                <w:tab w:val="clear" w:pos="567"/>
              </w:tabs>
              <w:ind w:right="175"/>
              <w:jc w:val="right"/>
            </w:pPr>
            <w:r>
              <w:t>51.00</w:t>
            </w:r>
          </w:p>
        </w:tc>
        <w:tc>
          <w:tcPr>
            <w:tcW w:w="1275" w:type="dxa"/>
            <w:noWrap/>
            <w:vAlign w:val="bottom"/>
          </w:tcPr>
          <w:p>
            <w:pPr>
              <w:pStyle w:val="yTableNAm"/>
              <w:tabs>
                <w:tab w:val="clear" w:pos="567"/>
              </w:tabs>
              <w:ind w:right="175"/>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s>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26.90 plus</w:t>
            </w:r>
            <w:r>
              <w:br/>
              <w:t>11.10 per page</w:t>
            </w:r>
          </w:p>
        </w:tc>
        <w:tc>
          <w:tcPr>
            <w:tcW w:w="1276" w:type="dxa"/>
            <w:noWrap/>
          </w:tcPr>
          <w:p>
            <w:pPr>
              <w:pStyle w:val="yTableNAm"/>
            </w:pPr>
            <w:r>
              <w:t>26.90 plus</w:t>
            </w:r>
            <w:r>
              <w:br/>
              <w:t>22.20 per page</w:t>
            </w:r>
          </w:p>
        </w:tc>
        <w:tc>
          <w:tcPr>
            <w:tcW w:w="1275" w:type="dxa"/>
            <w:noWrap/>
          </w:tcPr>
          <w:p>
            <w:pPr>
              <w:pStyle w:val="yTableNAm"/>
            </w:pPr>
            <w:r>
              <w:t>8.05 plus</w:t>
            </w:r>
            <w:r>
              <w:br/>
              <w:t>3.35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26.90 plus</w:t>
            </w:r>
            <w:r>
              <w:br/>
              <w:t>10.20 per page</w:t>
            </w:r>
          </w:p>
        </w:tc>
        <w:tc>
          <w:tcPr>
            <w:tcW w:w="1276" w:type="dxa"/>
            <w:noWrap/>
          </w:tcPr>
          <w:p>
            <w:pPr>
              <w:pStyle w:val="yTableNAm"/>
            </w:pPr>
            <w:r>
              <w:t>26.90 plus</w:t>
            </w:r>
            <w:r>
              <w:br/>
              <w:t>20.30 per page</w:t>
            </w:r>
          </w:p>
        </w:tc>
        <w:tc>
          <w:tcPr>
            <w:tcW w:w="1275" w:type="dxa"/>
            <w:noWrap/>
          </w:tcPr>
          <w:p>
            <w:pPr>
              <w:pStyle w:val="yTableNAm"/>
            </w:pPr>
            <w:r>
              <w:t xml:space="preserve">8.05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26.90 plus</w:t>
            </w:r>
            <w:r>
              <w:br/>
              <w:t>9.60 per page</w:t>
            </w:r>
          </w:p>
        </w:tc>
        <w:tc>
          <w:tcPr>
            <w:tcW w:w="1276" w:type="dxa"/>
            <w:noWrap/>
          </w:tcPr>
          <w:p>
            <w:pPr>
              <w:pStyle w:val="yTableNAm"/>
            </w:pPr>
            <w:r>
              <w:t>26.90 plus</w:t>
            </w:r>
            <w:r>
              <w:br/>
              <w:t>19.40 per page</w:t>
            </w:r>
          </w:p>
        </w:tc>
        <w:tc>
          <w:tcPr>
            <w:tcW w:w="1275" w:type="dxa"/>
            <w:noWrap/>
          </w:tcPr>
          <w:p>
            <w:pPr>
              <w:pStyle w:val="yTableNAm"/>
            </w:pPr>
            <w:r>
              <w:t xml:space="preserve">8.05 plus </w:t>
            </w:r>
            <w:r>
              <w:br/>
              <w:t>2.90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26.90 plus</w:t>
            </w:r>
            <w:r>
              <w:br/>
              <w:t>9.30 per page</w:t>
            </w:r>
          </w:p>
        </w:tc>
        <w:tc>
          <w:tcPr>
            <w:tcW w:w="1276" w:type="dxa"/>
            <w:noWrap/>
          </w:tcPr>
          <w:p>
            <w:pPr>
              <w:pStyle w:val="yTableNAm"/>
            </w:pPr>
            <w:r>
              <w:t>26.90 plus</w:t>
            </w:r>
            <w:r>
              <w:br/>
              <w:t>18.45 per page</w:t>
            </w:r>
          </w:p>
        </w:tc>
        <w:tc>
          <w:tcPr>
            <w:tcW w:w="1275" w:type="dxa"/>
            <w:noWrap/>
          </w:tcPr>
          <w:p>
            <w:pPr>
              <w:pStyle w:val="yTableNAm"/>
            </w:pPr>
            <w:r>
              <w:t xml:space="preserve">8.05 plus </w:t>
            </w:r>
            <w:r>
              <w:br/>
              <w:t>2.80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26.90 plus</w:t>
            </w:r>
            <w:r>
              <w:br/>
              <w:t>7.85 per page</w:t>
            </w:r>
          </w:p>
        </w:tc>
        <w:tc>
          <w:tcPr>
            <w:tcW w:w="1276" w:type="dxa"/>
            <w:noWrap/>
          </w:tcPr>
          <w:p>
            <w:pPr>
              <w:pStyle w:val="yTableNAm"/>
            </w:pPr>
            <w:r>
              <w:t>26.90 plus</w:t>
            </w:r>
            <w:r>
              <w:br/>
              <w:t>15.75 per page</w:t>
            </w:r>
          </w:p>
        </w:tc>
        <w:tc>
          <w:tcPr>
            <w:tcW w:w="1275" w:type="dxa"/>
            <w:noWrap/>
          </w:tcPr>
          <w:p>
            <w:pPr>
              <w:pStyle w:val="yTableNAm"/>
            </w:pPr>
            <w:r>
              <w:t xml:space="preserve">8.05 plus </w:t>
            </w:r>
            <w:r>
              <w:br/>
              <w:t>2.35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26.90 plus</w:t>
            </w:r>
            <w:r>
              <w:br/>
              <w:t>11.80 per page</w:t>
            </w:r>
          </w:p>
        </w:tc>
        <w:tc>
          <w:tcPr>
            <w:tcW w:w="1276" w:type="dxa"/>
            <w:noWrap/>
          </w:tcPr>
          <w:p>
            <w:pPr>
              <w:pStyle w:val="yTableNAm"/>
            </w:pPr>
            <w:r>
              <w:t>26.90 plus</w:t>
            </w:r>
            <w:r>
              <w:br/>
              <w:t>23.60 per page</w:t>
            </w:r>
          </w:p>
        </w:tc>
        <w:tc>
          <w:tcPr>
            <w:tcW w:w="1275" w:type="dxa"/>
            <w:noWrap/>
          </w:tcPr>
          <w:p>
            <w:pPr>
              <w:pStyle w:val="yTableNAm"/>
            </w:pPr>
            <w:r>
              <w:t xml:space="preserve">8.05 plus </w:t>
            </w:r>
            <w:r>
              <w:br/>
              <w:t>3.55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28.10 per copy</w:t>
            </w:r>
          </w:p>
        </w:tc>
        <w:tc>
          <w:tcPr>
            <w:tcW w:w="1276" w:type="dxa"/>
            <w:noWrap/>
          </w:tcPr>
          <w:p>
            <w:pPr>
              <w:pStyle w:val="yTableNAm"/>
            </w:pPr>
            <w:r>
              <w:t>28.10 per copy</w:t>
            </w:r>
          </w:p>
        </w:tc>
        <w:tc>
          <w:tcPr>
            <w:tcW w:w="1275" w:type="dxa"/>
            <w:noWrap/>
          </w:tcPr>
          <w:p>
            <w:pPr>
              <w:pStyle w:val="yTableNAm"/>
            </w:pPr>
            <w:r>
              <w:t>8.45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2.80 per page</w:t>
            </w:r>
          </w:p>
        </w:tc>
        <w:tc>
          <w:tcPr>
            <w:tcW w:w="1276" w:type="dxa"/>
            <w:tcBorders>
              <w:bottom w:val="single" w:sz="4" w:space="0" w:color="auto"/>
            </w:tcBorders>
            <w:noWrap/>
          </w:tcPr>
          <w:p>
            <w:pPr>
              <w:pStyle w:val="yTableNAm"/>
            </w:pPr>
            <w:r>
              <w:t>2.80 per page</w:t>
            </w:r>
          </w:p>
        </w:tc>
        <w:tc>
          <w:tcPr>
            <w:tcW w:w="1275" w:type="dxa"/>
            <w:tcBorders>
              <w:bottom w:val="single" w:sz="4" w:space="0" w:color="auto"/>
            </w:tcBorders>
            <w:noWrap/>
          </w:tcPr>
          <w:p>
            <w:pPr>
              <w:pStyle w:val="yTableNAm"/>
            </w:pPr>
            <w:r>
              <w:t>0.85 per page</w:t>
            </w:r>
          </w:p>
        </w:tc>
      </w:tr>
    </w:tbl>
    <w:p>
      <w:pPr>
        <w:pStyle w:val="yFootnotesection"/>
      </w:pPr>
      <w:r>
        <w:tab/>
        <w:t>[Schedule 1 inserted: SL 2023/120 r. 18; amended: SL 2024/32 r. 8.]</w:t>
      </w:r>
    </w:p>
    <w:p>
      <w:pPr>
        <w:pStyle w:val="yScheduleHeading"/>
      </w:pPr>
      <w:bookmarkStart w:id="24" w:name="_Toc160105885"/>
      <w:bookmarkStart w:id="25" w:name="_Toc160107408"/>
      <w:bookmarkStart w:id="26" w:name="_Toc160111582"/>
      <w:r>
        <w:rPr>
          <w:rStyle w:val="CharSchNo"/>
        </w:rPr>
        <w:lastRenderedPageBreak/>
        <w:t>Schedule 2</w:t>
      </w:r>
      <w:r>
        <w:t> — </w:t>
      </w:r>
      <w:r>
        <w:rPr>
          <w:rStyle w:val="CharSchText"/>
        </w:rPr>
        <w:t>Sheriff’s fees</w:t>
      </w:r>
      <w:bookmarkEnd w:id="24"/>
      <w:bookmarkEnd w:id="25"/>
      <w:bookmarkEnd w:id="26"/>
    </w:p>
    <w:p>
      <w:pPr>
        <w:pStyle w:val="yShoulderClause"/>
      </w:pPr>
      <w:r>
        <w:t>[r. 4]</w:t>
      </w:r>
    </w:p>
    <w:p>
      <w:pPr>
        <w:pStyle w:val="yFootnoteheading"/>
        <w:spacing w:after="60"/>
      </w:pPr>
      <w:r>
        <w:tab/>
        <w:t>[Heading inserted: SL 2023/120 r. 18.]</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185.50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184.00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48.60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103.50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2.80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97.00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313.00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pPr>
            <w:r>
              <w:t>The reasonable amount paid</w:t>
            </w:r>
          </w:p>
        </w:tc>
      </w:tr>
    </w:tbl>
    <w:p>
      <w:pPr>
        <w:pStyle w:val="yFootnotesection"/>
      </w:pPr>
      <w:r>
        <w:tab/>
        <w:t>[Schedule 2 inserted: SL 2023/120 r. 18.]</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8" w:name="_Toc160105886"/>
      <w:bookmarkStart w:id="29" w:name="_Toc160107409"/>
      <w:bookmarkStart w:id="30" w:name="_Toc160111583"/>
      <w:r>
        <w:rPr>
          <w:rStyle w:val="CharSchNo"/>
        </w:rPr>
        <w:lastRenderedPageBreak/>
        <w:t>Schedule 3</w:t>
      </w:r>
      <w:r>
        <w:t xml:space="preserve"> — </w:t>
      </w:r>
      <w:r>
        <w:rPr>
          <w:rStyle w:val="CharSchText"/>
        </w:rPr>
        <w:t>Forms</w:t>
      </w:r>
      <w:bookmarkEnd w:id="28"/>
      <w:bookmarkEnd w:id="29"/>
      <w:bookmarkEnd w:id="30"/>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1" w:name="_Toc160105887"/>
      <w:bookmarkStart w:id="32" w:name="_Toc160107410"/>
      <w:bookmarkStart w:id="33" w:name="_Toc160111584"/>
      <w:r>
        <w:lastRenderedPageBreak/>
        <w:t>Notes</w:t>
      </w:r>
      <w:bookmarkEnd w:id="31"/>
      <w:bookmarkEnd w:id="32"/>
      <w:bookmarkEnd w:id="33"/>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4" w:name="_Toc160111585"/>
      <w:r>
        <w:t>Compilation table</w:t>
      </w:r>
      <w:bookmarkEnd w:id="34"/>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District Court (Fees) Amendment Regulations 2024</w:t>
            </w:r>
          </w:p>
        </w:tc>
        <w:tc>
          <w:tcPr>
            <w:tcW w:w="1276" w:type="dxa"/>
            <w:tcBorders>
              <w:bottom w:val="single" w:sz="4" w:space="0" w:color="auto"/>
            </w:tcBorders>
            <w:shd w:val="clear" w:color="auto" w:fill="auto"/>
          </w:tcPr>
          <w:p>
            <w:pPr>
              <w:pStyle w:val="nTable"/>
              <w:spacing w:after="40"/>
            </w:pPr>
            <w:r>
              <w:t>SL 2024/32 7 Mar 2024</w:t>
            </w:r>
          </w:p>
        </w:tc>
        <w:tc>
          <w:tcPr>
            <w:tcW w:w="2637" w:type="dxa"/>
            <w:tcBorders>
              <w:bottom w:val="single" w:sz="4" w:space="0" w:color="auto"/>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bl>
    <w:p>
      <w:pPr>
        <w:pStyle w:val="nHeading3"/>
      </w:pPr>
      <w:bookmarkStart w:id="35" w:name="_Toc160111586"/>
      <w:r>
        <w:t>Other notes</w:t>
      </w:r>
      <w:bookmarkEnd w:id="35"/>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7" w:name="_Toc160105890"/>
      <w:bookmarkStart w:id="38" w:name="_Toc160107413"/>
      <w:bookmarkStart w:id="39" w:name="_Toc160111587"/>
      <w:r>
        <w:rPr>
          <w:sz w:val="28"/>
        </w:rPr>
        <w:lastRenderedPageBreak/>
        <w:t>Defined terms</w:t>
      </w:r>
      <w:bookmarkEnd w:id="37"/>
      <w:bookmarkEnd w:id="38"/>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0" w:name="DefinedTerms"/>
    <w:bookmarkEnd w:id="4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 w:name="Coversheet"/>
    <w:bookmarkEnd w:id="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9132825"/>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8051</Words>
  <Characters>39051</Characters>
  <Application>Microsoft Office Word</Application>
  <DocSecurity>0</DocSecurity>
  <Lines>1859</Lines>
  <Paragraphs>1095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2002 - 03-w0-00</dc:title>
  <dc:subject/>
  <dc:creator/>
  <cp:keywords/>
  <dc:description/>
  <cp:lastModifiedBy>Master Repository Process</cp:lastModifiedBy>
  <cp:revision>4</cp:revision>
  <cp:lastPrinted>2016-07-22T01:04:00Z</cp:lastPrinted>
  <dcterms:created xsi:type="dcterms:W3CDTF">2025-06-17T07:18:00Z</dcterms:created>
  <dcterms:modified xsi:type="dcterms:W3CDTF">2025-06-17T07:19:00Z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08 Mar 2024</vt:lpwstr>
  </property>
  <property fmtid="{D5CDD505-2E9C-101B-9397-08002B2CF9AE}" pid="8" name="Suffix">
    <vt:lpwstr>03-w0-00</vt:lpwstr>
  </property>
  <property fmtid="{D5CDD505-2E9C-101B-9397-08002B2CF9AE}" pid="9" name="Official">
    <vt:lpwstr/>
  </property>
  <property fmtid="{D5CDD505-2E9C-101B-9397-08002B2CF9AE}" pid="10" name="CommencementDate">
    <vt:lpwstr>20240308</vt:lpwstr>
  </property>
  <property fmtid="{D5CDD505-2E9C-101B-9397-08002B2CF9AE}" pid="11" name="CommencementAsAt">
    <vt:filetime>2024-03-07T16:00:00Z</vt:filetime>
  </property>
  <property fmtid="{D5CDD505-2E9C-101B-9397-08002B2CF9AE}" pid="12" name="CommencementYear">
    <vt:lpwstr>2024</vt:lpwstr>
  </property>
</Properties>
</file>