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Energy Operators (Powers)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(Powers)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_Toc160785703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_Toc160785704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_Toc160785705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this Act to other Acts, the law generally, and to certain Agreements</w:t>
      </w:r>
      <w:r>
        <w:tab/>
      </w:r>
      <w:r>
        <w:fldChar w:fldCharType="begin"/>
      </w:r>
      <w:r>
        <w:instrText xml:space="preserve"> PAGEREF _Toc160785706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Act to the Crown, government departments, and local governments</w:t>
      </w:r>
      <w:r>
        <w:tab/>
      </w:r>
      <w:r>
        <w:fldChar w:fldCharType="begin"/>
      </w:r>
      <w:r>
        <w:instrText xml:space="preserve"> PAGEREF _Toc160785707 \h </w:instrText>
      </w:r>
      <w:r>
        <w:fldChar w:fldCharType="separate"/>
      </w:r>
      <w:r>
        <w:t>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Powers of energy operators</w:t>
      </w:r>
      <w:r>
        <w:tab/>
      </w:r>
      <w:r>
        <w:fldChar w:fldCharType="begin"/>
      </w:r>
      <w:r>
        <w:instrText xml:space="preserve"> PAGEREF _Toc160785708 \h </w:instrText>
      </w:r>
      <w:r>
        <w:fldChar w:fldCharType="separate"/>
      </w:r>
      <w:r>
        <w:t>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Estates and interests in land</w:t>
      </w:r>
      <w:r>
        <w:tab/>
      </w:r>
      <w:r>
        <w:fldChar w:fldCharType="begin"/>
      </w:r>
      <w:r>
        <w:instrText xml:space="preserve"> PAGEREF _Toc160785709 \h </w:instrText>
      </w:r>
      <w:r>
        <w:fldChar w:fldCharType="separate"/>
      </w:r>
      <w:r>
        <w:t>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Partial interests in land</w:t>
      </w:r>
      <w:r>
        <w:tab/>
      </w:r>
      <w:r>
        <w:fldChar w:fldCharType="begin"/>
      </w:r>
      <w:r>
        <w:instrText xml:space="preserve"> PAGEREF _Toc160785710 \h </w:instrText>
      </w:r>
      <w:r>
        <w:fldChar w:fldCharType="separate"/>
      </w:r>
      <w:r>
        <w:t>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Conveyancing by abbreviated description</w:t>
      </w:r>
      <w:r>
        <w:tab/>
      </w:r>
      <w:r>
        <w:fldChar w:fldCharType="begin"/>
      </w:r>
      <w:r>
        <w:instrText xml:space="preserve"> PAGEREF _Toc160785711 \h </w:instrText>
      </w:r>
      <w:r>
        <w:fldChar w:fldCharType="separate"/>
      </w:r>
      <w:r>
        <w:t>10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Agreements incidental to land matters</w:t>
      </w:r>
      <w:r>
        <w:tab/>
      </w:r>
      <w:r>
        <w:fldChar w:fldCharType="begin"/>
      </w:r>
      <w:r>
        <w:instrText xml:space="preserve"> PAGEREF _Toc160785712 \h </w:instrText>
      </w:r>
      <w:r>
        <w:fldChar w:fldCharType="separate"/>
      </w:r>
      <w:r>
        <w:t>12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to dispose of land</w:t>
      </w:r>
      <w:r>
        <w:tab/>
      </w:r>
      <w:r>
        <w:fldChar w:fldCharType="begin"/>
      </w:r>
      <w:r>
        <w:instrText xml:space="preserve"> PAGEREF _Toc160785713 \h </w:instrText>
      </w:r>
      <w:r>
        <w:fldChar w:fldCharType="separate"/>
      </w:r>
      <w:r>
        <w:t>13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Planning approvals</w:t>
      </w:r>
      <w:r>
        <w:tab/>
      </w:r>
      <w:r>
        <w:fldChar w:fldCharType="begin"/>
      </w:r>
      <w:r>
        <w:instrText xml:space="preserve"> PAGEREF _Toc160785714 \h </w:instrText>
      </w:r>
      <w:r>
        <w:fldChar w:fldCharType="separate"/>
      </w:r>
      <w:r>
        <w:t>14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Energy operator to have certain rights to water</w:t>
      </w:r>
      <w:r>
        <w:tab/>
      </w:r>
      <w:r>
        <w:fldChar w:fldCharType="begin"/>
      </w:r>
      <w:r>
        <w:instrText xml:space="preserve"> PAGEREF _Toc160785715 \h </w:instrText>
      </w:r>
      <w:r>
        <w:fldChar w:fldCharType="separate"/>
      </w:r>
      <w:r>
        <w:t>14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Property in works</w:t>
      </w:r>
      <w:r>
        <w:tab/>
      </w:r>
      <w:r>
        <w:fldChar w:fldCharType="begin"/>
      </w:r>
      <w:r>
        <w:instrText xml:space="preserve"> PAGEREF _Toc160785716 \h </w:instrText>
      </w:r>
      <w:r>
        <w:fldChar w:fldCharType="separate"/>
      </w:r>
      <w:r>
        <w:t>15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 xml:space="preserve">Claims against the energy operator for the use of land and the application of the </w:t>
      </w:r>
      <w:r>
        <w:rPr>
          <w:i/>
          <w:snapToGrid w:val="0"/>
        </w:rPr>
        <w:t>Land Administration Act 1997</w:t>
      </w:r>
      <w:r>
        <w:tab/>
      </w:r>
      <w:r>
        <w:fldChar w:fldCharType="begin"/>
      </w:r>
      <w:r>
        <w:instrText xml:space="preserve"> PAGEREF _Toc160785717 \h </w:instrText>
      </w:r>
      <w:r>
        <w:fldChar w:fldCharType="separate"/>
      </w:r>
      <w:r>
        <w:t>16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The power of entry, generally</w:t>
      </w:r>
      <w:r>
        <w:tab/>
      </w:r>
      <w:r>
        <w:fldChar w:fldCharType="begin"/>
      </w:r>
      <w:r>
        <w:instrText xml:space="preserve"> PAGEREF _Toc160785718 \h </w:instrText>
      </w:r>
      <w:r>
        <w:fldChar w:fldCharType="separate"/>
      </w:r>
      <w:r>
        <w:t>21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Service of notice by post on owner or occupier</w:t>
      </w:r>
      <w:r>
        <w:tab/>
      </w:r>
      <w:r>
        <w:fldChar w:fldCharType="begin"/>
      </w:r>
      <w:r>
        <w:instrText xml:space="preserve"> PAGEREF _Toc160785719 \h </w:instrText>
      </w:r>
      <w:r>
        <w:fldChar w:fldCharType="separate"/>
      </w:r>
      <w:r>
        <w:t>25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as to entry on lands etc. in emergency</w:t>
      </w:r>
      <w:r>
        <w:tab/>
      </w:r>
      <w:r>
        <w:fldChar w:fldCharType="begin"/>
      </w:r>
      <w:r>
        <w:instrText xml:space="preserve"> PAGEREF _Toc160785720 \h </w:instrText>
      </w:r>
      <w:r>
        <w:fldChar w:fldCharType="separate"/>
      </w:r>
      <w:r>
        <w:t>25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General powers relating to works</w:t>
      </w:r>
      <w:r>
        <w:tab/>
      </w:r>
      <w:r>
        <w:fldChar w:fldCharType="begin"/>
      </w:r>
      <w:r>
        <w:instrText xml:space="preserve"> PAGEREF _Toc160785721 \h </w:instrText>
      </w:r>
      <w:r>
        <w:fldChar w:fldCharType="separate"/>
      </w:r>
      <w:r>
        <w:t>27</w:t>
      </w:r>
      <w:r>
        <w:fldChar w:fldCharType="end"/>
      </w:r>
    </w:p>
    <w:p>
      <w:pPr>
        <w:pStyle w:val="TOC8"/>
        <w:rPr>
          <w:rFonts w:asciiTheme="minorHAnsi" w:eastAsiaTheme="minorEastAsia" w:hAnsiTheme="minorHAnsi" w:cstheme="minorBidi"/>
          <w:szCs w:val="22"/>
        </w:rPr>
      </w:pPr>
      <w:r>
        <w:rPr>
          <w:spacing w:val="-4"/>
        </w:rPr>
        <w:t>50</w:t>
      </w:r>
      <w:r>
        <w:rPr>
          <w:snapToGrid w:val="0"/>
        </w:rPr>
        <w:t>.</w:t>
      </w:r>
      <w:r>
        <w:rPr>
          <w:snapToGrid w:val="0"/>
        </w:rPr>
        <w:tab/>
        <w:t>Restrictions on the exercise of the general powers</w:t>
      </w:r>
      <w:r>
        <w:tab/>
      </w:r>
      <w:r>
        <w:fldChar w:fldCharType="begin"/>
      </w:r>
      <w:r>
        <w:instrText xml:space="preserve"> PAGEREF _Toc160785722 \h </w:instrText>
      </w:r>
      <w:r>
        <w:fldChar w:fldCharType="separate"/>
      </w:r>
      <w:r>
        <w:t>29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Alteration to works in streets</w:t>
      </w:r>
      <w:r>
        <w:tab/>
      </w:r>
      <w:r>
        <w:fldChar w:fldCharType="begin"/>
      </w:r>
      <w:r>
        <w:instrText xml:space="preserve"> PAGEREF _Toc160785723 \h </w:instrText>
      </w:r>
      <w:r>
        <w:fldChar w:fldCharType="separate"/>
      </w:r>
      <w:r>
        <w:t>30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Street levels and widths</w:t>
      </w:r>
      <w:r>
        <w:tab/>
      </w:r>
      <w:r>
        <w:fldChar w:fldCharType="begin"/>
      </w:r>
      <w:r>
        <w:instrText xml:space="preserve"> PAGEREF _Toc160785724 \h </w:instrText>
      </w:r>
      <w:r>
        <w:fldChar w:fldCharType="separate"/>
      </w:r>
      <w:r>
        <w:t>30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Streets broken up to be reinstated without delay</w:t>
      </w:r>
      <w:r>
        <w:tab/>
      </w:r>
      <w:r>
        <w:fldChar w:fldCharType="begin"/>
      </w:r>
      <w:r>
        <w:instrText xml:space="preserve"> PAGEREF _Toc160785725 \h </w:instrText>
      </w:r>
      <w:r>
        <w:fldChar w:fldCharType="separate"/>
      </w:r>
      <w:r>
        <w:t>31</w:t>
      </w:r>
      <w:r>
        <w:fldChar w:fldCharType="end"/>
      </w:r>
    </w:p>
    <w:p>
      <w:pPr>
        <w:pStyle w:val="TOC8"/>
        <w:rPr>
          <w:rFonts w:asciiTheme="minorHAnsi" w:eastAsiaTheme="minorEastAsia" w:hAnsiTheme="minorHAnsi" w:cstheme="minorBidi"/>
          <w:szCs w:val="22"/>
        </w:rPr>
      </w:pPr>
      <w:r>
        <w:lastRenderedPageBreak/>
        <w:t>54</w:t>
      </w:r>
      <w:r>
        <w:rPr>
          <w:snapToGrid w:val="0"/>
        </w:rPr>
        <w:t>.</w:t>
      </w:r>
      <w:r>
        <w:rPr>
          <w:snapToGrid w:val="0"/>
        </w:rPr>
        <w:tab/>
        <w:t>Duty and powers, as to vegetation causing interference</w:t>
      </w:r>
      <w:r>
        <w:tab/>
      </w:r>
      <w:r>
        <w:fldChar w:fldCharType="begin"/>
      </w:r>
      <w:r>
        <w:instrText xml:space="preserve"> PAGEREF _Toc160785726 \h </w:instrText>
      </w:r>
      <w:r>
        <w:fldChar w:fldCharType="separate"/>
      </w:r>
      <w:r>
        <w:t>32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Distribution system emergencies</w:t>
      </w:r>
      <w:r>
        <w:tab/>
      </w:r>
      <w:r>
        <w:fldChar w:fldCharType="begin"/>
      </w:r>
      <w:r>
        <w:instrText xml:space="preserve"> PAGEREF _Toc160785727 \h </w:instrText>
      </w:r>
      <w:r>
        <w:fldChar w:fldCharType="separate"/>
      </w:r>
      <w:r>
        <w:t>33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Energy operator may not be bound to supply</w:t>
      </w:r>
      <w:r>
        <w:tab/>
      </w:r>
      <w:r>
        <w:fldChar w:fldCharType="begin"/>
      </w:r>
      <w:r>
        <w:instrText xml:space="preserve"> PAGEREF _Toc160785728 \h </w:instrText>
      </w:r>
      <w:r>
        <w:fldChar w:fldCharType="separate"/>
      </w:r>
      <w:r>
        <w:t>38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Energy operator may supply, with or without contract</w:t>
      </w:r>
      <w:r>
        <w:tab/>
      </w:r>
      <w:r>
        <w:fldChar w:fldCharType="begin"/>
      </w:r>
      <w:r>
        <w:instrText xml:space="preserve"> PAGEREF _Toc160785729 \h </w:instrText>
      </w:r>
      <w:r>
        <w:fldChar w:fldCharType="separate"/>
      </w:r>
      <w:r>
        <w:t>41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Repudiation of existing contracts, and unwritten contracts</w:t>
      </w:r>
      <w:r>
        <w:tab/>
      </w:r>
      <w:r>
        <w:fldChar w:fldCharType="begin"/>
      </w:r>
      <w:r>
        <w:instrText xml:space="preserve"> PAGEREF _Toc160785730 \h </w:instrText>
      </w:r>
      <w:r>
        <w:fldChar w:fldCharType="separate"/>
      </w:r>
      <w:r>
        <w:t>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Agreements to supply beyond normal range</w:t>
      </w:r>
      <w:r>
        <w:tab/>
      </w:r>
      <w:r>
        <w:fldChar w:fldCharType="begin"/>
      </w:r>
      <w:r>
        <w:instrText xml:space="preserve"> PAGEREF _Toc160785731 \h </w:instrText>
      </w:r>
      <w:r>
        <w:fldChar w:fldCharType="separate"/>
      </w:r>
      <w:r>
        <w:t>42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Charges for supply, conditions of supply, and termination of supply</w:t>
      </w:r>
      <w:r>
        <w:tab/>
      </w:r>
      <w:r>
        <w:fldChar w:fldCharType="begin"/>
      </w:r>
      <w:r>
        <w:instrText xml:space="preserve"> PAGEREF _Toc160785732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Apportioned accounts</w:t>
      </w:r>
      <w:r>
        <w:tab/>
      </w:r>
      <w:r>
        <w:fldChar w:fldCharType="begin"/>
      </w:r>
      <w:r>
        <w:instrText xml:space="preserve"> PAGEREF _Toc160785733 \h </w:instrText>
      </w:r>
      <w:r>
        <w:fldChar w:fldCharType="separate"/>
      </w:r>
      <w:r>
        <w:t>51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Meters</w:t>
      </w:r>
      <w:r>
        <w:tab/>
      </w:r>
      <w:r>
        <w:fldChar w:fldCharType="begin"/>
      </w:r>
      <w:r>
        <w:instrText xml:space="preserve"> PAGEREF _Toc160785734 \h </w:instrText>
      </w:r>
      <w:r>
        <w:fldChar w:fldCharType="separate"/>
      </w:r>
      <w:r>
        <w:t>51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Metered accounts</w:t>
      </w:r>
      <w:r>
        <w:tab/>
      </w:r>
      <w:r>
        <w:fldChar w:fldCharType="begin"/>
      </w:r>
      <w:r>
        <w:instrText xml:space="preserve"> PAGEREF _Toc160785735 \h </w:instrText>
      </w:r>
      <w:r>
        <w:fldChar w:fldCharType="separate"/>
      </w:r>
      <w:r>
        <w:t>52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Meter tests</w:t>
      </w:r>
      <w:r>
        <w:tab/>
      </w:r>
      <w:r>
        <w:fldChar w:fldCharType="begin"/>
      </w:r>
      <w:r>
        <w:instrText xml:space="preserve"> PAGEREF _Toc160785736 \h </w:instrText>
      </w:r>
      <w:r>
        <w:fldChar w:fldCharType="separate"/>
      </w:r>
      <w:r>
        <w:t>56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Circumventing meters</w:t>
      </w:r>
      <w:r>
        <w:tab/>
      </w:r>
      <w:r>
        <w:fldChar w:fldCharType="begin"/>
      </w:r>
      <w:r>
        <w:instrText xml:space="preserve"> PAGEREF _Toc160785737 \h </w:instrText>
      </w:r>
      <w:r>
        <w:fldChar w:fldCharType="separate"/>
      </w:r>
      <w:r>
        <w:t>57</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Liability for charges, and damage to apparatus</w:t>
      </w:r>
      <w:r>
        <w:tab/>
      </w:r>
      <w:r>
        <w:fldChar w:fldCharType="begin"/>
      </w:r>
      <w:r>
        <w:instrText xml:space="preserve"> PAGEREF _Toc160785738 \h </w:instrText>
      </w:r>
      <w:r>
        <w:fldChar w:fldCharType="separate"/>
      </w:r>
      <w:r>
        <w:t>59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Inspectors</w:t>
      </w:r>
      <w:r>
        <w:tab/>
      </w:r>
      <w:r>
        <w:fldChar w:fldCharType="begin"/>
      </w:r>
      <w:r>
        <w:instrText xml:space="preserve"> PAGEREF _Toc160785739 \h </w:instrText>
      </w:r>
      <w:r>
        <w:fldChar w:fldCharType="separate"/>
      </w:r>
      <w:r>
        <w:t>59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Incriminating statements</w:t>
      </w:r>
      <w:r>
        <w:tab/>
      </w:r>
      <w:r>
        <w:fldChar w:fldCharType="begin"/>
      </w:r>
      <w:r>
        <w:instrText xml:space="preserve"> PAGEREF _Toc160785740 \h </w:instrText>
      </w:r>
      <w:r>
        <w:fldChar w:fldCharType="separate"/>
      </w:r>
      <w:r>
        <w:t>61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Malicious damage</w:t>
      </w:r>
      <w:r>
        <w:tab/>
      </w:r>
      <w:r>
        <w:fldChar w:fldCharType="begin"/>
      </w:r>
      <w:r>
        <w:instrText xml:space="preserve"> PAGEREF _Toc160785741 \h </w:instrText>
      </w:r>
      <w:r>
        <w:fldChar w:fldCharType="separate"/>
      </w:r>
      <w:r>
        <w:t>62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Unlawful damage generally</w:t>
      </w:r>
      <w:r>
        <w:tab/>
      </w:r>
      <w:r>
        <w:fldChar w:fldCharType="begin"/>
      </w:r>
      <w:r>
        <w:instrText xml:space="preserve"> PAGEREF _Toc160785742 \h </w:instrText>
      </w:r>
      <w:r>
        <w:fldChar w:fldCharType="separate"/>
      </w:r>
      <w:r>
        <w:t>62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Unlawful entry</w:t>
      </w:r>
      <w:r>
        <w:tab/>
      </w:r>
      <w:r>
        <w:fldChar w:fldCharType="begin"/>
      </w:r>
      <w:r>
        <w:instrText xml:space="preserve"> PAGEREF _Toc160785743 \h </w:instrText>
      </w:r>
      <w:r>
        <w:fldChar w:fldCharType="separate"/>
      </w:r>
      <w:r>
        <w:t>64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Restraint of persons</w:t>
      </w:r>
      <w:r>
        <w:tab/>
      </w:r>
      <w:r>
        <w:fldChar w:fldCharType="begin"/>
      </w:r>
      <w:r>
        <w:instrText xml:space="preserve"> PAGEREF _Toc160785744 \h </w:instrText>
      </w:r>
      <w:r>
        <w:fldChar w:fldCharType="separate"/>
      </w:r>
      <w:r>
        <w:t>64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Persons may be apprehended</w:t>
      </w:r>
      <w:r>
        <w:tab/>
      </w:r>
      <w:r>
        <w:fldChar w:fldCharType="begin"/>
      </w:r>
      <w:r>
        <w:instrText xml:space="preserve"> PAGEREF _Toc160785745 \h </w:instrText>
      </w:r>
      <w:r>
        <w:fldChar w:fldCharType="separate"/>
      </w:r>
      <w:r>
        <w:t>65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Obstruction of officers etc.</w:t>
      </w:r>
      <w:r>
        <w:tab/>
      </w:r>
      <w:r>
        <w:fldChar w:fldCharType="begin"/>
      </w:r>
      <w:r>
        <w:instrText xml:space="preserve"> PAGEREF _Toc160785746 \h </w:instrText>
      </w:r>
      <w:r>
        <w:fldChar w:fldCharType="separate"/>
      </w:r>
      <w:r>
        <w:t>65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Offences generally</w:t>
      </w:r>
      <w:r>
        <w:tab/>
      </w:r>
      <w:r>
        <w:fldChar w:fldCharType="begin"/>
      </w:r>
      <w:r>
        <w:instrText xml:space="preserve"> PAGEREF _Toc160785747 \h </w:instrText>
      </w:r>
      <w:r>
        <w:fldChar w:fldCharType="separate"/>
      </w:r>
      <w:r>
        <w:t>66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General penalty</w:t>
      </w:r>
      <w:r>
        <w:tab/>
      </w:r>
      <w:r>
        <w:fldChar w:fldCharType="begin"/>
      </w:r>
      <w:r>
        <w:instrText xml:space="preserve"> PAGEREF _Toc160785748 \h </w:instrText>
      </w:r>
      <w:r>
        <w:fldChar w:fldCharType="separate"/>
      </w:r>
      <w:r>
        <w:t>66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Recovery of moneys</w:t>
      </w:r>
      <w:r>
        <w:tab/>
      </w:r>
      <w:r>
        <w:fldChar w:fldCharType="begin"/>
      </w:r>
      <w:r>
        <w:instrText xml:space="preserve"> PAGEREF _Toc160785749 \h </w:instrText>
      </w:r>
      <w:r>
        <w:fldChar w:fldCharType="separate"/>
      </w:r>
      <w:r>
        <w:t>66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Prosecution expenses</w:t>
      </w:r>
      <w:r>
        <w:tab/>
      </w:r>
      <w:r>
        <w:fldChar w:fldCharType="begin"/>
      </w:r>
      <w:r>
        <w:instrText xml:space="preserve"> PAGEREF _Toc160785750 \h </w:instrText>
      </w:r>
      <w:r>
        <w:fldChar w:fldCharType="separate"/>
      </w:r>
      <w:r>
        <w:t>67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Power to institute and conduct proceedings</w:t>
      </w:r>
      <w:r>
        <w:tab/>
      </w:r>
      <w:r>
        <w:fldChar w:fldCharType="begin"/>
      </w:r>
      <w:r>
        <w:instrText xml:space="preserve"> PAGEREF _Toc160785751 \h </w:instrText>
      </w:r>
      <w:r>
        <w:fldChar w:fldCharType="separate"/>
      </w:r>
      <w:r>
        <w:t>67</w:t>
      </w:r>
      <w:r>
        <w:fldChar w:fldCharType="end"/>
      </w:r>
    </w:p>
    <w:p>
      <w:pPr>
        <w:pStyle w:val="TOC8"/>
        <w:rPr>
          <w:rFonts w:asciiTheme="minorHAnsi" w:eastAsiaTheme="minorEastAsia" w:hAnsiTheme="minorHAnsi" w:cstheme="minorBidi"/>
          <w:szCs w:val="22"/>
        </w:rPr>
      </w:pPr>
      <w:r>
        <w:t>85.</w:t>
      </w:r>
      <w:r>
        <w:tab/>
        <w:t>Limitation period for offences</w:t>
      </w:r>
      <w:r>
        <w:tab/>
      </w:r>
      <w:r>
        <w:fldChar w:fldCharType="begin"/>
      </w:r>
      <w:r>
        <w:instrText xml:space="preserve"> PAGEREF _Toc160785752 \h </w:instrText>
      </w:r>
      <w:r>
        <w:fldChar w:fldCharType="separate"/>
      </w:r>
      <w:r>
        <w:t>67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r>
      <w:r>
        <w:t>Liability of bodies corporate</w:t>
      </w:r>
      <w:r>
        <w:tab/>
      </w:r>
      <w:r>
        <w:fldChar w:fldCharType="begin"/>
      </w:r>
      <w:r>
        <w:instrText xml:space="preserve"> PAGEREF _Toc160785753 \h </w:instrText>
      </w:r>
      <w:r>
        <w:fldChar w:fldCharType="separate"/>
      </w:r>
      <w:r>
        <w:t>68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Proof of certain matters</w:t>
      </w:r>
      <w:r>
        <w:tab/>
      </w:r>
      <w:r>
        <w:fldChar w:fldCharType="begin"/>
      </w:r>
      <w:r>
        <w:instrText xml:space="preserve"> PAGEREF _Toc160785754 \h </w:instrText>
      </w:r>
      <w:r>
        <w:fldChar w:fldCharType="separate"/>
      </w:r>
      <w:r>
        <w:t>68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Evidence of documents issued by an energy operator</w:t>
      </w:r>
      <w:r>
        <w:tab/>
      </w:r>
      <w:r>
        <w:fldChar w:fldCharType="begin"/>
      </w:r>
      <w:r>
        <w:instrText xml:space="preserve"> PAGEREF _Toc160785755 \h </w:instrText>
      </w:r>
      <w:r>
        <w:fldChar w:fldCharType="separate"/>
      </w:r>
      <w:r>
        <w:t>70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Energy operator to make good damage, and may be liable to pay compensation</w:t>
      </w:r>
      <w:r>
        <w:tab/>
      </w:r>
      <w:r>
        <w:fldChar w:fldCharType="begin"/>
      </w:r>
      <w:r>
        <w:instrText xml:space="preserve"> PAGEREF _Toc160785756 \h </w:instrText>
      </w:r>
      <w:r>
        <w:fldChar w:fldCharType="separate"/>
      </w:r>
      <w:r>
        <w:t>71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Actions for damages, generally</w:t>
      </w:r>
      <w:r>
        <w:tab/>
      </w:r>
      <w:r>
        <w:fldChar w:fldCharType="begin"/>
      </w:r>
      <w:r>
        <w:instrText xml:space="preserve"> PAGEREF _Toc160785757 \h </w:instrText>
      </w:r>
      <w:r>
        <w:fldChar w:fldCharType="separate"/>
      </w:r>
      <w:r>
        <w:t>72</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Protection</w:t>
      </w:r>
      <w:r>
        <w:tab/>
      </w:r>
      <w:r>
        <w:fldChar w:fldCharType="begin"/>
      </w:r>
      <w:r>
        <w:instrText xml:space="preserve"> PAGEREF _Toc160785758 \h </w:instrText>
      </w:r>
      <w:r>
        <w:fldChar w:fldCharType="separate"/>
      </w:r>
      <w:r>
        <w:t>72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_Toc160785759 \h </w:instrText>
      </w:r>
      <w:r>
        <w:fldChar w:fldCharType="separate"/>
      </w:r>
      <w:r>
        <w:t>73</w:t>
      </w:r>
      <w:r>
        <w:fldChar w:fldCharType="end"/>
      </w:r>
    </w:p>
    <w:p>
      <w:pPr>
        <w:pStyle w:val="TOC8"/>
        <w:rPr>
          <w:rFonts w:asciiTheme="minorHAnsi" w:eastAsiaTheme="minorEastAsia" w:hAnsiTheme="minorHAnsi" w:cstheme="minorBidi"/>
          <w:szCs w:val="22"/>
        </w:rPr>
      </w:pPr>
      <w:r>
        <w:lastRenderedPageBreak/>
        <w:t>124</w:t>
      </w:r>
      <w:r>
        <w:rPr>
          <w:snapToGrid w:val="0"/>
        </w:rPr>
        <w:t>.</w:t>
      </w:r>
      <w:r>
        <w:rPr>
          <w:snapToGrid w:val="0"/>
        </w:rPr>
        <w:tab/>
        <w:t>By</w:t>
      </w:r>
      <w:r>
        <w:rPr>
          <w:snapToGrid w:val="0"/>
        </w:rPr>
        <w:noBreakHyphen/>
        <w:t>laws</w:t>
      </w:r>
      <w:r>
        <w:tab/>
      </w:r>
      <w:r>
        <w:fldChar w:fldCharType="begin"/>
      </w:r>
      <w:r>
        <w:instrText xml:space="preserve"> PAGEREF _Toc160785760 \h </w:instrText>
      </w:r>
      <w:r>
        <w:fldChar w:fldCharType="separate"/>
      </w:r>
      <w:r>
        <w:t>73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Regulations or by</w:t>
      </w:r>
      <w:r>
        <w:rPr>
          <w:snapToGrid w:val="0"/>
        </w:rPr>
        <w:noBreakHyphen/>
        <w:t>laws, generally</w:t>
      </w:r>
      <w:r>
        <w:tab/>
      </w:r>
      <w:r>
        <w:fldChar w:fldCharType="begin"/>
      </w:r>
      <w:r>
        <w:instrText xml:space="preserve"> PAGEREF _Toc160785761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_Toc160785763 \h </w:instrText>
      </w:r>
      <w:r>
        <w:fldChar w:fldCharType="separate"/>
      </w:r>
      <w:r>
        <w:t>80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_Toc160785764 \h </w:instrText>
      </w:r>
      <w:r>
        <w:fldChar w:fldCharType="separate"/>
      </w:r>
      <w:r>
        <w:t>84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_Toc160785765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Energy Operators (Powers) Act 1979</w:t>
      </w:r>
    </w:p>
    <w:p>
      <w:pPr>
        <w:pStyle w:val="LongTitle"/>
        <w:rPr>
          <w:snapToGrid w:val="0"/>
        </w:rPr>
      </w:pPr>
      <w:r>
        <w:rPr>
          <w:snapToGrid w:val="0"/>
        </w:rPr>
        <w:t>An Act to vest powers in energy operators, to make other provision in respect of the functions of those operators, and for related and other purposes.</w:t>
      </w:r>
    </w:p>
    <w:p>
      <w:pPr>
        <w:pStyle w:val="Footnotelongtitle"/>
      </w:pPr>
      <w:r>
        <w:tab/>
        <w:t>[Long title inserted: No. 89 of 1994 s. 4; amended: No. 58 of 1999 s. 77; No. 24 of 2000 s. 14(13); No. 33 of 2004 s. 38.]</w:t>
      </w:r>
    </w:p>
    <w:p>
      <w:pPr>
        <w:pStyle w:val="Heading5"/>
        <w:rPr>
          <w:snapToGrid w:val="0"/>
        </w:rPr>
      </w:pPr>
      <w:bookmarkStart w:id="2" w:name="_Toc160785703"/>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w:t>
      </w:r>
    </w:p>
    <w:p>
      <w:pPr>
        <w:pStyle w:val="Footnotesection"/>
        <w:ind w:left="890" w:hanging="890"/>
      </w:pPr>
      <w:r>
        <w:tab/>
        <w:t>[Section 1 amended: No. 89 of 1994 s. 5; No. 58 of 1999 s. 78.]</w:t>
      </w:r>
    </w:p>
    <w:p>
      <w:pPr>
        <w:pStyle w:val="Heading5"/>
        <w:rPr>
          <w:snapToGrid w:val="0"/>
        </w:rPr>
      </w:pPr>
      <w:bookmarkStart w:id="3" w:name="_Toc160785704"/>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Ednotesection"/>
      </w:pPr>
      <w:r>
        <w:t>[</w:t>
      </w:r>
      <w:r>
        <w:rPr>
          <w:rStyle w:val="CharSectno"/>
          <w:b/>
        </w:rPr>
        <w:t>3</w:t>
      </w:r>
      <w:r>
        <w:rPr>
          <w:b/>
          <w:bCs/>
        </w:rPr>
        <w:t>.</w:t>
      </w:r>
      <w:r>
        <w:tab/>
        <w:t>Omitted under the Reprints Act 1984 s. 7(4)(f) and (g).]</w:t>
      </w:r>
    </w:p>
    <w:p>
      <w:pPr>
        <w:pStyle w:val="Heading5"/>
        <w:rPr>
          <w:snapToGrid w:val="0"/>
        </w:rPr>
      </w:pPr>
      <w:bookmarkStart w:id="4" w:name="_Toc160785705"/>
      <w:r>
        <w:rPr>
          <w:rStyle w:val="CharSectno"/>
        </w:rPr>
        <w:t>4</w:t>
      </w:r>
      <w:r>
        <w:rPr>
          <w:snapToGrid w:val="0"/>
        </w:rPr>
        <w:t>.</w:t>
      </w:r>
      <w:r>
        <w:rPr>
          <w:snapToGrid w:val="0"/>
        </w:rPr>
        <w:tab/>
        <w:t>Terms used</w:t>
      </w:r>
      <w:bookmarkEnd w:id="4"/>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acquisition</w:t>
      </w:r>
      <w:r>
        <w:t xml:space="preserve"> in relation to land or any estate or interest in land includes taking or resumption, and cognate expressions have a corresponding meaning;</w:t>
      </w:r>
    </w:p>
    <w:p>
      <w:pPr>
        <w:pStyle w:val="Defstart"/>
      </w:pPr>
      <w:r>
        <w:rPr>
          <w:b/>
        </w:rPr>
        <w:tab/>
      </w:r>
      <w:r>
        <w:rPr>
          <w:rStyle w:val="CharDefText"/>
        </w:rPr>
        <w:t>apparatus</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lastRenderedPageBreak/>
        <w:tab/>
      </w:r>
      <w:r>
        <w:rPr>
          <w:rStyle w:val="CharDefText"/>
        </w:rPr>
        <w:t>charges</w:t>
      </w:r>
      <w:r>
        <w:t xml:space="preserve"> includes any sum due from the consumer to an energy operator pursuant to section 62(1);</w:t>
      </w:r>
    </w:p>
    <w:p>
      <w:pPr>
        <w:pStyle w:val="Defstart"/>
      </w:pPr>
      <w:r>
        <w:rPr>
          <w:b/>
        </w:rPr>
        <w:tab/>
      </w:r>
      <w:r>
        <w:rPr>
          <w:rStyle w:val="CharDefText"/>
        </w:rPr>
        <w:t>consumer installation</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r>
      <w:r>
        <w:rPr>
          <w:rStyle w:val="CharDefText"/>
        </w:rPr>
        <w:t>Coordinator of Energy</w:t>
      </w:r>
      <w:r>
        <w:t xml:space="preserve"> means the Coordinator of Energy referred to in section 4 of the </w:t>
      </w:r>
      <w:r>
        <w:rPr>
          <w:i/>
        </w:rPr>
        <w:t>Energy Coordination Act 1994</w:t>
      </w:r>
      <w:r>
        <w:t>;</w:t>
      </w:r>
    </w:p>
    <w:p>
      <w:pPr>
        <w:pStyle w:val="Defstart"/>
      </w:pPr>
      <w:r>
        <w:rPr>
          <w:b/>
        </w:rPr>
        <w:tab/>
      </w:r>
      <w:r>
        <w:rPr>
          <w:rStyle w:val="CharDefText"/>
        </w:rPr>
        <w:t>distribution works</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tab/>
      </w:r>
      <w:r>
        <w:rPr>
          <w:rStyle w:val="CharDefText"/>
        </w:rPr>
        <w:t>electricity corporation</w:t>
      </w:r>
      <w:r>
        <w:t xml:space="preserve"> means a body established by the </w:t>
      </w:r>
      <w:r>
        <w:rPr>
          <w:i/>
        </w:rPr>
        <w:t>Electricity Corporations Act 2005</w:t>
      </w:r>
      <w:r>
        <w:t xml:space="preserve"> section 4(1);</w:t>
      </w:r>
    </w:p>
    <w:p>
      <w:pPr>
        <w:pStyle w:val="Defstart"/>
      </w:pPr>
      <w:r>
        <w:rPr>
          <w:b/>
        </w:rPr>
        <w:tab/>
      </w:r>
      <w:r>
        <w:rPr>
          <w:rStyle w:val="CharDefText"/>
        </w:rPr>
        <w:t>energy</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r>
      <w:r>
        <w:rPr>
          <w:rStyle w:val="CharDefText"/>
        </w:rPr>
        <w:t>energy operator</w:t>
      </w:r>
      <w:r>
        <w:t xml:space="preserve"> means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lastRenderedPageBreak/>
        <w:tab/>
      </w:r>
      <w:r>
        <w:rPr>
          <w:rStyle w:val="CharDefText"/>
        </w:rPr>
        <w:t>generating works</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1</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r>
      <w:r>
        <w:rPr>
          <w:rStyle w:val="CharDefText"/>
        </w:rPr>
        <w:t>inspector</w:t>
      </w:r>
      <w:r>
        <w:t xml:space="preserve"> means a person appointed as such pursuant to section 68;</w:t>
      </w:r>
    </w:p>
    <w:p>
      <w:pPr>
        <w:pStyle w:val="Defstart"/>
      </w:pPr>
      <w:r>
        <w:rPr>
          <w:b/>
        </w:rPr>
        <w:tab/>
      </w:r>
      <w:r>
        <w:rPr>
          <w:rStyle w:val="CharDefText"/>
        </w:rPr>
        <w:t>land</w:t>
      </w:r>
      <w:r>
        <w:t xml:space="preserve"> includes land covered by water, and shall be construed in accordance with section 36;</w:t>
      </w:r>
    </w:p>
    <w:p>
      <w:pPr>
        <w:pStyle w:val="Defstart"/>
      </w:pPr>
      <w:r>
        <w:rPr>
          <w:b/>
        </w:rPr>
        <w:tab/>
      </w:r>
      <w:r>
        <w:rPr>
          <w:rStyle w:val="CharDefText"/>
        </w:rPr>
        <w:t>liquid petroleum gas</w:t>
      </w:r>
      <w:r>
        <w:t xml:space="preserve"> means a liquid or vapour which is a mixture of hydrocarbons basically consisting of butane or butene or propane or propene, or any mixture of all or any of them;</w:t>
      </w:r>
    </w:p>
    <w:p>
      <w:pPr>
        <w:pStyle w:val="Defstart"/>
      </w:pPr>
      <w:r>
        <w:rPr>
          <w:b/>
        </w:rPr>
        <w:lastRenderedPageBreak/>
        <w:tab/>
      </w:r>
      <w:r>
        <w:rPr>
          <w:rStyle w:val="CharDefText"/>
        </w:rPr>
        <w:t>meter</w:t>
      </w:r>
      <w:r>
        <w:t xml:space="preserve"> includes any device designed or adapted for the purpose of ascertaining a measure, and any other device used in conjunction therewith to facilitate that purpose;</w:t>
      </w:r>
    </w:p>
    <w:p>
      <w:pPr>
        <w:pStyle w:val="Defstart"/>
      </w:pPr>
      <w:r>
        <w:rPr>
          <w:b/>
        </w:rPr>
        <w:tab/>
      </w:r>
      <w:r>
        <w:rPr>
          <w:rStyle w:val="CharDefText"/>
        </w:rPr>
        <w:t>officer</w:t>
      </w:r>
      <w:r>
        <w:t xml:space="preserve"> includes any person, acting within the authorisation conferred upon him, to whom subsection (2) applies;</w:t>
      </w:r>
    </w:p>
    <w:p>
      <w:pPr>
        <w:pStyle w:val="Defstart"/>
      </w:pPr>
      <w:r>
        <w:rPr>
          <w:b/>
        </w:rPr>
        <w:tab/>
      </w:r>
      <w:r>
        <w:rPr>
          <w:rStyle w:val="CharDefText"/>
        </w:rPr>
        <w:t>premises</w:t>
      </w:r>
      <w:r>
        <w:t xml:space="preserve"> means any land, street, structure, or other place, and may include a vehicle or other thing in or in connection with which energy is or is to be supplied;</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r>
      <w:r>
        <w:rPr>
          <w:rStyle w:val="CharDefText"/>
        </w:rPr>
        <w:t>street</w:t>
      </w:r>
      <w:r>
        <w:t xml:space="preserve"> includes any highway, road, thoroughfare, lane, alley, square, court, or place of public passage;</w:t>
      </w:r>
    </w:p>
    <w:p>
      <w:pPr>
        <w:pStyle w:val="Defstart"/>
      </w:pPr>
      <w:r>
        <w:rPr>
          <w:b/>
        </w:rPr>
        <w:tab/>
      </w:r>
      <w:r>
        <w:rPr>
          <w:rStyle w:val="CharDefText"/>
        </w:rPr>
        <w:t>supply system</w:t>
      </w:r>
      <w:r>
        <w:t xml:space="preserve"> may include the generating works, distribution works, and service apparatus pertaining thereto;</w:t>
      </w:r>
    </w:p>
    <w:p>
      <w:pPr>
        <w:pStyle w:val="Defstart"/>
      </w:pPr>
      <w:r>
        <w:rPr>
          <w:b/>
        </w:rPr>
        <w:tab/>
      </w:r>
      <w:r>
        <w:rPr>
          <w:rStyle w:val="CharDefText"/>
        </w:rPr>
        <w:t>system emergency</w:t>
      </w:r>
      <w:r>
        <w:t xml:space="preserve"> means any event or circumstances to which section 57(1) applies;</w:t>
      </w:r>
    </w:p>
    <w:p>
      <w:pPr>
        <w:pStyle w:val="Defstart"/>
      </w:pPr>
      <w:r>
        <w:rPr>
          <w:b/>
        </w:rPr>
        <w:tab/>
      </w:r>
      <w:r>
        <w:rPr>
          <w:rStyle w:val="CharDefText"/>
        </w:rPr>
        <w:t>undertaking</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lastRenderedPageBreak/>
        <w:tab/>
      </w:r>
      <w:r>
        <w:rPr>
          <w:rStyle w:val="CharDefText"/>
        </w:rPr>
        <w:t>works</w:t>
      </w:r>
      <w:r>
        <w:t xml:space="preserve"> includes any works, excavation, construction, or thing used or intended to be used for the purposes of a supply system or undertaking.</w:t>
      </w:r>
    </w:p>
    <w:p>
      <w:pPr>
        <w:pStyle w:val="Subsection"/>
        <w:spacing w:before="100"/>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spacing w:before="100"/>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[Section 4 amended: No. 101 of 1981 s. 3; No. 24 of 1986 s. 5; No. 89 of 1994 s. 6, 39 and 41; No. 14 of 1996 s. 4; No. 58 of 1999 s. 79, 83(1) and (3) and 90; No. 24 of 2000 s. 14(13); No. 33 of 2004 s. 39; No. 18 of 2005 s. 139; No. 25 of 2013 s. 41.]</w:t>
      </w:r>
    </w:p>
    <w:p>
      <w:pPr>
        <w:pStyle w:val="Heading5"/>
        <w:rPr>
          <w:snapToGrid w:val="0"/>
        </w:rPr>
      </w:pPr>
      <w:bookmarkStart w:id="5" w:name="_Toc160785706"/>
      <w:r>
        <w:rPr>
          <w:rStyle w:val="CharSectno"/>
        </w:rPr>
        <w:t>5</w:t>
      </w:r>
      <w:r>
        <w:rPr>
          <w:snapToGrid w:val="0"/>
        </w:rPr>
        <w:t>.</w:t>
      </w:r>
      <w:r>
        <w:rPr>
          <w:snapToGrid w:val="0"/>
        </w:rPr>
        <w:tab/>
        <w:t>Application of this Act to other Acts, the law generally, and to certain Agreements</w:t>
      </w:r>
      <w:bookmarkEnd w:id="5"/>
    </w:p>
    <w:p>
      <w:pPr>
        <w:pStyle w:val="Subsection"/>
        <w:spacing w:before="100"/>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w:t>
      </w:r>
    </w:p>
    <w:p>
      <w:pPr>
        <w:pStyle w:val="Indenta"/>
        <w:rPr>
          <w:snapToGrid w:val="0"/>
        </w:rPr>
      </w:pPr>
      <w:r>
        <w:rPr>
          <w:snapToGrid w:val="0"/>
        </w:rPr>
        <w:tab/>
        <w:t>(a)</w:t>
      </w:r>
      <w:r>
        <w:rPr>
          <w:snapToGrid w:val="0"/>
        </w:rPr>
        <w:tab/>
        <w:t>any Act; or</w:t>
      </w:r>
    </w:p>
    <w:p>
      <w:pPr>
        <w:pStyle w:val="Indenta"/>
        <w:rPr>
          <w:snapToGrid w:val="0"/>
        </w:rPr>
      </w:pPr>
      <w:r>
        <w:rPr>
          <w:snapToGrid w:val="0"/>
        </w:rPr>
        <w:lastRenderedPageBreak/>
        <w:tab/>
        <w:t>(b)</w:t>
      </w:r>
      <w:r>
        <w:rPr>
          <w:snapToGrid w:val="0"/>
        </w:rPr>
        <w:tab/>
        <w:t>any Agreement to which the State is a party and which, or the execution of which, is or has been ratified, authorised or approved by an Act,</w:t>
      </w:r>
    </w:p>
    <w:p>
      <w:pPr>
        <w:pStyle w:val="Subsection"/>
        <w:spacing w:before="120"/>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spacing w:before="100"/>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spacing w:before="120"/>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spacing w:before="80"/>
        <w:ind w:left="890" w:hanging="890"/>
      </w:pPr>
      <w:r>
        <w:tab/>
        <w:t>[Section 5 amended: No. 89 of 1994 s. 7, 39 and 41; No. 58 of 1999 s. 83(1) and (3).]</w:t>
      </w:r>
    </w:p>
    <w:p>
      <w:pPr>
        <w:pStyle w:val="Heading5"/>
        <w:rPr>
          <w:snapToGrid w:val="0"/>
        </w:rPr>
      </w:pPr>
      <w:bookmarkStart w:id="6" w:name="_Toc160785707"/>
      <w:r>
        <w:rPr>
          <w:rStyle w:val="CharSectno"/>
        </w:rPr>
        <w:lastRenderedPageBreak/>
        <w:t>6</w:t>
      </w:r>
      <w:r>
        <w:rPr>
          <w:snapToGrid w:val="0"/>
        </w:rPr>
        <w:t>.</w:t>
      </w:r>
      <w:r>
        <w:rPr>
          <w:snapToGrid w:val="0"/>
        </w:rPr>
        <w:tab/>
        <w:t>Application of this Act to the Crown, government departments, and local governments</w:t>
      </w:r>
      <w:bookmarkEnd w:id="6"/>
    </w:p>
    <w:p>
      <w:pPr>
        <w:pStyle w:val="Subsection"/>
        <w:keepNext/>
        <w:spacing w:before="100"/>
        <w:rPr>
          <w:snapToGrid w:val="0"/>
        </w:rPr>
      </w:pPr>
      <w:r>
        <w:rPr>
          <w:snapToGrid w:val="0"/>
        </w:rPr>
        <w:tab/>
        <w:t>(1)</w:t>
      </w:r>
      <w:r>
        <w:rPr>
          <w:snapToGrid w:val="0"/>
        </w:rPr>
        <w:tab/>
        <w:t>This Act binds the Crown —</w:t>
      </w:r>
    </w:p>
    <w:p>
      <w:pPr>
        <w:pStyle w:val="Indenta"/>
        <w:keepNext/>
        <w:rPr>
          <w:snapToGrid w:val="0"/>
        </w:rPr>
      </w:pPr>
      <w:r>
        <w:rPr>
          <w:snapToGrid w:val="0"/>
        </w:rPr>
        <w:tab/>
        <w:t>(a)</w:t>
      </w:r>
      <w:r>
        <w:rPr>
          <w:snapToGrid w:val="0"/>
        </w:rPr>
        <w:tab/>
        <w:t>to the extent that the Crown is a consumer; and</w:t>
      </w:r>
    </w:p>
    <w:p>
      <w:pPr>
        <w:pStyle w:val="Indenta"/>
        <w:keepNext/>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spacing w:before="100"/>
        <w:rPr>
          <w:snapToGrid w:val="0"/>
        </w:rPr>
      </w:pPr>
      <w:r>
        <w:rPr>
          <w:snapToGrid w:val="0"/>
        </w:rPr>
        <w:tab/>
      </w:r>
      <w:r>
        <w:rPr>
          <w:snapToGrid w:val="0"/>
        </w:rPr>
        <w:tab/>
        <w:t>but not otherwise.</w:t>
      </w:r>
    </w:p>
    <w:p>
      <w:pPr>
        <w:pStyle w:val="Subsection"/>
        <w:spacing w:before="100"/>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spacing w:before="100"/>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spacing w:before="100"/>
        <w:rPr>
          <w:snapToGrid w:val="0"/>
        </w:rPr>
      </w:pPr>
      <w:r>
        <w:rPr>
          <w:snapToGrid w:val="0"/>
        </w:rPr>
        <w:tab/>
        <w:t>(3)</w:t>
      </w:r>
      <w:r>
        <w:rPr>
          <w:snapToGrid w:val="0"/>
        </w:rPr>
        <w:tab/>
        <w:t xml:space="preserve">The Governor may finally and conclusively determine any question, difference or dispute arising or about to arise in relation to a provision of this Act between an energy operator and any government department or local government with </w:t>
      </w:r>
      <w:r>
        <w:rPr>
          <w:snapToGrid w:val="0"/>
        </w:rPr>
        <w:lastRenderedPageBreak/>
        <w:t>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[Section 6 amended: No. 24 of 1986 s. 6; No. 89 of 1994 s. 39 and 41; No. 14 of 1996 s. 4; No. 58 of 1999 s. 83(1) and (3).]</w:t>
      </w:r>
    </w:p>
    <w:p>
      <w:pPr>
        <w:pStyle w:val="Ednotesection"/>
        <w:ind w:left="890" w:hanging="890"/>
      </w:pPr>
      <w:r>
        <w:t>[</w:t>
      </w:r>
      <w:r>
        <w:rPr>
          <w:b/>
        </w:rPr>
        <w:t>7</w:t>
      </w:r>
      <w:r>
        <w:rPr>
          <w:b/>
        </w:rPr>
        <w:noBreakHyphen/>
        <w:t>15.</w:t>
      </w:r>
      <w:r>
        <w:tab/>
        <w:t>Deleted: No. 89 of 1994 s. 8.]</w:t>
      </w:r>
    </w:p>
    <w:p>
      <w:pPr>
        <w:pStyle w:val="Ednotesection"/>
      </w:pPr>
      <w:r>
        <w:t>[</w:t>
      </w:r>
      <w:r>
        <w:rPr>
          <w:b/>
        </w:rPr>
        <w:t>16.</w:t>
      </w:r>
      <w:r>
        <w:tab/>
        <w:t>Deleted: No. 24 of 1986 s. 13.]</w:t>
      </w:r>
    </w:p>
    <w:p>
      <w:pPr>
        <w:pStyle w:val="Ednotesection"/>
      </w:pPr>
      <w:r>
        <w:t>[</w:t>
      </w:r>
      <w:r>
        <w:rPr>
          <w:b/>
        </w:rPr>
        <w:t>17</w:t>
      </w:r>
      <w:r>
        <w:rPr>
          <w:b/>
        </w:rPr>
        <w:noBreakHyphen/>
        <w:t>19.</w:t>
      </w:r>
      <w:r>
        <w:tab/>
        <w:t>Deleted: No. 89 of 1994 s. 8.]</w:t>
      </w:r>
    </w:p>
    <w:p>
      <w:pPr>
        <w:pStyle w:val="Ednotesection"/>
        <w:ind w:left="890" w:hanging="890"/>
      </w:pPr>
      <w:r>
        <w:t>[</w:t>
      </w:r>
      <w:r>
        <w:rPr>
          <w:b/>
        </w:rPr>
        <w:t>20</w:t>
      </w:r>
      <w:r>
        <w:rPr>
          <w:b/>
        </w:rPr>
        <w:noBreakHyphen/>
        <w:t>25.</w:t>
      </w:r>
      <w:r>
        <w:tab/>
        <w:t>Deleted: No. 24 of 1986 s. 15.]</w:t>
      </w:r>
    </w:p>
    <w:p>
      <w:pPr>
        <w:pStyle w:val="Ednotesection"/>
      </w:pPr>
      <w:r>
        <w:t>[</w:t>
      </w:r>
      <w:r>
        <w:rPr>
          <w:b/>
        </w:rPr>
        <w:t>26, 27, 27A.</w:t>
      </w:r>
      <w:r>
        <w:tab/>
        <w:t>Deleted: No. 89 of 1994 s. 8.]</w:t>
      </w:r>
    </w:p>
    <w:p>
      <w:pPr>
        <w:pStyle w:val="Heading5"/>
        <w:rPr>
          <w:snapToGrid w:val="0"/>
        </w:rPr>
      </w:pPr>
      <w:bookmarkStart w:id="7" w:name="_Toc160785708"/>
      <w:r>
        <w:rPr>
          <w:rStyle w:val="CharSectno"/>
        </w:rPr>
        <w:t>28</w:t>
      </w:r>
      <w:r>
        <w:rPr>
          <w:snapToGrid w:val="0"/>
        </w:rPr>
        <w:t>.</w:t>
      </w:r>
      <w:r>
        <w:rPr>
          <w:snapToGrid w:val="0"/>
        </w:rPr>
        <w:tab/>
        <w:t>Powers of energy operators</w:t>
      </w:r>
      <w:bookmarkEnd w:id="7"/>
    </w:p>
    <w:p>
      <w:pPr>
        <w:pStyle w:val="Ednotesubsection"/>
      </w:pPr>
      <w:r>
        <w:tab/>
        <w:t>[(1), (2)</w:t>
      </w:r>
      <w:r>
        <w:tab/>
        <w:t>deleted]</w:t>
      </w:r>
    </w:p>
    <w:p>
      <w:pPr>
        <w:pStyle w:val="Subsection"/>
        <w:rPr>
          <w:snapToGrid w:val="0"/>
        </w:rPr>
      </w:pPr>
      <w:r>
        <w:rPr>
          <w:snapToGrid w:val="0"/>
        </w:rPr>
        <w:tab/>
        <w:t>(3)</w:t>
      </w:r>
      <w:r>
        <w:rPr>
          <w:snapToGrid w:val="0"/>
        </w:rPr>
        <w:tab/>
        <w:t>An energy operator may —</w:t>
      </w:r>
    </w:p>
    <w:p>
      <w:pPr>
        <w:pStyle w:val="Ednotepara"/>
        <w:rPr>
          <w:snapToGrid w:val="0"/>
        </w:rPr>
      </w:pPr>
      <w:r>
        <w:rPr>
          <w:snapToGrid w:val="0"/>
        </w:rPr>
        <w:tab/>
        <w:t>[(a),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lastRenderedPageBreak/>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[Section 28 amended: No. 101 of 1981 s. 12; No. 36 of 1984 s. 2; No. 24 of 1986 s. 17; No. 89 of 1994 s. 9 and 41; No. 31 of 1997 s. 26(1) and 142; No. 58 of 1999 s. 83(2) and (3).]</w:t>
      </w:r>
    </w:p>
    <w:p>
      <w:pPr>
        <w:pStyle w:val="Ednotesection"/>
      </w:pPr>
      <w:r>
        <w:t>[</w:t>
      </w:r>
      <w:r>
        <w:rPr>
          <w:b/>
        </w:rPr>
        <w:t>29</w:t>
      </w:r>
      <w:r>
        <w:rPr>
          <w:b/>
        </w:rPr>
        <w:noBreakHyphen/>
        <w:t>35.</w:t>
      </w:r>
      <w:r>
        <w:tab/>
        <w:t>Deleted: No. 89 of 1994 s. 10.]</w:t>
      </w:r>
    </w:p>
    <w:p>
      <w:pPr>
        <w:pStyle w:val="Heading5"/>
        <w:rPr>
          <w:snapToGrid w:val="0"/>
        </w:rPr>
      </w:pPr>
      <w:bookmarkStart w:id="8" w:name="_Toc160785709"/>
      <w:r>
        <w:rPr>
          <w:rStyle w:val="CharSectno"/>
        </w:rPr>
        <w:t>36</w:t>
      </w:r>
      <w:r>
        <w:rPr>
          <w:snapToGrid w:val="0"/>
        </w:rPr>
        <w:t>.</w:t>
      </w:r>
      <w:r>
        <w:rPr>
          <w:snapToGrid w:val="0"/>
        </w:rPr>
        <w:tab/>
        <w:t>Estates and interests in land</w:t>
      </w:r>
      <w:bookmarkEnd w:id="8"/>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No. 31 of 1997 s. 142.]</w:t>
      </w:r>
    </w:p>
    <w:p>
      <w:pPr>
        <w:pStyle w:val="Heading5"/>
        <w:rPr>
          <w:snapToGrid w:val="0"/>
        </w:rPr>
      </w:pPr>
      <w:bookmarkStart w:id="9" w:name="_Toc160785710"/>
      <w:r>
        <w:rPr>
          <w:rStyle w:val="CharSectno"/>
        </w:rPr>
        <w:t>37</w:t>
      </w:r>
      <w:r>
        <w:rPr>
          <w:snapToGrid w:val="0"/>
        </w:rPr>
        <w:t>.</w:t>
      </w:r>
      <w:r>
        <w:rPr>
          <w:snapToGrid w:val="0"/>
        </w:rPr>
        <w:tab/>
        <w:t>Partial interests in land</w:t>
      </w:r>
      <w:bookmarkEnd w:id="9"/>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xml:space="preserve">, an energy operator seeks to acquire an estate or interest in or relating to any land that is less than is held by the person from whom the acquisition is sought, the energy operator may, subject to section 45(12), acquire such lesser estate or </w:t>
      </w:r>
      <w:r>
        <w:rPr>
          <w:snapToGrid w:val="0"/>
        </w:rPr>
        <w:lastRenderedPageBreak/>
        <w:t>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[Section 37 amended: No. 89 of 1994 s. 39 and 41; No. 31 of 1997 s. 26(2) and 142; No. 58 of 1999 s. 83(1) and (3).]</w:t>
      </w:r>
    </w:p>
    <w:p>
      <w:pPr>
        <w:pStyle w:val="Heading5"/>
        <w:rPr>
          <w:snapToGrid w:val="0"/>
        </w:rPr>
      </w:pPr>
      <w:bookmarkStart w:id="10" w:name="_Toc160785711"/>
      <w:r>
        <w:rPr>
          <w:rStyle w:val="CharSectno"/>
        </w:rPr>
        <w:t>38</w:t>
      </w:r>
      <w:r>
        <w:rPr>
          <w:snapToGrid w:val="0"/>
        </w:rPr>
        <w:t>.</w:t>
      </w:r>
      <w:r>
        <w:rPr>
          <w:snapToGrid w:val="0"/>
        </w:rPr>
        <w:tab/>
        <w:t>Conveyancing by abbreviated description</w:t>
      </w:r>
      <w:bookmarkEnd w:id="10"/>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xml:space="preserve">, make provision for the use of a standard series of forms describing the more frequently occurring particular kinds of estate or interest </w:t>
      </w:r>
      <w:r>
        <w:rPr>
          <w:snapToGrid w:val="0"/>
        </w:rPr>
        <w:lastRenderedPageBreak/>
        <w:t>less than fee simple which an energy operator acquires pursuant to this Act, and where the estate or interest to be acquired by an energy operator is of one of the particular kinds so prescribed it may,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spacing w:before="100"/>
        <w:rPr>
          <w:snapToGrid w:val="0"/>
        </w:rPr>
      </w:pPr>
      <w:r>
        <w:rPr>
          <w:snapToGrid w:val="0"/>
        </w:rPr>
        <w:tab/>
      </w:r>
      <w:r>
        <w:rPr>
          <w:snapToGrid w:val="0"/>
        </w:rPr>
        <w:tab/>
        <w:t>by reference to the appropriate prescribed standard form.</w:t>
      </w:r>
    </w:p>
    <w:p>
      <w:pPr>
        <w:pStyle w:val="Subsection"/>
        <w:spacing w:before="100"/>
        <w:rPr>
          <w:snapToGrid w:val="0"/>
        </w:rPr>
      </w:pPr>
      <w:r>
        <w:rPr>
          <w:snapToGrid w:val="0"/>
        </w:rPr>
        <w:tab/>
        <w:t>(2)</w:t>
      </w:r>
      <w:r>
        <w:rPr>
          <w:snapToGrid w:val="0"/>
        </w:rPr>
        <w:tab/>
      </w:r>
      <w:r>
        <w:rPr>
          <w:snapToGrid w:val="0"/>
          <w:spacing w:val="-4"/>
        </w:rPr>
        <w:t xml:space="preserve">For the </w:t>
      </w:r>
      <w:r>
        <w:rPr>
          <w:snapToGrid w:val="0"/>
        </w:rPr>
        <w:t>purposes</w:t>
      </w:r>
      <w:r>
        <w:rPr>
          <w:snapToGrid w:val="0"/>
          <w:spacing w:val="-4"/>
        </w:rPr>
        <w:t xml:space="preserve">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spacing w:before="100"/>
      </w:pPr>
      <w:r>
        <w:tab/>
        <w:t>[(3)</w:t>
      </w:r>
      <w:r>
        <w:tab/>
        <w:t>deleted]</w:t>
      </w:r>
    </w:p>
    <w:p>
      <w:pPr>
        <w:pStyle w:val="Subsection"/>
        <w:spacing w:before="80"/>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spacing w:before="80"/>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keepLines w:val="0"/>
        <w:ind w:left="890" w:hanging="890"/>
      </w:pPr>
      <w:r>
        <w:lastRenderedPageBreak/>
        <w:tab/>
        <w:t>[Section 38 amended: No. 89 of 1994 s. 39 and 41; No. 31 of 1997 s. 26(3)-(6); No. 58 of 1999 s. 83(1) and (3); No. 33 of 2004 s. 40.]</w:t>
      </w:r>
    </w:p>
    <w:p>
      <w:pPr>
        <w:pStyle w:val="Heading5"/>
        <w:rPr>
          <w:snapToGrid w:val="0"/>
        </w:rPr>
      </w:pPr>
      <w:bookmarkStart w:id="11" w:name="_Toc160785712"/>
      <w:r>
        <w:rPr>
          <w:rStyle w:val="CharSectno"/>
        </w:rPr>
        <w:t>39</w:t>
      </w:r>
      <w:r>
        <w:rPr>
          <w:snapToGrid w:val="0"/>
        </w:rPr>
        <w:t>.</w:t>
      </w:r>
      <w:r>
        <w:rPr>
          <w:snapToGrid w:val="0"/>
        </w:rPr>
        <w:tab/>
        <w:t>Agreements incidental to land matters</w:t>
      </w:r>
      <w:bookmarkEnd w:id="11"/>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 xml:space="preserve">Where a lease, licence or other interest or right granted in relation to land under subsection (2) is stated in that grant as </w:t>
      </w:r>
      <w:r>
        <w:rPr>
          <w:snapToGrid w:val="0"/>
        </w:rPr>
        <w:lastRenderedPageBreak/>
        <w:t>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[Section 39 amended: No. 24 of 1986 s. 18; No. 89 of 1994 s. 11, 39 and 41; No. 31 of 1997 s. 26(7) and 143; No. 58 of 1999 s. 83(1) and (3).]</w:t>
      </w:r>
    </w:p>
    <w:p>
      <w:pPr>
        <w:pStyle w:val="Heading5"/>
        <w:rPr>
          <w:snapToGrid w:val="0"/>
        </w:rPr>
      </w:pPr>
      <w:bookmarkStart w:id="12" w:name="_Toc160785713"/>
      <w:r>
        <w:rPr>
          <w:rStyle w:val="CharSectno"/>
        </w:rPr>
        <w:t>40</w:t>
      </w:r>
      <w:r>
        <w:rPr>
          <w:snapToGrid w:val="0"/>
        </w:rPr>
        <w:t>.</w:t>
      </w:r>
      <w:r>
        <w:rPr>
          <w:snapToGrid w:val="0"/>
        </w:rPr>
        <w:tab/>
        <w:t>Power to dispose of land</w:t>
      </w:r>
      <w:bookmarkEnd w:id="12"/>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w:t>
      </w:r>
      <w:r>
        <w:rPr>
          <w:snapToGrid w:val="0"/>
        </w:rPr>
        <w:lastRenderedPageBreak/>
        <w:t xml:space="preserve">of the </w:t>
      </w:r>
      <w:r>
        <w:rPr>
          <w:i/>
          <w:snapToGrid w:val="0"/>
        </w:rPr>
        <w:t>Land Administration Act 1997</w:t>
      </w:r>
      <w:r>
        <w:rPr>
          <w:snapToGrid w:val="0"/>
        </w:rPr>
        <w:t xml:space="preserve"> shall not have effect in relation thereto.</w:t>
      </w:r>
    </w:p>
    <w:p>
      <w:pPr>
        <w:pStyle w:val="Footnotesection"/>
        <w:ind w:left="890" w:hanging="890"/>
      </w:pPr>
      <w:r>
        <w:tab/>
        <w:t>[Section 40 amended: No. 24 of 1986 s. 19; No. 89 of 1994 s. 12, 39 and 41; No. 31 of 1997 s. 26(8) and 142; No. 58 of 1999 s. 83(1) and (3).]</w:t>
      </w:r>
    </w:p>
    <w:p>
      <w:pPr>
        <w:pStyle w:val="Heading5"/>
        <w:rPr>
          <w:snapToGrid w:val="0"/>
        </w:rPr>
      </w:pPr>
      <w:bookmarkStart w:id="13" w:name="_Toc160785714"/>
      <w:r>
        <w:rPr>
          <w:rStyle w:val="CharSectno"/>
        </w:rPr>
        <w:t>41</w:t>
      </w:r>
      <w:r>
        <w:rPr>
          <w:snapToGrid w:val="0"/>
        </w:rPr>
        <w:t>.</w:t>
      </w:r>
      <w:r>
        <w:rPr>
          <w:snapToGrid w:val="0"/>
        </w:rPr>
        <w:tab/>
        <w:t>Planning approvals</w:t>
      </w:r>
      <w:bookmarkEnd w:id="13"/>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[Section 41 amended: No. 84 of 1994 s. 46; No. 89 of 1994 s. 39 and 41; No. 58 of 1999 s. 83(1) and (3); No. 38 of 2005 s. 15.]</w:t>
      </w:r>
    </w:p>
    <w:p>
      <w:pPr>
        <w:pStyle w:val="Heading5"/>
        <w:rPr>
          <w:snapToGrid w:val="0"/>
        </w:rPr>
      </w:pPr>
      <w:bookmarkStart w:id="14" w:name="_Toc160785715"/>
      <w:r>
        <w:rPr>
          <w:rStyle w:val="CharSectno"/>
        </w:rPr>
        <w:t>42</w:t>
      </w:r>
      <w:r>
        <w:rPr>
          <w:snapToGrid w:val="0"/>
        </w:rPr>
        <w:t>.</w:t>
      </w:r>
      <w:r>
        <w:rPr>
          <w:snapToGrid w:val="0"/>
        </w:rPr>
        <w:tab/>
        <w:t>Energy operator to have certain rights to water</w:t>
      </w:r>
      <w:bookmarkEnd w:id="14"/>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w:t>
      </w:r>
    </w:p>
    <w:p>
      <w:pPr>
        <w:pStyle w:val="Indenta"/>
      </w:pPr>
      <w:r>
        <w:tab/>
        <w:t>(a)</w:t>
      </w:r>
      <w:r>
        <w:tab/>
        <w:t xml:space="preserve">the powers, authorities and functions of a licensee as defined in the </w:t>
      </w:r>
      <w:r>
        <w:rPr>
          <w:i/>
          <w:iCs/>
        </w:rPr>
        <w:t xml:space="preserve">Water Services Act 2012 </w:t>
      </w:r>
      <w:r>
        <w:t xml:space="preserve">section 3(1), the Minister administering the </w:t>
      </w:r>
      <w:r>
        <w:rPr>
          <w:i/>
          <w:iCs/>
        </w:rPr>
        <w:t>Water Agencies (Powers) Act 1984</w:t>
      </w:r>
      <w:r>
        <w:t xml:space="preserve"> and any statutory authority within the meaning of that Act; and</w:t>
      </w:r>
    </w:p>
    <w:p>
      <w:pPr>
        <w:pStyle w:val="Indenta"/>
        <w:rPr>
          <w:snapToGrid w:val="0"/>
        </w:rPr>
      </w:pPr>
      <w:r>
        <w:rPr>
          <w:snapToGrid w:val="0"/>
        </w:rPr>
        <w:lastRenderedPageBreak/>
        <w:tab/>
        <w:t>(b)</w:t>
      </w:r>
      <w:r>
        <w:rPr>
          <w:snapToGrid w:val="0"/>
        </w:rPr>
        <w:tab/>
        <w:t>the rights, benefits and privileges of other persons under the Acts referred to in subsection (1).</w:t>
      </w:r>
    </w:p>
    <w:p>
      <w:pPr>
        <w:pStyle w:val="Footnotesection"/>
      </w:pPr>
      <w:r>
        <w:tab/>
        <w:t>[Section 42 amended: No. 24 of 1986 s. 20; No. 89 of 1994 s. 13, 39 and 41; No. 73 of 1995 s. 188; No. 58 of 1999 s. 83(1) and (3); No. 38 of 2007 s. 193; No. 25 of 2012 s. 210.]</w:t>
      </w:r>
    </w:p>
    <w:p>
      <w:pPr>
        <w:pStyle w:val="Heading5"/>
        <w:rPr>
          <w:snapToGrid w:val="0"/>
        </w:rPr>
      </w:pPr>
      <w:bookmarkStart w:id="15" w:name="_Toc160785716"/>
      <w:r>
        <w:rPr>
          <w:rStyle w:val="CharSectno"/>
        </w:rPr>
        <w:t>43</w:t>
      </w:r>
      <w:r>
        <w:rPr>
          <w:snapToGrid w:val="0"/>
        </w:rPr>
        <w:t>.</w:t>
      </w:r>
      <w:r>
        <w:rPr>
          <w:snapToGrid w:val="0"/>
        </w:rPr>
        <w:tab/>
        <w:t>Property in works</w:t>
      </w:r>
      <w:bookmarkEnd w:id="15"/>
    </w:p>
    <w:p>
      <w:pPr>
        <w:pStyle w:val="Subsection"/>
        <w:rPr>
          <w:snapToGrid w:val="0"/>
        </w:rPr>
      </w:pPr>
      <w:r>
        <w:rPr>
          <w:snapToGrid w:val="0"/>
        </w:rPr>
        <w:tab/>
        <w:t>(1)</w:t>
      </w:r>
      <w:r>
        <w:rPr>
          <w:snapToGrid w:val="0"/>
        </w:rPr>
        <w:tab/>
        <w:t>Where any works or other things are or have been placed upon, in, over or under any land by —</w:t>
      </w:r>
    </w:p>
    <w:p>
      <w:pPr>
        <w:pStyle w:val="Indenta"/>
        <w:rPr>
          <w:snapToGrid w:val="0"/>
        </w:rPr>
      </w:pPr>
      <w:r>
        <w:rPr>
          <w:snapToGrid w:val="0"/>
        </w:rPr>
        <w:tab/>
        <w:t>(a)</w:t>
      </w:r>
      <w:r>
        <w:rPr>
          <w:snapToGrid w:val="0"/>
        </w:rPr>
        <w:tab/>
        <w:t>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Where any works or other things are or have been placed upon, in, over or under any land by a person under an agreement or arrangement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rStyle w:val="CharDefText"/>
        </w:rPr>
        <w:t>transfer event</w:t>
      </w:r>
      <w:r>
        <w:rPr>
          <w:snapToGrid w:val="0"/>
        </w:rPr>
        <w:t>),</w:t>
      </w:r>
    </w:p>
    <w:p>
      <w:pPr>
        <w:pStyle w:val="Subsection"/>
        <w:spacing w:before="120"/>
      </w:pPr>
      <w:r>
        <w:rPr>
          <w:snapToGrid w:val="0"/>
        </w:rPr>
        <w:tab/>
      </w:r>
      <w:r>
        <w:rPr>
          <w:snapToGrid w:val="0"/>
        </w:rPr>
        <w:tab/>
        <w:t xml:space="preserve">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w:t>
      </w:r>
      <w:r>
        <w:rPr>
          <w:snapToGrid w:val="0"/>
        </w:rPr>
        <w:lastRenderedPageBreak/>
        <w:t>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[Section 43 amended: No. 36 of 1984 s. 3; No. 30 of 1987 s. 7; No. 89 of 1994 s. 14, 39, 40 and 41; No. 58 of 1999 s. 83; No. 33 of 2004 s. 41.]</w:t>
      </w:r>
    </w:p>
    <w:p>
      <w:pPr>
        <w:pStyle w:val="Ednotesection"/>
      </w:pPr>
      <w:r>
        <w:t>[</w:t>
      </w:r>
      <w:r>
        <w:rPr>
          <w:b/>
        </w:rPr>
        <w:t>44.</w:t>
      </w:r>
      <w:r>
        <w:rPr>
          <w:b/>
        </w:rPr>
        <w:tab/>
      </w:r>
      <w:r>
        <w:t>Deleted: No. 89 of 1994 s. 15.]</w:t>
      </w:r>
    </w:p>
    <w:p>
      <w:pPr>
        <w:pStyle w:val="Heading5"/>
        <w:rPr>
          <w:snapToGrid w:val="0"/>
        </w:rPr>
      </w:pPr>
      <w:bookmarkStart w:id="16" w:name="_Toc160785717"/>
      <w:r>
        <w:rPr>
          <w:rStyle w:val="CharSectno"/>
        </w:rPr>
        <w:t>45</w:t>
      </w:r>
      <w:r>
        <w:rPr>
          <w:snapToGrid w:val="0"/>
        </w:rPr>
        <w:t>.</w:t>
      </w:r>
      <w:r>
        <w:rPr>
          <w:snapToGrid w:val="0"/>
        </w:rPr>
        <w:tab/>
        <w:t xml:space="preserve">Claims against the energy operator for the use of land and the application of the </w:t>
      </w:r>
      <w:r>
        <w:rPr>
          <w:i/>
          <w:snapToGrid w:val="0"/>
        </w:rPr>
        <w:t>Land Administration Act 1997</w:t>
      </w:r>
      <w:bookmarkEnd w:id="16"/>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 xml:space="preserve">No claim lies against an energy operator by reason of any loss of enjoyment or amenity value, or by reason of any change in </w:t>
      </w:r>
      <w:r>
        <w:rPr>
          <w:snapToGrid w:val="0"/>
        </w:rPr>
        <w:lastRenderedPageBreak/>
        <w:t>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w:t>
      </w:r>
    </w:p>
    <w:p>
      <w:pPr>
        <w:pStyle w:val="Indenta"/>
        <w:rPr>
          <w:snapToGrid w:val="0"/>
        </w:rPr>
      </w:pPr>
      <w:r>
        <w:rPr>
          <w:snapToGrid w:val="0"/>
        </w:rPr>
        <w:tab/>
        <w:t>(a)</w:t>
      </w:r>
      <w:r>
        <w:rPr>
          <w:snapToGrid w:val="0"/>
        </w:rPr>
        <w:tab/>
        <w:t>generating works; and</w:t>
      </w:r>
    </w:p>
    <w:p>
      <w:pPr>
        <w:pStyle w:val="Indenta"/>
        <w:rPr>
          <w:snapToGrid w:val="0"/>
        </w:rPr>
      </w:pPr>
      <w:r>
        <w:rPr>
          <w:snapToGrid w:val="0"/>
        </w:rPr>
        <w:tab/>
        <w:t>(b)</w:t>
      </w:r>
      <w:r>
        <w:rPr>
          <w:snapToGrid w:val="0"/>
        </w:rPr>
        <w:tab/>
        <w:t>all electricity transmission works operating at 200 000 volts or above; and</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pPr>
      <w:r>
        <w:tab/>
        <w:t>(4A)</w:t>
      </w:r>
      <w:r>
        <w:tab/>
        <w:t xml:space="preserve">In subsection (4)(a) — </w:t>
      </w:r>
    </w:p>
    <w:p>
      <w:pPr>
        <w:pStyle w:val="Defstart"/>
      </w:pPr>
      <w:r>
        <w:lastRenderedPageBreak/>
        <w:tab/>
      </w:r>
      <w:r>
        <w:rPr>
          <w:rStyle w:val="CharDefText"/>
        </w:rPr>
        <w:t>generating works</w:t>
      </w:r>
      <w:r>
        <w:t xml:space="preserve"> does not include a stand</w:t>
      </w:r>
      <w:r>
        <w:noBreakHyphen/>
        <w:t xml:space="preserve">alone power system (as defined in the </w:t>
      </w:r>
      <w:r>
        <w:rPr>
          <w:i/>
        </w:rPr>
        <w:t>Electricity Industry Act 2004</w:t>
      </w:r>
      <w:r>
        <w:t xml:space="preserve"> section 3(1)) being constructed, installed, operated or maintained in accordance with the regulations and Code made under Part 8 of that Act.</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lastRenderedPageBreak/>
        <w:tab/>
        <w:t>[(8)</w:t>
      </w:r>
      <w:r>
        <w:tab/>
        <w:t>deleted]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lastRenderedPageBreak/>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lastRenderedPageBreak/>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In subsections (9) and (10) —</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No. 24 of 1986 s. 21; No. 89 of 1994 s. 16, 39 and 41; No. 14 of 1996 s. 4; No. 31 of 1997 s. 26(9)</w:t>
      </w:r>
      <w:r>
        <w:noBreakHyphen/>
        <w:t>(18) and 142; No. 58 of 1999 s. 80 and 83(1) and (3); No. 24 of 2000 s. 14(13); No. 33 of 2004 s. 42; No. 9 of 2020 s. 31(2).]</w:t>
      </w:r>
    </w:p>
    <w:p>
      <w:pPr>
        <w:pStyle w:val="Heading5"/>
        <w:rPr>
          <w:snapToGrid w:val="0"/>
        </w:rPr>
      </w:pPr>
      <w:bookmarkStart w:id="17" w:name="_Toc160785718"/>
      <w:r>
        <w:rPr>
          <w:rStyle w:val="CharSectno"/>
        </w:rPr>
        <w:t>46</w:t>
      </w:r>
      <w:r>
        <w:rPr>
          <w:snapToGrid w:val="0"/>
        </w:rPr>
        <w:t>.</w:t>
      </w:r>
      <w:r>
        <w:rPr>
          <w:snapToGrid w:val="0"/>
        </w:rPr>
        <w:tab/>
        <w:t>The power of entry, generally</w:t>
      </w:r>
      <w:bookmarkEnd w:id="17"/>
    </w:p>
    <w:p>
      <w:pPr>
        <w:pStyle w:val="Subsection"/>
        <w:spacing w:before="120"/>
        <w:rPr>
          <w:snapToGrid w:val="0"/>
        </w:rPr>
      </w:pPr>
      <w:r>
        <w:rPr>
          <w:snapToGrid w:val="0"/>
        </w:rPr>
        <w:tab/>
        <w:t>(1)</w:t>
      </w:r>
      <w:r>
        <w:rPr>
          <w:snapToGrid w:val="0"/>
        </w:rPr>
        <w:tab/>
        <w:t xml:space="preserve">In this section, a reference to </w:t>
      </w:r>
      <w:r>
        <w:t xml:space="preserve">a </w:t>
      </w:r>
      <w:r>
        <w:rPr>
          <w:rStyle w:val="CharDefText"/>
        </w:rPr>
        <w:t>power of entry</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lastRenderedPageBreak/>
        <w:tab/>
        <w:t>(3)</w:t>
      </w:r>
      <w:r>
        <w:rPr>
          <w:snapToGrid w:val="0"/>
        </w:rPr>
        <w:tab/>
        <w:t>The power of entry conferred by this section does not authorise or require an energy operator to acquire any interest in any land except such as —</w:t>
      </w:r>
    </w:p>
    <w:p>
      <w:pPr>
        <w:pStyle w:val="Indenta"/>
        <w:rPr>
          <w:snapToGrid w:val="0"/>
        </w:rPr>
      </w:pPr>
      <w:r>
        <w:rPr>
          <w:snapToGrid w:val="0"/>
        </w:rPr>
        <w:tab/>
        <w:t>(a)</w:t>
      </w:r>
      <w:r>
        <w:rPr>
          <w:snapToGrid w:val="0"/>
        </w:rPr>
        <w:tab/>
        <w:t>the energy operator elects to acquire by agreement; or</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 xml:space="preserve">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w:t>
      </w:r>
      <w:r>
        <w:rPr>
          <w:snapToGrid w:val="0"/>
        </w:rPr>
        <w:lastRenderedPageBreak/>
        <w:t>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w:t>
      </w:r>
      <w:r>
        <w:rPr>
          <w:snapToGrid w:val="0"/>
        </w:rPr>
        <w:lastRenderedPageBreak/>
        <w:t xml:space="preserve">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 xml:space="preserve">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w:t>
      </w:r>
      <w:r>
        <w:rPr>
          <w:snapToGrid w:val="0"/>
        </w:rPr>
        <w:lastRenderedPageBreak/>
        <w:t>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[Section 46 amended: No. 89 of 1994 s. 17, 39, 40 and 41; No. 31 of 1997 s. 26(19) and (20) and 142; No. 58 of 1999 s. 83; No. 33 of 2004 s. 43.]</w:t>
      </w:r>
    </w:p>
    <w:p>
      <w:pPr>
        <w:pStyle w:val="Heading5"/>
        <w:rPr>
          <w:snapToGrid w:val="0"/>
        </w:rPr>
      </w:pPr>
      <w:bookmarkStart w:id="18" w:name="_Toc160785719"/>
      <w:r>
        <w:rPr>
          <w:rStyle w:val="CharSectno"/>
        </w:rPr>
        <w:t>47</w:t>
      </w:r>
      <w:r>
        <w:rPr>
          <w:snapToGrid w:val="0"/>
        </w:rPr>
        <w:t>.</w:t>
      </w:r>
      <w:r>
        <w:rPr>
          <w:snapToGrid w:val="0"/>
        </w:rPr>
        <w:tab/>
        <w:t>Service of notice by post on owner or occupier</w:t>
      </w:r>
      <w:bookmarkEnd w:id="18"/>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rPr>
          <w:snapToGrid w:val="0"/>
        </w:rPr>
      </w:pPr>
      <w:bookmarkStart w:id="19" w:name="_Toc160785720"/>
      <w:r>
        <w:rPr>
          <w:rStyle w:val="CharSectno"/>
        </w:rPr>
        <w:t>48</w:t>
      </w:r>
      <w:r>
        <w:rPr>
          <w:snapToGrid w:val="0"/>
        </w:rPr>
        <w:t>.</w:t>
      </w:r>
      <w:r>
        <w:rPr>
          <w:snapToGrid w:val="0"/>
        </w:rPr>
        <w:tab/>
        <w:t>Rights as to entry on lands etc. in emergency</w:t>
      </w:r>
      <w:bookmarkEnd w:id="19"/>
    </w:p>
    <w:p>
      <w:pPr>
        <w:pStyle w:val="Subsection"/>
        <w:rPr>
          <w:snapToGrid w:val="0"/>
        </w:rPr>
      </w:pPr>
      <w:r>
        <w:rPr>
          <w:snapToGrid w:val="0"/>
        </w:rPr>
        <w:tab/>
        <w:t>(1)</w:t>
      </w:r>
      <w:r>
        <w:rPr>
          <w:snapToGrid w:val="0"/>
        </w:rPr>
        <w:tab/>
        <w:t>Where it appears to an energy operator, or a person authorised under the provisions of section 4, that by reason of —</w:t>
      </w:r>
    </w:p>
    <w:p>
      <w:pPr>
        <w:pStyle w:val="Indenta"/>
        <w:rPr>
          <w:snapToGrid w:val="0"/>
        </w:rPr>
      </w:pPr>
      <w:r>
        <w:rPr>
          <w:snapToGrid w:val="0"/>
        </w:rPr>
        <w:lastRenderedPageBreak/>
        <w:tab/>
        <w:t>(a)</w:t>
      </w:r>
      <w:r>
        <w:rPr>
          <w:snapToGrid w:val="0"/>
        </w:rPr>
        <w:tab/>
        <w:t>actual or apprehended danger to any person or property; or</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 or</w:t>
      </w:r>
    </w:p>
    <w:p>
      <w:pPr>
        <w:pStyle w:val="Indenta"/>
        <w:rPr>
          <w:snapToGrid w:val="0"/>
        </w:rPr>
      </w:pPr>
      <w:r>
        <w:rPr>
          <w:snapToGrid w:val="0"/>
        </w:rPr>
        <w:tab/>
        <w:t>(c)</w:t>
      </w:r>
      <w:r>
        <w:rPr>
          <w:snapToGrid w:val="0"/>
        </w:rPr>
        <w:tab/>
        <w:t>an urgent necessity to restore or provide a supply of energy to any place or person; or</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(3)</w:t>
      </w:r>
      <w:r>
        <w:rPr>
          <w:snapToGrid w:val="0"/>
        </w:rPr>
        <w:tab/>
        <w:t xml:space="preserve">An energy operator or other person authorised pursuant to this section shall, as soon as may be, as regards any land, premises </w:t>
      </w:r>
      <w:r>
        <w:rPr>
          <w:snapToGrid w:val="0"/>
        </w:rPr>
        <w:lastRenderedPageBreak/>
        <w:t>or thing entry on or into which was effected for the purposes of this section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ind w:left="890" w:hanging="890"/>
      </w:pPr>
      <w:r>
        <w:tab/>
        <w:t>[Section 48 amended: No. 24 of 1986 s. 22; No. 89 of 1994 s. 39, 40 and 41; No. 58 of 1999 s. 83.]</w:t>
      </w:r>
    </w:p>
    <w:p>
      <w:pPr>
        <w:pStyle w:val="Heading5"/>
        <w:keepNext w:val="0"/>
        <w:keepLines w:val="0"/>
        <w:rPr>
          <w:snapToGrid w:val="0"/>
        </w:rPr>
      </w:pPr>
      <w:bookmarkStart w:id="20" w:name="_Toc160785721"/>
      <w:r>
        <w:rPr>
          <w:rStyle w:val="CharSectno"/>
        </w:rPr>
        <w:t>49</w:t>
      </w:r>
      <w:r>
        <w:rPr>
          <w:snapToGrid w:val="0"/>
        </w:rPr>
        <w:t>.</w:t>
      </w:r>
      <w:r>
        <w:rPr>
          <w:snapToGrid w:val="0"/>
        </w:rPr>
        <w:tab/>
        <w:t>General powers relating to works</w:t>
      </w:r>
      <w:bookmarkEnd w:id="20"/>
    </w:p>
    <w:p>
      <w:pPr>
        <w:pStyle w:val="Subsection"/>
        <w:keepNext/>
        <w:rPr>
          <w:snapToGrid w:val="0"/>
        </w:rPr>
      </w:pPr>
      <w:r>
        <w:rPr>
          <w:snapToGrid w:val="0"/>
        </w:rPr>
        <w:tab/>
      </w:r>
      <w:r>
        <w:rPr>
          <w:snapToGrid w:val="0"/>
        </w:rPr>
        <w:tab/>
        <w:t>For the purposes of, and subject to this Act, an energy operator may exercise the power —</w:t>
      </w:r>
    </w:p>
    <w:p>
      <w:pPr>
        <w:pStyle w:val="Indenta"/>
      </w:pPr>
      <w:r>
        <w:tab/>
        <w:t>(a)</w:t>
      </w:r>
      <w:r>
        <w:tab/>
        <w:t xml:space="preserve">to enter upon any land which may be required to be used for the purposes of the energy operator and there make surveys, clear lines of sight, take levels, make or set up beacons, trenches or other marks, sink bores, take soil or other samples and do any other acts or things </w:t>
      </w:r>
      <w:r>
        <w:lastRenderedPageBreak/>
        <w:t>whatsoever necessary for the investigation or demarcation of such lands; and</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 and</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r>
        <w:t xml:space="preserve"> and</w:t>
      </w:r>
    </w:p>
    <w:p>
      <w:pPr>
        <w:pStyle w:val="Indenti"/>
        <w:keepLines/>
        <w:rPr>
          <w:snapToGrid w:val="0"/>
        </w:rPr>
      </w:pPr>
      <w:r>
        <w:rPr>
          <w:snapToGrid w:val="0"/>
        </w:rPr>
        <w:tab/>
        <w:t>(ii)</w:t>
      </w:r>
      <w:r>
        <w:rPr>
          <w:snapToGrid w:val="0"/>
        </w:rPr>
        <w:tab/>
        <w:t>utilise water;</w:t>
      </w:r>
      <w:r>
        <w:t xml:space="preserve"> and</w:t>
      </w:r>
    </w:p>
    <w:p>
      <w:pPr>
        <w:pStyle w:val="Indenti"/>
        <w:keepNext/>
        <w:rPr>
          <w:snapToGrid w:val="0"/>
        </w:rPr>
      </w:pPr>
      <w:r>
        <w:rPr>
          <w:snapToGrid w:val="0"/>
        </w:rPr>
        <w:tab/>
        <w:t>(iii)</w:t>
      </w:r>
      <w:r>
        <w:rPr>
          <w:snapToGrid w:val="0"/>
        </w:rPr>
        <w:tab/>
        <w:t>make or alter watercourses drainage, means of access and transit;</w:t>
      </w:r>
      <w:r>
        <w:t xml:space="preserve"> and</w:t>
      </w:r>
    </w:p>
    <w:p>
      <w:pPr>
        <w:pStyle w:val="Indenti"/>
        <w:keepNext/>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w:t>
      </w:r>
      <w:r>
        <w:rPr>
          <w:snapToGrid w:val="0"/>
        </w:rPr>
        <w:lastRenderedPageBreak/>
        <w:t>removed but may, if so required by the energy operator, be affixed to the new structure);</w:t>
      </w:r>
      <w:r>
        <w:t xml:space="preserve"> and</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[Section 49 amended: No. 89 of 1994 s. 39 and 41; No. 58 of 1999 s. 83(1) and (3).]</w:t>
      </w:r>
    </w:p>
    <w:p>
      <w:pPr>
        <w:pStyle w:val="Heading5"/>
        <w:rPr>
          <w:snapToGrid w:val="0"/>
        </w:rPr>
      </w:pPr>
      <w:bookmarkStart w:id="21" w:name="_Toc160785722"/>
      <w:r>
        <w:rPr>
          <w:rStyle w:val="CharSectno"/>
          <w:spacing w:val="-4"/>
        </w:rPr>
        <w:t>50</w:t>
      </w:r>
      <w:r>
        <w:rPr>
          <w:snapToGrid w:val="0"/>
        </w:rPr>
        <w:t>.</w:t>
      </w:r>
      <w:r>
        <w:rPr>
          <w:snapToGrid w:val="0"/>
        </w:rPr>
        <w:tab/>
        <w:t>Restrictions on the exercise of the general powers</w:t>
      </w:r>
      <w:bookmarkEnd w:id="21"/>
    </w:p>
    <w:p>
      <w:pPr>
        <w:pStyle w:val="Subsection"/>
        <w:spacing w:before="100"/>
        <w:rPr>
          <w:snapToGrid w:val="0"/>
        </w:rPr>
      </w:pPr>
      <w:r>
        <w:rPr>
          <w:snapToGrid w:val="0"/>
        </w:rPr>
        <w:tab/>
      </w:r>
      <w:r>
        <w:rPr>
          <w:snapToGrid w:val="0"/>
        </w:rPr>
        <w:tab/>
        <w:t>In the exercise of the powers conferred under section 49 an energy operator shall ensure that so far as is reasonable and practicable —</w:t>
      </w:r>
    </w:p>
    <w:p>
      <w:pPr>
        <w:pStyle w:val="Indenta"/>
        <w:rPr>
          <w:snapToGrid w:val="0"/>
        </w:rPr>
      </w:pPr>
      <w:r>
        <w:rPr>
          <w:snapToGrid w:val="0"/>
        </w:rPr>
        <w:tab/>
        <w:t>(a)</w:t>
      </w:r>
      <w:r>
        <w:rPr>
          <w:snapToGrid w:val="0"/>
        </w:rPr>
        <w:tab/>
        <w:t>the free use of any land, street, shore or water is not obstructed;</w:t>
      </w:r>
      <w:r>
        <w:t xml:space="preserve"> and</w:t>
      </w:r>
    </w:p>
    <w:p>
      <w:pPr>
        <w:pStyle w:val="Indenta"/>
        <w:rPr>
          <w:snapToGrid w:val="0"/>
        </w:rPr>
      </w:pPr>
      <w:r>
        <w:rPr>
          <w:snapToGrid w:val="0"/>
        </w:rPr>
        <w:tab/>
        <w:t>(b)</w:t>
      </w:r>
      <w:r>
        <w:rPr>
          <w:snapToGrid w:val="0"/>
        </w:rPr>
        <w:tab/>
        <w:t xml:space="preserve">any works or installations fixed or crossing above the surface of any land, or of any navigable waters, are at a sufficient height or are otherwise so dealt with as to ensure that a source of danger is not likely to be </w:t>
      </w:r>
      <w:r>
        <w:rPr>
          <w:snapToGrid w:val="0"/>
        </w:rPr>
        <w:lastRenderedPageBreak/>
        <w:t>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0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[Section 50 amended: No. 89 of 1994 s. 39; No. 58 of 1999 s. 83(1).]</w:t>
      </w:r>
    </w:p>
    <w:p>
      <w:pPr>
        <w:pStyle w:val="Heading5"/>
        <w:rPr>
          <w:snapToGrid w:val="0"/>
        </w:rPr>
      </w:pPr>
      <w:bookmarkStart w:id="22" w:name="_Toc160785723"/>
      <w:r>
        <w:rPr>
          <w:rStyle w:val="CharSectno"/>
        </w:rPr>
        <w:t>51</w:t>
      </w:r>
      <w:r>
        <w:rPr>
          <w:snapToGrid w:val="0"/>
        </w:rPr>
        <w:t>.</w:t>
      </w:r>
      <w:r>
        <w:rPr>
          <w:snapToGrid w:val="0"/>
        </w:rPr>
        <w:tab/>
        <w:t>Alteration to works in streets</w:t>
      </w:r>
      <w:bookmarkEnd w:id="22"/>
    </w:p>
    <w:p>
      <w:pPr>
        <w:pStyle w:val="Subsection"/>
        <w:spacing w:before="100"/>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[Section 51 amended: No. 89 of 1994 s. 39 and 41; No. 58 of 1999 s. 83(1) and (3).]</w:t>
      </w:r>
    </w:p>
    <w:p>
      <w:pPr>
        <w:pStyle w:val="Heading5"/>
        <w:rPr>
          <w:snapToGrid w:val="0"/>
        </w:rPr>
      </w:pPr>
      <w:bookmarkStart w:id="23" w:name="_Toc160785724"/>
      <w:r>
        <w:rPr>
          <w:rStyle w:val="CharSectno"/>
        </w:rPr>
        <w:t>52</w:t>
      </w:r>
      <w:r>
        <w:rPr>
          <w:snapToGrid w:val="0"/>
        </w:rPr>
        <w:t>.</w:t>
      </w:r>
      <w:r>
        <w:rPr>
          <w:snapToGrid w:val="0"/>
        </w:rPr>
        <w:tab/>
        <w:t>Street levels and widths</w:t>
      </w:r>
      <w:bookmarkEnd w:id="23"/>
    </w:p>
    <w:p>
      <w:pPr>
        <w:pStyle w:val="Subsection"/>
        <w:rPr>
          <w:snapToGrid w:val="0"/>
        </w:rPr>
      </w:pPr>
      <w:r>
        <w:rPr>
          <w:snapToGrid w:val="0"/>
        </w:rPr>
        <w:tab/>
        <w:t>(1)</w:t>
      </w:r>
      <w:r>
        <w:rPr>
          <w:snapToGrid w:val="0"/>
        </w:rPr>
        <w:tab/>
        <w:t xml:space="preserve">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w:t>
      </w:r>
      <w:r>
        <w:rPr>
          <w:snapToGrid w:val="0"/>
        </w:rPr>
        <w:lastRenderedPageBreak/>
        <w:t>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[Section 52 amended: No. 89 of 1994 s. 39 and 41; No. 58 of 1999 s. 83(1) and (3).]</w:t>
      </w:r>
    </w:p>
    <w:p>
      <w:pPr>
        <w:pStyle w:val="Heading5"/>
        <w:rPr>
          <w:snapToGrid w:val="0"/>
        </w:rPr>
      </w:pPr>
      <w:bookmarkStart w:id="24" w:name="_Toc160785725"/>
      <w:r>
        <w:rPr>
          <w:rStyle w:val="CharSectno"/>
        </w:rPr>
        <w:t>53</w:t>
      </w:r>
      <w:r>
        <w:rPr>
          <w:snapToGrid w:val="0"/>
        </w:rPr>
        <w:t>.</w:t>
      </w:r>
      <w:r>
        <w:rPr>
          <w:snapToGrid w:val="0"/>
        </w:rPr>
        <w:tab/>
        <w:t>Streets broken up to be reinstated without delay</w:t>
      </w:r>
      <w:bookmarkEnd w:id="24"/>
    </w:p>
    <w:p>
      <w:pPr>
        <w:pStyle w:val="Subsection"/>
        <w:keepNext/>
        <w:keepLines/>
        <w:rPr>
          <w:snapToGrid w:val="0"/>
        </w:rPr>
      </w:pPr>
      <w:r>
        <w:rPr>
          <w:snapToGrid w:val="0"/>
        </w:rPr>
        <w:tab/>
        <w:t>(1)</w:t>
      </w:r>
      <w:r>
        <w:rPr>
          <w:snapToGrid w:val="0"/>
        </w:rPr>
        <w:tab/>
        <w:t>Where an energy operator opens or breaks up the surface of any street or pavement the energy operator shall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 xml:space="preserve">An energy operator shall indemnify and keep indemnified any local or other authority from and against all actions, claims, proceedings, loss, damage, costs, or expenses for which that authority may be liable arising from or relating to any acts or </w:t>
      </w:r>
      <w:r>
        <w:rPr>
          <w:snapToGrid w:val="0"/>
        </w:rPr>
        <w:lastRenderedPageBreak/>
        <w:t>omissions of the energy operator done or omitted to be done contrary to subsection (1) in relation to any street or pavement under the control and management of that authority.</w:t>
      </w:r>
    </w:p>
    <w:p>
      <w:pPr>
        <w:pStyle w:val="Footnotesection"/>
      </w:pPr>
      <w:r>
        <w:tab/>
        <w:t>[Section 53 amended: No. 89 of 1994 s. 39, 40 and 41; No. 58 of 1999 s. 83.]</w:t>
      </w:r>
    </w:p>
    <w:p>
      <w:pPr>
        <w:pStyle w:val="Heading5"/>
        <w:rPr>
          <w:snapToGrid w:val="0"/>
        </w:rPr>
      </w:pPr>
      <w:bookmarkStart w:id="25" w:name="_Toc160785726"/>
      <w:r>
        <w:rPr>
          <w:rStyle w:val="CharSectno"/>
        </w:rPr>
        <w:t>54</w:t>
      </w:r>
      <w:r>
        <w:rPr>
          <w:snapToGrid w:val="0"/>
        </w:rPr>
        <w:t>.</w:t>
      </w:r>
      <w:r>
        <w:rPr>
          <w:snapToGrid w:val="0"/>
        </w:rPr>
        <w:tab/>
        <w:t>Duty and powers, as to vegetation causing interference</w:t>
      </w:r>
      <w:bookmarkEnd w:id="25"/>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lastRenderedPageBreak/>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[Section 54 amended: No. 89 of 1994 s. 39 and 41; No. 14 of 1996 s. 4; No. 58 of 1999 s. 83(1) and (3).]</w:t>
      </w:r>
    </w:p>
    <w:p>
      <w:pPr>
        <w:pStyle w:val="Ednotesection"/>
      </w:pPr>
      <w:r>
        <w:t>[</w:t>
      </w:r>
      <w:r>
        <w:rPr>
          <w:b/>
          <w:bCs/>
        </w:rPr>
        <w:t>55.</w:t>
      </w:r>
      <w:r>
        <w:tab/>
        <w:t>Deleted: No. 8 of 2006 s. 4.]</w:t>
      </w:r>
    </w:p>
    <w:p>
      <w:pPr>
        <w:pStyle w:val="Ednotesection"/>
      </w:pPr>
      <w:r>
        <w:t>[</w:t>
      </w:r>
      <w:r>
        <w:rPr>
          <w:b/>
        </w:rPr>
        <w:t>56.</w:t>
      </w:r>
      <w:r>
        <w:tab/>
        <w:t>Deleted: No. 58 of 1999 s. 54.]</w:t>
      </w:r>
    </w:p>
    <w:p>
      <w:pPr>
        <w:pStyle w:val="Heading5"/>
        <w:rPr>
          <w:snapToGrid w:val="0"/>
        </w:rPr>
      </w:pPr>
      <w:bookmarkStart w:id="26" w:name="_Toc160785727"/>
      <w:r>
        <w:rPr>
          <w:rStyle w:val="CharSectno"/>
        </w:rPr>
        <w:t>57</w:t>
      </w:r>
      <w:r>
        <w:rPr>
          <w:snapToGrid w:val="0"/>
        </w:rPr>
        <w:t>.</w:t>
      </w:r>
      <w:r>
        <w:rPr>
          <w:snapToGrid w:val="0"/>
        </w:rPr>
        <w:tab/>
        <w:t>Distribution system emergencies</w:t>
      </w:r>
      <w:bookmarkEnd w:id="26"/>
    </w:p>
    <w:p>
      <w:pPr>
        <w:pStyle w:val="Subsection"/>
      </w:pPr>
      <w:r>
        <w:tab/>
        <w:t>(1)</w:t>
      </w:r>
      <w:r>
        <w:tab/>
        <w:t>In this section —</w:t>
      </w:r>
    </w:p>
    <w:p>
      <w:pPr>
        <w:pStyle w:val="Defstart"/>
      </w:pPr>
      <w:r>
        <w:rPr>
          <w:b/>
        </w:rPr>
        <w:tab/>
      </w:r>
      <w:r>
        <w:rPr>
          <w:rStyle w:val="CharDefText"/>
        </w:rPr>
        <w:t>distribution system</w:t>
      </w:r>
      <w:r>
        <w:t xml:space="preserve"> means distribution works and service apparatus pertaining to distribution works;</w:t>
      </w:r>
    </w:p>
    <w:p>
      <w:pPr>
        <w:pStyle w:val="Defstart"/>
      </w:pPr>
      <w:r>
        <w:rPr>
          <w:b/>
        </w:rPr>
        <w:tab/>
      </w:r>
      <w:r>
        <w:rPr>
          <w:rStyle w:val="CharDefText"/>
        </w:rPr>
        <w:t>system emergency</w:t>
      </w:r>
      <w:r>
        <w:t xml:space="preserve"> means any event or circumstance arising or reasonably expected to arise in relation to any distribution system —</w:t>
      </w:r>
    </w:p>
    <w:p>
      <w:pPr>
        <w:pStyle w:val="Defpara"/>
      </w:pPr>
      <w:r>
        <w:rPr>
          <w:spacing w:val="-4"/>
        </w:rPr>
        <w:tab/>
        <w:t>(a)</w:t>
      </w:r>
      <w:r>
        <w:rPr>
          <w:spacing w:val="-4"/>
        </w:rPr>
        <w:tab/>
        <w:t xml:space="preserve">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 </w:t>
      </w:r>
      <w:r>
        <w:t>and</w:t>
      </w:r>
    </w:p>
    <w:p>
      <w:pPr>
        <w:pStyle w:val="Defpara"/>
      </w:pPr>
      <w:r>
        <w:tab/>
        <w:t>(b)</w:t>
      </w:r>
      <w:r>
        <w:tab/>
        <w:t>by reason of which —</w:t>
      </w:r>
    </w:p>
    <w:p>
      <w:pPr>
        <w:pStyle w:val="Defsubpara"/>
      </w:pPr>
      <w:r>
        <w:tab/>
        <w:t>(i)</w:t>
      </w:r>
      <w:r>
        <w:tab/>
        <w:t>any life or property is or may be endangered; or</w:t>
      </w:r>
    </w:p>
    <w:p>
      <w:pPr>
        <w:pStyle w:val="Defsubpara"/>
      </w:pPr>
      <w:r>
        <w:lastRenderedPageBreak/>
        <w:tab/>
        <w:t>(ii)</w:t>
      </w:r>
      <w:r>
        <w:tab/>
        <w:t>the normal operation of the whole or any part of the distribution system has been, or may be, or should be interrupted, curtailed or terminated; or</w:t>
      </w:r>
    </w:p>
    <w:p>
      <w:pPr>
        <w:pStyle w:val="Defsubpara"/>
      </w:pPr>
      <w:r>
        <w:tab/>
        <w:t>(iii)</w:t>
      </w:r>
      <w:r>
        <w:tab/>
        <w:t>the capacity of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keepNext/>
        <w:rPr>
          <w:snapToGrid w:val="0"/>
        </w:rPr>
      </w:pPr>
      <w:r>
        <w:rPr>
          <w:snapToGrid w:val="0"/>
        </w:rPr>
        <w:tab/>
        <w:t>(3)</w:t>
      </w:r>
      <w:r>
        <w:rPr>
          <w:snapToGrid w:val="0"/>
        </w:rPr>
        <w:tab/>
        <w:t>When a system emergency exists —</w:t>
      </w:r>
    </w:p>
    <w:p>
      <w:pPr>
        <w:pStyle w:val="Indenta"/>
        <w:keepNext/>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 xml:space="preserve">the distribution of the kind of energy affected and the control, regulation, imposition of restrictions upon, curtailment, interruption, prohibition, or termination, of the supply or use of the kind of energy affected, to or by any person or class of </w:t>
      </w:r>
      <w:r>
        <w:rPr>
          <w:snapToGrid w:val="0"/>
        </w:rPr>
        <w:lastRenderedPageBreak/>
        <w:t>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Defpara"/>
      </w:pPr>
      <w:r>
        <w:tab/>
      </w:r>
      <w:r>
        <w:tab/>
        <w:t>and</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lastRenderedPageBreak/>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lastRenderedPageBreak/>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lastRenderedPageBreak/>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contravening an order made pursuant to subsection (3),</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$5 000; and</w:t>
      </w:r>
    </w:p>
    <w:p>
      <w:pPr>
        <w:pStyle w:val="Penpara"/>
        <w:rPr>
          <w:snapToGrid w:val="0"/>
        </w:rPr>
      </w:pPr>
      <w:r>
        <w:rPr>
          <w:snapToGrid w:val="0"/>
        </w:rPr>
        <w:tab/>
        <w:t>(b)</w:t>
      </w:r>
      <w:r>
        <w:rPr>
          <w:snapToGrid w:val="0"/>
        </w:rPr>
        <w:tab/>
        <w:t>in the case of a body corporate $50 000.</w:t>
      </w:r>
    </w:p>
    <w:p>
      <w:pPr>
        <w:pStyle w:val="Footnotesection"/>
      </w:pPr>
      <w:r>
        <w:tab/>
        <w:t>[Section 57 amended: No. 24 of 1986 s. 23 and 42; No. 89 of 1994 s. 39 and 41; No. 78 of 1995 s. 37; No. 58 of 1999 s. 55; No. 33 of 2004 s. 44.]</w:t>
      </w:r>
    </w:p>
    <w:p>
      <w:pPr>
        <w:pStyle w:val="Heading5"/>
        <w:rPr>
          <w:snapToGrid w:val="0"/>
        </w:rPr>
      </w:pPr>
      <w:bookmarkStart w:id="27" w:name="_Toc160785728"/>
      <w:r>
        <w:rPr>
          <w:rStyle w:val="CharSectno"/>
        </w:rPr>
        <w:t>58</w:t>
      </w:r>
      <w:r>
        <w:rPr>
          <w:snapToGrid w:val="0"/>
        </w:rPr>
        <w:t>.</w:t>
      </w:r>
      <w:r>
        <w:rPr>
          <w:snapToGrid w:val="0"/>
        </w:rPr>
        <w:tab/>
        <w:t>Energy operator may not be bound to supply</w:t>
      </w:r>
      <w:bookmarkEnd w:id="27"/>
    </w:p>
    <w:p>
      <w:pPr>
        <w:pStyle w:val="Subsection"/>
        <w:rPr>
          <w:snapToGrid w:val="0"/>
        </w:rPr>
      </w:pPr>
      <w:r>
        <w:rPr>
          <w:snapToGrid w:val="0"/>
        </w:rPr>
        <w:tab/>
        <w:t>(1)</w:t>
      </w:r>
      <w:r>
        <w:rPr>
          <w:snapToGrid w:val="0"/>
        </w:rPr>
        <w:tab/>
        <w:t>Except in so far as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 xml:space="preserve">Notwithstanding that an energy operator may be expressly charged with a particular duty to effect or continue any supply of energy, or to effect, maintain or continue any such supply having particular characteristics, qualities or specifications, or is </w:t>
      </w:r>
      <w:r>
        <w:rPr>
          <w:snapToGrid w:val="0"/>
        </w:rPr>
        <w:lastRenderedPageBreak/>
        <w:t>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 or</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 or</w:t>
      </w:r>
    </w:p>
    <w:p>
      <w:pPr>
        <w:pStyle w:val="Indenta"/>
        <w:spacing w:before="120"/>
        <w:rPr>
          <w:snapToGrid w:val="0"/>
        </w:rPr>
      </w:pPr>
      <w:r>
        <w:rPr>
          <w:snapToGrid w:val="0"/>
        </w:rPr>
        <w:tab/>
        <w:t>(c)</w:t>
      </w:r>
      <w:r>
        <w:rPr>
          <w:snapToGrid w:val="0"/>
        </w:rPr>
        <w:tab/>
        <w:t xml:space="preserve">would in the opinion of the energy operator, interfere with, or adversely </w:t>
      </w:r>
      <w: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 or</w:t>
      </w:r>
    </w:p>
    <w:p>
      <w:pPr>
        <w:pStyle w:val="Indenta"/>
        <w:keepNext/>
        <w:spacing w:before="120"/>
        <w:rPr>
          <w:snapToGrid w:val="0"/>
        </w:rPr>
      </w:pPr>
      <w:r>
        <w:rPr>
          <w:snapToGrid w:val="0"/>
        </w:rPr>
        <w:tab/>
        <w:t>(d)</w:t>
      </w:r>
      <w:r>
        <w:rPr>
          <w:snapToGrid w:val="0"/>
        </w:rPr>
        <w:tab/>
        <w:t>relates to any land, premises or thing where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lastRenderedPageBreak/>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keepNext/>
        <w:keepLines/>
      </w:pPr>
      <w:r>
        <w:tab/>
        <w:t>(3a)</w:t>
      </w:r>
      <w:r>
        <w:tab/>
        <w:t>In subsection (3) —</w:t>
      </w:r>
    </w:p>
    <w:p>
      <w:pPr>
        <w:pStyle w:val="Defstart"/>
      </w:pPr>
      <w:r>
        <w:rPr>
          <w:b/>
        </w:rPr>
        <w:tab/>
      </w:r>
      <w:r>
        <w:rPr>
          <w:rStyle w:val="CharDefText"/>
        </w:rPr>
        <w:t>appropriate network development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rPr>
          <w:snapToGrid w:val="0"/>
        </w:rPr>
      </w:pPr>
      <w:r>
        <w:rPr>
          <w:snapToGrid w:val="0"/>
        </w:rPr>
        <w:lastRenderedPageBreak/>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[Section 58 amended: No. 24 of 1986 s. 24; No. 89 of 1994 s. 20, 39 and 41; No. 58 of 1999 s. 83(1) and (3); (correction to reprint in Gazette 22 Nov 2002 p. 5533); No. 53 of 2003 s. 113.]</w:t>
      </w:r>
    </w:p>
    <w:p>
      <w:pPr>
        <w:pStyle w:val="Heading5"/>
        <w:rPr>
          <w:snapToGrid w:val="0"/>
        </w:rPr>
      </w:pPr>
      <w:bookmarkStart w:id="28" w:name="_Toc160785729"/>
      <w:r>
        <w:rPr>
          <w:rStyle w:val="CharSectno"/>
        </w:rPr>
        <w:t>59</w:t>
      </w:r>
      <w:r>
        <w:rPr>
          <w:snapToGrid w:val="0"/>
        </w:rPr>
        <w:t>.</w:t>
      </w:r>
      <w:r>
        <w:rPr>
          <w:snapToGrid w:val="0"/>
        </w:rPr>
        <w:tab/>
        <w:t>Energy operator may supply, with or without contract</w:t>
      </w:r>
      <w:bookmarkEnd w:id="28"/>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[Section 59 amended: No. 89 of 1994 s. 21; No. 58 of 1999 s. 83(1).]</w:t>
      </w:r>
    </w:p>
    <w:p>
      <w:pPr>
        <w:pStyle w:val="Heading5"/>
        <w:rPr>
          <w:snapToGrid w:val="0"/>
        </w:rPr>
      </w:pPr>
      <w:bookmarkStart w:id="29" w:name="_Toc160785730"/>
      <w:r>
        <w:rPr>
          <w:rStyle w:val="CharSectno"/>
        </w:rPr>
        <w:t>60</w:t>
      </w:r>
      <w:r>
        <w:rPr>
          <w:snapToGrid w:val="0"/>
        </w:rPr>
        <w:t>.</w:t>
      </w:r>
      <w:r>
        <w:rPr>
          <w:snapToGrid w:val="0"/>
        </w:rPr>
        <w:tab/>
        <w:t>Repudiation of existing contracts, and unwritten contracts</w:t>
      </w:r>
      <w:bookmarkEnd w:id="29"/>
    </w:p>
    <w:p>
      <w:pPr>
        <w:pStyle w:val="Subsection"/>
        <w:keepNext/>
        <w:rPr>
          <w:snapToGrid w:val="0"/>
        </w:rPr>
      </w:pPr>
      <w:r>
        <w:rPr>
          <w:snapToGrid w:val="0"/>
        </w:rPr>
        <w:tab/>
        <w:t>(1)</w:t>
      </w:r>
      <w:r>
        <w:rPr>
          <w:snapToGrid w:val="0"/>
        </w:rPr>
        <w:tab/>
        <w:t>In this section —</w:t>
      </w:r>
    </w:p>
    <w:p>
      <w:pPr>
        <w:pStyle w:val="Indenta"/>
        <w:rPr>
          <w:snapToGrid w:val="0"/>
        </w:rPr>
      </w:pPr>
      <w:r>
        <w:rPr>
          <w:snapToGrid w:val="0"/>
        </w:rPr>
        <w:tab/>
        <w:t>(a)</w:t>
      </w:r>
      <w:r>
        <w:rPr>
          <w:snapToGrid w:val="0"/>
        </w:rPr>
        <w:tab/>
        <w:t xml:space="preserve">a reference to </w:t>
      </w:r>
      <w:r>
        <w:rPr>
          <w:rStyle w:val="CharDefText"/>
        </w:rPr>
        <w:t>supply or sale</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rStyle w:val="CharDefText"/>
        </w:rPr>
        <w:t>terms</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lastRenderedPageBreak/>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deleted]</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spacing w:before="160"/>
        <w:ind w:left="890" w:hanging="890"/>
      </w:pPr>
      <w:r>
        <w:tab/>
        <w:t>[Section 60 amended: No. 89 of 1994 s. 22, 39 and 41; No. 58 of 1999 s. 83(1) and (3).]</w:t>
      </w:r>
    </w:p>
    <w:p>
      <w:pPr>
        <w:pStyle w:val="Heading5"/>
        <w:rPr>
          <w:snapToGrid w:val="0"/>
        </w:rPr>
      </w:pPr>
      <w:bookmarkStart w:id="30" w:name="_Toc160785731"/>
      <w:r>
        <w:rPr>
          <w:rStyle w:val="CharSectno"/>
        </w:rPr>
        <w:t>61</w:t>
      </w:r>
      <w:r>
        <w:rPr>
          <w:snapToGrid w:val="0"/>
        </w:rPr>
        <w:t>.</w:t>
      </w:r>
      <w:r>
        <w:rPr>
          <w:snapToGrid w:val="0"/>
        </w:rPr>
        <w:tab/>
        <w:t>Agreements to supply beyond normal range</w:t>
      </w:r>
      <w:bookmarkEnd w:id="30"/>
    </w:p>
    <w:p>
      <w:pPr>
        <w:pStyle w:val="Subsection"/>
        <w:rPr>
          <w:snapToGrid w:val="0"/>
        </w:rPr>
      </w:pPr>
      <w:r>
        <w:rPr>
          <w:snapToGrid w:val="0"/>
        </w:rPr>
        <w:tab/>
        <w:t>(1)</w:t>
      </w:r>
      <w:r>
        <w:rPr>
          <w:snapToGrid w:val="0"/>
        </w:rPr>
        <w:tab/>
        <w:t xml:space="preserve">Where the owner or occupier of land makes application in writing to an energy operator to supply energy to a place on that land and the place is beyond the normal point from which the energy operator is prepared to supply energy in the performance </w:t>
      </w:r>
      <w:r>
        <w:rPr>
          <w:snapToGrid w:val="0"/>
        </w:rPr>
        <w:lastRenderedPageBreak/>
        <w:t>of its functions, the energy operator may supply energy to that place or such other place on the land as the energy operator may determine if the applicant agrees with the energy operator in writing to do all or any of the following things, namely —</w:t>
      </w:r>
    </w:p>
    <w:p>
      <w:pPr>
        <w:pStyle w:val="Indenta"/>
        <w:spacing w:before="120"/>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spacing w:before="120"/>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spacing w:before="120"/>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lastRenderedPageBreak/>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2</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In subsection (1)(b) —</w:t>
      </w:r>
    </w:p>
    <w:p>
      <w:pPr>
        <w:pStyle w:val="Defstart"/>
      </w:pPr>
      <w:r>
        <w:rPr>
          <w:b/>
        </w:rPr>
        <w:tab/>
      </w:r>
      <w:r>
        <w:rPr>
          <w:rStyle w:val="CharDefText"/>
        </w:rPr>
        <w:t>appropriate network development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lastRenderedPageBreak/>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w:t>
      </w:r>
    </w:p>
    <w:p>
      <w:pPr>
        <w:pStyle w:val="Indenta"/>
        <w:keepLines/>
        <w:spacing w:before="120"/>
        <w:rPr>
          <w:snapToGrid w:val="0"/>
        </w:rPr>
      </w:pPr>
      <w:r>
        <w:rPr>
          <w:snapToGrid w:val="0"/>
        </w:rPr>
        <w:lastRenderedPageBreak/>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[Section 61 amended: No. 101 of 1981 s. 15; No. 24 of 1986 s. 25; No. 89 of 1994 s. 23, 39, 40 and 41; No. 58 of 1999 s. 83; No. 53 of 2003 s. 114.]</w:t>
      </w:r>
    </w:p>
    <w:p>
      <w:pPr>
        <w:pStyle w:val="Heading5"/>
        <w:spacing w:before="240"/>
        <w:rPr>
          <w:snapToGrid w:val="0"/>
        </w:rPr>
      </w:pPr>
      <w:bookmarkStart w:id="31" w:name="_Toc160785732"/>
      <w:r>
        <w:rPr>
          <w:rStyle w:val="CharSectno"/>
        </w:rPr>
        <w:t>62</w:t>
      </w:r>
      <w:r>
        <w:rPr>
          <w:snapToGrid w:val="0"/>
        </w:rPr>
        <w:t>.</w:t>
      </w:r>
      <w:r>
        <w:rPr>
          <w:snapToGrid w:val="0"/>
        </w:rPr>
        <w:tab/>
        <w:t>Charges for supply, conditions of supply, and termination of supply</w:t>
      </w:r>
      <w:bookmarkEnd w:id="31"/>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rPr>
          <w:snapToGrid w:val="0"/>
        </w:rPr>
      </w:pPr>
      <w:r>
        <w:rPr>
          <w:snapToGrid w:val="0"/>
        </w:rPr>
        <w:tab/>
        <w:t>(2)</w:t>
      </w:r>
      <w:r>
        <w:rPr>
          <w:snapToGrid w:val="0"/>
        </w:rPr>
        <w:tab/>
        <w:t xml:space="preserve">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w:t>
      </w:r>
      <w:r>
        <w:rPr>
          <w:snapToGrid w:val="0"/>
        </w:rPr>
        <w:lastRenderedPageBreak/>
        <w:t>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 xml:space="preserve">Any application for, or agreement relating to, an optional or special tariff is not transferable, and if the supply is terminated, otherwise than in respect of a failure to pay charges due, that </w:t>
      </w:r>
      <w:r>
        <w:rPr>
          <w:snapToGrid w:val="0"/>
        </w:rPr>
        <w:lastRenderedPageBreak/>
        <w:t>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keepNext/>
        <w:rPr>
          <w:snapToGrid w:val="0"/>
        </w:rPr>
      </w:pPr>
      <w:r>
        <w:rPr>
          <w:snapToGrid w:val="0"/>
        </w:rPr>
        <w:lastRenderedPageBreak/>
        <w:tab/>
        <w:t>(10)</w:t>
      </w:r>
      <w:r>
        <w:rPr>
          <w:snapToGrid w:val="0"/>
        </w:rPr>
        <w:tab/>
        <w:t>For the purpose of —</w:t>
      </w:r>
    </w:p>
    <w:p>
      <w:pPr>
        <w:pStyle w:val="Indenta"/>
        <w:keepNext/>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 and</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lastRenderedPageBreak/>
        <w:tab/>
        <w:t>(12)</w:t>
      </w:r>
      <w:r>
        <w:rPr>
          <w:snapToGrid w:val="0"/>
        </w:rPr>
        <w:tab/>
        <w:t>Where —</w:t>
      </w:r>
    </w:p>
    <w:p>
      <w:pPr>
        <w:pStyle w:val="Indenta"/>
        <w:keepNext/>
        <w:keepLines/>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keepNext/>
        <w:keepLines/>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deleted]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 xml:space="preserve">Where in relation to any consumer there is on any premises service apparatus or other apparatus the property of an energy operator and to the possession of which the energy operator is entitled, and the supply effected to or on behalf of that consumer </w:t>
      </w:r>
      <w:r>
        <w:rPr>
          <w:snapToGrid w:val="0"/>
        </w:rPr>
        <w:lastRenderedPageBreak/>
        <w:t>is terminated, the energy operator may at any reasonable time enter those premises and disconnect, remove and take away that service apparatus or other apparatus.</w:t>
      </w:r>
    </w:p>
    <w:p>
      <w:pPr>
        <w:pStyle w:val="Footnotesection"/>
        <w:ind w:left="890" w:hanging="890"/>
      </w:pPr>
      <w:r>
        <w:tab/>
        <w:t>[Section 62 amended: No. 101 of 1981 s. 16; No. 89 of 1994 s. 24, 39, 40 and 41; No. 58 of 1999 s. 83.]</w:t>
      </w:r>
    </w:p>
    <w:p>
      <w:pPr>
        <w:pStyle w:val="Heading5"/>
        <w:keepLines w:val="0"/>
        <w:rPr>
          <w:snapToGrid w:val="0"/>
        </w:rPr>
      </w:pPr>
      <w:bookmarkStart w:id="32" w:name="_Toc160785733"/>
      <w:r>
        <w:rPr>
          <w:rStyle w:val="CharSectno"/>
        </w:rPr>
        <w:t>63</w:t>
      </w:r>
      <w:r>
        <w:rPr>
          <w:snapToGrid w:val="0"/>
        </w:rPr>
        <w:t>.</w:t>
      </w:r>
      <w:r>
        <w:rPr>
          <w:snapToGrid w:val="0"/>
        </w:rPr>
        <w:tab/>
        <w:t>Apportioned accounts</w:t>
      </w:r>
      <w:bookmarkEnd w:id="32"/>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[Section 63 amended: No. 89 of 1994 s. 41; No. 58 of 1999 s. 83(3).]</w:t>
      </w:r>
    </w:p>
    <w:p>
      <w:pPr>
        <w:pStyle w:val="Heading5"/>
        <w:spacing w:before="200"/>
        <w:rPr>
          <w:snapToGrid w:val="0"/>
        </w:rPr>
      </w:pPr>
      <w:bookmarkStart w:id="33" w:name="_Toc160785734"/>
      <w:r>
        <w:rPr>
          <w:rStyle w:val="CharSectno"/>
        </w:rPr>
        <w:t>64</w:t>
      </w:r>
      <w:r>
        <w:rPr>
          <w:snapToGrid w:val="0"/>
        </w:rPr>
        <w:t>.</w:t>
      </w:r>
      <w:r>
        <w:rPr>
          <w:snapToGrid w:val="0"/>
        </w:rPr>
        <w:tab/>
        <w:t>Meters</w:t>
      </w:r>
      <w:bookmarkEnd w:id="33"/>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lastRenderedPageBreak/>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[Section 64 amended: No. 24 of 1986 s. 26; No. 89 of 1994 s. 39, 40 and 41; No. 58 of 1999 s. 83.]</w:t>
      </w:r>
    </w:p>
    <w:p>
      <w:pPr>
        <w:pStyle w:val="Heading5"/>
        <w:rPr>
          <w:snapToGrid w:val="0"/>
        </w:rPr>
      </w:pPr>
      <w:bookmarkStart w:id="34" w:name="_Toc160785735"/>
      <w:r>
        <w:rPr>
          <w:rStyle w:val="CharSectno"/>
        </w:rPr>
        <w:t>65</w:t>
      </w:r>
      <w:r>
        <w:rPr>
          <w:snapToGrid w:val="0"/>
        </w:rPr>
        <w:t>.</w:t>
      </w:r>
      <w:r>
        <w:rPr>
          <w:snapToGrid w:val="0"/>
        </w:rPr>
        <w:tab/>
        <w:t>Metered accounts</w:t>
      </w:r>
      <w:bookmarkEnd w:id="34"/>
    </w:p>
    <w:p>
      <w:pPr>
        <w:pStyle w:val="Subsection"/>
        <w:rPr>
          <w:snapToGrid w:val="0"/>
        </w:rPr>
      </w:pPr>
      <w:r>
        <w:rPr>
          <w:snapToGrid w:val="0"/>
        </w:rPr>
        <w:tab/>
        <w:t>(1)</w:t>
      </w:r>
      <w:r>
        <w:rPr>
          <w:snapToGrid w:val="0"/>
        </w:rPr>
        <w:tab/>
        <w:t xml:space="preserve">Except where pursuant to section 66 the meter is deemed not to be in proper order, the reading ascertained by an energy operator </w:t>
      </w:r>
      <w:r>
        <w:rPr>
          <w:snapToGrid w:val="0"/>
        </w:rPr>
        <w:lastRenderedPageBreak/>
        <w:t>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Where subsection (2) applies, the extent and value of the energy supplied during the accounting period ending with the reading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lastRenderedPageBreak/>
        <w:tab/>
        <w:t>(c)</w:t>
      </w:r>
      <w:r>
        <w:rPr>
          <w:snapToGrid w:val="0"/>
        </w:rPr>
        <w:tab/>
        <w:t>the extent recorded by measure in relation thereto for the immediately preceding accounting period, regard being had to any known variation in demand; or</w:t>
      </w:r>
    </w:p>
    <w:p>
      <w:pPr>
        <w:pStyle w:val="Indenta"/>
        <w:keepNext/>
        <w:rPr>
          <w:snapToGrid w:val="0"/>
        </w:rPr>
      </w:pPr>
      <w:r>
        <w:rPr>
          <w:snapToGrid w:val="0"/>
        </w:rPr>
        <w:tab/>
        <w:t>(d)</w:t>
      </w:r>
      <w:r>
        <w:rPr>
          <w:snapToGrid w:val="0"/>
        </w:rPr>
        <w:tab/>
        <w:t>if no such method is appropriate, such other basis as the energy operator determines,</w:t>
      </w:r>
    </w:p>
    <w:p>
      <w:pPr>
        <w:pStyle w:val="Subsection"/>
        <w:keepNext/>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Where as the result of —</w:t>
      </w:r>
    </w:p>
    <w:p>
      <w:pPr>
        <w:pStyle w:val="Indenta"/>
      </w:pPr>
      <w:r>
        <w:tab/>
        <w:t>(a)</w:t>
      </w:r>
      <w:r>
        <w:tab/>
        <w:t>a computation made under subsection (2a)(a); or</w:t>
      </w:r>
    </w:p>
    <w:p>
      <w:pPr>
        <w:pStyle w:val="Indenta"/>
        <w:keepNext/>
      </w:pPr>
      <w:r>
        <w:tab/>
        <w:t>(b)</w:t>
      </w:r>
      <w:r>
        <w:tab/>
        <w:t>an assessment made under subsection (3),</w:t>
      </w:r>
    </w:p>
    <w:p>
      <w:pPr>
        <w:pStyle w:val="Subsection"/>
      </w:pPr>
      <w:r>
        <w:tab/>
      </w:r>
      <w:r>
        <w:tab/>
        <w:t>it is shown that the charges made were not what they should have been, the charges may be adjusted in respect of the period during which the meter was not correctly registering the extent and value of the energy supplied,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w:t>
      </w:r>
      <w:r>
        <w:tab/>
        <w:t>If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the charges shall be adjusted so as to present, as near as may be, a proper accounting for that period,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(5a)</w:t>
      </w:r>
      <w:r>
        <w:tab/>
        <w:t>The energy operator is to determine —</w:t>
      </w:r>
    </w:p>
    <w:p>
      <w:pPr>
        <w:pStyle w:val="Indenta"/>
      </w:pPr>
      <w:r>
        <w:lastRenderedPageBreak/>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rStyle w:val="CharDefText"/>
        </w:rPr>
        <w:t>accounting period</w:t>
      </w:r>
      <w:r>
        <w:rPr>
          <w:snapToGrid w:val="0"/>
        </w:rPr>
        <w:t xml:space="preserve"> means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keepNext/>
        <w:rPr>
          <w:snapToGrid w:val="0"/>
        </w:rPr>
      </w:pPr>
      <w:r>
        <w:rPr>
          <w:snapToGrid w:val="0"/>
        </w:rPr>
        <w:lastRenderedPageBreak/>
        <w:tab/>
        <w:t>(b)</w:t>
      </w:r>
      <w:r>
        <w:rPr>
          <w:snapToGrid w:val="0"/>
        </w:rPr>
        <w:tab/>
        <w:t>the period covered by an account submitted upon the basis of an assessment in respect of that period of time,</w:t>
      </w:r>
    </w:p>
    <w:p>
      <w:pPr>
        <w:pStyle w:val="Subsection"/>
        <w:keepNext/>
        <w:rPr>
          <w:snapToGrid w:val="0"/>
        </w:rPr>
      </w:pPr>
      <w:r>
        <w:rPr>
          <w:snapToGrid w:val="0"/>
        </w:rPr>
        <w:tab/>
      </w:r>
      <w:r>
        <w:rPr>
          <w:snapToGrid w:val="0"/>
        </w:rPr>
        <w:tab/>
        <w:t>whichever may result in the lower charge.</w:t>
      </w:r>
    </w:p>
    <w:p>
      <w:pPr>
        <w:pStyle w:val="Footnotesection"/>
        <w:keepNext/>
      </w:pPr>
      <w:r>
        <w:tab/>
        <w:t>[Section 65 amended: No. 89 of 1994 s. 39 and 41; No. 58 of 1999 s. 83(1) and (3); No. 53 of 2003 s. 115(1) and (2).]</w:t>
      </w:r>
    </w:p>
    <w:p>
      <w:pPr>
        <w:pStyle w:val="Heading5"/>
        <w:rPr>
          <w:snapToGrid w:val="0"/>
        </w:rPr>
      </w:pPr>
      <w:bookmarkStart w:id="35" w:name="_Toc160785736"/>
      <w:r>
        <w:rPr>
          <w:rStyle w:val="CharSectno"/>
        </w:rPr>
        <w:t>66</w:t>
      </w:r>
      <w:r>
        <w:rPr>
          <w:snapToGrid w:val="0"/>
        </w:rPr>
        <w:t>.</w:t>
      </w:r>
      <w:r>
        <w:rPr>
          <w:snapToGrid w:val="0"/>
        </w:rPr>
        <w:tab/>
        <w:t>Meter tests</w:t>
      </w:r>
      <w:bookmarkEnd w:id="35"/>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w:t>
      </w:r>
    </w:p>
    <w:p>
      <w:pPr>
        <w:pStyle w:val="Indenta"/>
        <w:rPr>
          <w:snapToGrid w:val="0"/>
        </w:rPr>
      </w:pPr>
      <w:r>
        <w:rPr>
          <w:snapToGrid w:val="0"/>
        </w:rPr>
        <w:tab/>
        <w:t>(a)</w:t>
      </w:r>
      <w:r>
        <w:rPr>
          <w:snapToGrid w:val="0"/>
        </w:rPr>
        <w:tab/>
        <w:t xml:space="preserve">on the basis of a comparison of the performance of the meter under consideration with test calibration </w:t>
      </w:r>
      <w:r>
        <w:rPr>
          <w:snapToGrid w:val="0"/>
        </w:rPr>
        <w:lastRenderedPageBreak/>
        <w:t>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[Section 66 amended: No. 89 of 1994 s. 39, 40 and 41; No. 58 of 1999 s. 56 and 83.]</w:t>
      </w:r>
    </w:p>
    <w:p>
      <w:pPr>
        <w:pStyle w:val="Heading5"/>
        <w:rPr>
          <w:snapToGrid w:val="0"/>
        </w:rPr>
      </w:pPr>
      <w:bookmarkStart w:id="36" w:name="_Toc160785737"/>
      <w:r>
        <w:rPr>
          <w:rStyle w:val="CharSectno"/>
        </w:rPr>
        <w:t>67</w:t>
      </w:r>
      <w:r>
        <w:rPr>
          <w:snapToGrid w:val="0"/>
        </w:rPr>
        <w:t>.</w:t>
      </w:r>
      <w:r>
        <w:rPr>
          <w:snapToGrid w:val="0"/>
        </w:rPr>
        <w:tab/>
        <w:t>Circumventing meters</w:t>
      </w:r>
      <w:bookmarkEnd w:id="36"/>
    </w:p>
    <w:p>
      <w:pPr>
        <w:pStyle w:val="Subsection"/>
        <w:spacing w:before="140"/>
        <w:rPr>
          <w:snapToGrid w:val="0"/>
        </w:rPr>
      </w:pPr>
      <w:r>
        <w:rPr>
          <w:snapToGrid w:val="0"/>
        </w:rPr>
        <w:tab/>
        <w:t>(1)</w:t>
      </w:r>
      <w:r>
        <w:rPr>
          <w:snapToGrid w:val="0"/>
        </w:rPr>
        <w:tab/>
        <w:t>Where an energy operator supplies any energy, any unauthorised person who —</w:t>
      </w:r>
    </w:p>
    <w:p>
      <w:pPr>
        <w:pStyle w:val="Indenta"/>
        <w:rPr>
          <w:snapToGrid w:val="0"/>
        </w:rPr>
      </w:pPr>
      <w:r>
        <w:rPr>
          <w:snapToGrid w:val="0"/>
        </w:rPr>
        <w:tab/>
        <w:t>(a)</w:t>
      </w:r>
      <w:r>
        <w:rPr>
          <w:snapToGrid w:val="0"/>
        </w:rPr>
        <w:tab/>
        <w:t>alters the record produced by or the recording apparatus of any meter relating to that supply by any means; or</w:t>
      </w:r>
    </w:p>
    <w:p>
      <w:pPr>
        <w:pStyle w:val="Indenta"/>
        <w:rPr>
          <w:snapToGrid w:val="0"/>
        </w:rPr>
      </w:pPr>
      <w:r>
        <w:rPr>
          <w:snapToGrid w:val="0"/>
        </w:rPr>
        <w:tab/>
        <w:t>(b)</w:t>
      </w:r>
      <w:r>
        <w:rPr>
          <w:snapToGrid w:val="0"/>
        </w:rPr>
        <w:tab/>
        <w:t>prevents that meter from operating or registering; or</w:t>
      </w:r>
    </w:p>
    <w:p>
      <w:pPr>
        <w:pStyle w:val="Indenta"/>
        <w:rPr>
          <w:snapToGrid w:val="0"/>
        </w:rPr>
      </w:pPr>
      <w:r>
        <w:rPr>
          <w:snapToGrid w:val="0"/>
        </w:rPr>
        <w:tab/>
        <w:t>(c)</w:t>
      </w:r>
      <w:r>
        <w:rPr>
          <w:snapToGrid w:val="0"/>
        </w:rPr>
        <w:tab/>
        <w:t>by any means causes that meter to operate or register otherwise than in proper order; or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lastRenderedPageBreak/>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keepNext/>
        <w:keepLines/>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[Section 67 amended: No. 101 of 1981 s. 17; No. 24 of 1986 s. 27 and 42; No. 89 of 1994 s. 39 and 41; No. 58 of 1999 s. 83(1) and (3); No. 50 of 2003 s. 58(2); No. 84 of 2004 s. 80.]</w:t>
      </w:r>
    </w:p>
    <w:p>
      <w:pPr>
        <w:pStyle w:val="Heading5"/>
        <w:rPr>
          <w:snapToGrid w:val="0"/>
        </w:rPr>
      </w:pPr>
      <w:bookmarkStart w:id="37" w:name="_Toc160785738"/>
      <w:r>
        <w:rPr>
          <w:rStyle w:val="CharSectno"/>
        </w:rPr>
        <w:lastRenderedPageBreak/>
        <w:t>67A</w:t>
      </w:r>
      <w:r>
        <w:rPr>
          <w:snapToGrid w:val="0"/>
        </w:rPr>
        <w:t>.</w:t>
      </w:r>
      <w:r>
        <w:rPr>
          <w:snapToGrid w:val="0"/>
        </w:rPr>
        <w:tab/>
        <w:t>Liability for charges, and damage to apparatus</w:t>
      </w:r>
      <w:bookmarkEnd w:id="37"/>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[Section 67A inserted: No. 24 of 1986 s. 28; amended: No. 89 of 1994 s. 25, 39 and 41; No. 58 of 1999 s. 83(1) and (3).]</w:t>
      </w:r>
    </w:p>
    <w:p>
      <w:pPr>
        <w:pStyle w:val="Heading5"/>
        <w:rPr>
          <w:snapToGrid w:val="0"/>
        </w:rPr>
      </w:pPr>
      <w:bookmarkStart w:id="38" w:name="_Toc160785739"/>
      <w:r>
        <w:rPr>
          <w:rStyle w:val="CharSectno"/>
        </w:rPr>
        <w:t>68</w:t>
      </w:r>
      <w:r>
        <w:rPr>
          <w:snapToGrid w:val="0"/>
        </w:rPr>
        <w:t>.</w:t>
      </w:r>
      <w:r>
        <w:rPr>
          <w:snapToGrid w:val="0"/>
        </w:rPr>
        <w:tab/>
        <w:t>Inspectors</w:t>
      </w:r>
      <w:bookmarkEnd w:id="38"/>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deleted]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deleted]</w:t>
      </w:r>
    </w:p>
    <w:p>
      <w:pPr>
        <w:pStyle w:val="Subsection"/>
        <w:rPr>
          <w:snapToGrid w:val="0"/>
        </w:rPr>
      </w:pPr>
      <w:r>
        <w:rPr>
          <w:snapToGrid w:val="0"/>
        </w:rPr>
        <w:tab/>
        <w:t>(5)</w:t>
      </w:r>
      <w:r>
        <w:rPr>
          <w:snapToGrid w:val="0"/>
        </w:rPr>
        <w:tab/>
        <w:t xml:space="preserve">Production of a certificate in the prescribed form is prima facie evidence in any Court of the appointment of the inspector to whom that certificate relates and of his authority as such an </w:t>
      </w:r>
      <w:r>
        <w:rPr>
          <w:snapToGrid w:val="0"/>
        </w:rPr>
        <w:lastRenderedPageBreak/>
        <w:t>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 and</w:t>
      </w:r>
    </w:p>
    <w:p>
      <w:pPr>
        <w:pStyle w:val="Indenta"/>
        <w:rPr>
          <w:snapToGrid w:val="0"/>
        </w:rPr>
      </w:pPr>
      <w:r>
        <w:rPr>
          <w:snapToGrid w:val="0"/>
        </w:rPr>
        <w:tab/>
        <w:t>(b)</w:t>
      </w:r>
      <w:r>
        <w:rPr>
          <w:snapToGrid w:val="0"/>
        </w:rPr>
        <w:tab/>
        <w:t xml:space="preserve">if the inspector has reasonable cause to believe that a consumer is attempting to circumvent or prevent the due </w:t>
      </w:r>
      <w:r>
        <w:rPr>
          <w:snapToGrid w:val="0"/>
        </w:rPr>
        <w:lastRenderedPageBreak/>
        <w:t>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[Section 68 amended: No. 101 of 1981 s. 18; No. 24 of 1986 s. 29; No. 89 of 1994 s. 26; No. 58 of 1999 s. 83(2) and (3).]</w:t>
      </w:r>
    </w:p>
    <w:p>
      <w:pPr>
        <w:pStyle w:val="Heading5"/>
        <w:rPr>
          <w:snapToGrid w:val="0"/>
        </w:rPr>
      </w:pPr>
      <w:bookmarkStart w:id="39" w:name="_Toc160785740"/>
      <w:r>
        <w:rPr>
          <w:rStyle w:val="CharSectno"/>
        </w:rPr>
        <w:t>69</w:t>
      </w:r>
      <w:r>
        <w:rPr>
          <w:snapToGrid w:val="0"/>
        </w:rPr>
        <w:t>.</w:t>
      </w:r>
      <w:r>
        <w:rPr>
          <w:snapToGrid w:val="0"/>
        </w:rPr>
        <w:tab/>
        <w:t>Incriminating statements</w:t>
      </w:r>
      <w:bookmarkEnd w:id="39"/>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Deleted: No. 89 of 1994 s. 27.]</w:t>
      </w:r>
    </w:p>
    <w:p>
      <w:pPr>
        <w:pStyle w:val="Heading5"/>
        <w:rPr>
          <w:snapToGrid w:val="0"/>
        </w:rPr>
      </w:pPr>
      <w:bookmarkStart w:id="40" w:name="_Toc160785741"/>
      <w:r>
        <w:rPr>
          <w:rStyle w:val="CharSectno"/>
        </w:rPr>
        <w:lastRenderedPageBreak/>
        <w:t>74</w:t>
      </w:r>
      <w:r>
        <w:rPr>
          <w:snapToGrid w:val="0"/>
        </w:rPr>
        <w:t>.</w:t>
      </w:r>
      <w:r>
        <w:rPr>
          <w:snapToGrid w:val="0"/>
        </w:rPr>
        <w:tab/>
        <w:t>Malicious damage</w:t>
      </w:r>
      <w:bookmarkEnd w:id="40"/>
    </w:p>
    <w:p>
      <w:pPr>
        <w:pStyle w:val="Subsection"/>
        <w:keepNext/>
        <w:keepLines/>
        <w:rPr>
          <w:snapToGrid w:val="0"/>
        </w:rPr>
      </w:pPr>
      <w:r>
        <w:rPr>
          <w:snapToGrid w:val="0"/>
        </w:rPr>
        <w:tab/>
        <w:t>(1)</w:t>
      </w:r>
      <w:r>
        <w:rPr>
          <w:snapToGrid w:val="0"/>
        </w:rPr>
        <w:tab/>
        <w:t>Any person who unlawfully and maliciously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pPr>
        <w:pStyle w:val="Footnotesection"/>
      </w:pPr>
      <w:r>
        <w:tab/>
        <w:t>[Section 74 amended: No. 89 of 1994 s. 39; No. 58 of 1999 s. 83(1); No. 70 of 2004 s. 82; No. 59 of 2006 s. 73.]</w:t>
      </w:r>
    </w:p>
    <w:p>
      <w:pPr>
        <w:pStyle w:val="Heading5"/>
        <w:rPr>
          <w:snapToGrid w:val="0"/>
        </w:rPr>
      </w:pPr>
      <w:bookmarkStart w:id="41" w:name="_Toc160785742"/>
      <w:r>
        <w:rPr>
          <w:rStyle w:val="CharSectno"/>
        </w:rPr>
        <w:t>75</w:t>
      </w:r>
      <w:r>
        <w:rPr>
          <w:snapToGrid w:val="0"/>
        </w:rPr>
        <w:t>.</w:t>
      </w:r>
      <w:r>
        <w:rPr>
          <w:snapToGrid w:val="0"/>
        </w:rPr>
        <w:tab/>
        <w:t>Unlawful damage generally</w:t>
      </w:r>
      <w:bookmarkEnd w:id="41"/>
    </w:p>
    <w:p>
      <w:pPr>
        <w:pStyle w:val="Subsection"/>
        <w:rPr>
          <w:snapToGrid w:val="0"/>
        </w:rPr>
      </w:pPr>
      <w:r>
        <w:rPr>
          <w:snapToGrid w:val="0"/>
        </w:rPr>
        <w:tab/>
        <w:t>(1)</w:t>
      </w:r>
      <w:r>
        <w:rPr>
          <w:snapToGrid w:val="0"/>
        </w:rPr>
        <w:tab/>
        <w:t>Any person who wilfully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 or</w:t>
      </w:r>
    </w:p>
    <w:p>
      <w:pPr>
        <w:pStyle w:val="Indenta"/>
        <w:spacing w:before="60"/>
        <w:rPr>
          <w:snapToGrid w:val="0"/>
        </w:rPr>
      </w:pPr>
      <w:r>
        <w:rPr>
          <w:snapToGrid w:val="0"/>
        </w:rPr>
        <w:tab/>
        <w:t>(b)</w:t>
      </w:r>
      <w:r>
        <w:rPr>
          <w:snapToGrid w:val="0"/>
        </w:rPr>
        <w:tab/>
        <w:t xml:space="preserve">damages or extinguishes any light provided, or takes down, alters or interferes with any bar, chain, fence, hoarding or other thing erected or placed for guarding against any accident on or for the protection of any </w:t>
      </w:r>
      <w:r>
        <w:rPr>
          <w:snapToGrid w:val="0"/>
        </w:rPr>
        <w:lastRenderedPageBreak/>
        <w:t>undertaking, works or thing the property of or under the control or management of an energy operator; or</w:t>
      </w:r>
    </w:p>
    <w:p>
      <w:pPr>
        <w:pStyle w:val="Indenta"/>
        <w:spacing w:before="60"/>
        <w:rPr>
          <w:snapToGrid w:val="0"/>
        </w:rPr>
      </w:pPr>
      <w:r>
        <w:rPr>
          <w:snapToGrid w:val="0"/>
        </w:rPr>
        <w:tab/>
        <w:t>(c)</w:t>
      </w:r>
      <w:r>
        <w:rPr>
          <w:snapToGrid w:val="0"/>
        </w:rPr>
        <w:tab/>
        <w:t>interrupts, impedes or obstructs the transmission, distribution or supply of energy by an energy operator; 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keepNext/>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keepNext/>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 xml:space="preserve">Any person who without authority, or without having given to an energy operator the notice (if any) required by or under this </w:t>
      </w:r>
      <w:r>
        <w:rPr>
          <w:snapToGrid w:val="0"/>
        </w:rPr>
        <w:lastRenderedPageBreak/>
        <w:t>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[Section 75 amended: No. 24 of 1986 s. 33 and 42; No. 89 of 1994 s. 28, 39 and 41; No. 58 of 1999 s. 83(1) and (3).]</w:t>
      </w:r>
    </w:p>
    <w:p>
      <w:pPr>
        <w:pStyle w:val="Heading5"/>
        <w:rPr>
          <w:snapToGrid w:val="0"/>
        </w:rPr>
      </w:pPr>
      <w:bookmarkStart w:id="42" w:name="_Toc160785743"/>
      <w:r>
        <w:rPr>
          <w:rStyle w:val="CharSectno"/>
        </w:rPr>
        <w:t>76</w:t>
      </w:r>
      <w:r>
        <w:rPr>
          <w:snapToGrid w:val="0"/>
        </w:rPr>
        <w:t>.</w:t>
      </w:r>
      <w:r>
        <w:rPr>
          <w:snapToGrid w:val="0"/>
        </w:rPr>
        <w:tab/>
        <w:t>Unlawful entry</w:t>
      </w:r>
      <w:bookmarkEnd w:id="42"/>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[Section 76 amended: No. 24 of 1986 s. 42; No. 89 of 1994 s. 39 and 41; No. 58 of 1999 s. 83(1) and (3).]</w:t>
      </w:r>
    </w:p>
    <w:p>
      <w:pPr>
        <w:pStyle w:val="Heading5"/>
        <w:rPr>
          <w:snapToGrid w:val="0"/>
        </w:rPr>
      </w:pPr>
      <w:bookmarkStart w:id="43" w:name="_Toc160785744"/>
      <w:r>
        <w:rPr>
          <w:rStyle w:val="CharSectno"/>
        </w:rPr>
        <w:t>77</w:t>
      </w:r>
      <w:r>
        <w:rPr>
          <w:snapToGrid w:val="0"/>
        </w:rPr>
        <w:t>.</w:t>
      </w:r>
      <w:r>
        <w:rPr>
          <w:snapToGrid w:val="0"/>
        </w:rPr>
        <w:tab/>
        <w:t>Restraint of persons</w:t>
      </w:r>
      <w:bookmarkEnd w:id="43"/>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[Section 77 amended: No. 89 of 1994 s. 39; No. 58 of 1999 s. 83(1).]</w:t>
      </w:r>
    </w:p>
    <w:p>
      <w:pPr>
        <w:pStyle w:val="Heading5"/>
        <w:rPr>
          <w:snapToGrid w:val="0"/>
        </w:rPr>
      </w:pPr>
      <w:bookmarkStart w:id="44" w:name="_Toc160785745"/>
      <w:r>
        <w:rPr>
          <w:rStyle w:val="CharSectno"/>
        </w:rPr>
        <w:lastRenderedPageBreak/>
        <w:t>78</w:t>
      </w:r>
      <w:r>
        <w:rPr>
          <w:snapToGrid w:val="0"/>
        </w:rPr>
        <w:t>.</w:t>
      </w:r>
      <w:r>
        <w:rPr>
          <w:snapToGrid w:val="0"/>
        </w:rPr>
        <w:tab/>
        <w:t>Persons may be apprehended</w:t>
      </w:r>
      <w:bookmarkEnd w:id="44"/>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pPr>
        <w:pStyle w:val="Footnotesection"/>
      </w:pPr>
      <w:r>
        <w:tab/>
        <w:t>[Section 78 amended: No. 59 of 2006 s. 73.]</w:t>
      </w:r>
    </w:p>
    <w:p>
      <w:pPr>
        <w:pStyle w:val="Heading5"/>
        <w:rPr>
          <w:snapToGrid w:val="0"/>
        </w:rPr>
      </w:pPr>
      <w:bookmarkStart w:id="45" w:name="_Toc160785746"/>
      <w:r>
        <w:rPr>
          <w:rStyle w:val="CharSectno"/>
        </w:rPr>
        <w:t>79</w:t>
      </w:r>
      <w:r>
        <w:rPr>
          <w:snapToGrid w:val="0"/>
        </w:rPr>
        <w:t>.</w:t>
      </w:r>
      <w:r>
        <w:rPr>
          <w:snapToGrid w:val="0"/>
        </w:rPr>
        <w:tab/>
        <w:t>Obstruction of officers etc.</w:t>
      </w:r>
      <w:bookmarkEnd w:id="45"/>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[Section 79 amended: No. 24 of 1986 s. 42; No. 89 of 1994 s. 29, 39 and 41; No. 58 of 1999 s. 83(1) and (3).]</w:t>
      </w:r>
    </w:p>
    <w:p>
      <w:pPr>
        <w:pStyle w:val="Heading5"/>
        <w:rPr>
          <w:snapToGrid w:val="0"/>
        </w:rPr>
      </w:pPr>
      <w:bookmarkStart w:id="46" w:name="_Toc160785747"/>
      <w:r>
        <w:rPr>
          <w:rStyle w:val="CharSectno"/>
        </w:rPr>
        <w:lastRenderedPageBreak/>
        <w:t>80</w:t>
      </w:r>
      <w:r>
        <w:rPr>
          <w:snapToGrid w:val="0"/>
        </w:rPr>
        <w:t>.</w:t>
      </w:r>
      <w:r>
        <w:rPr>
          <w:snapToGrid w:val="0"/>
        </w:rPr>
        <w:tab/>
        <w:t>Offences generally</w:t>
      </w:r>
      <w:bookmarkEnd w:id="46"/>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47" w:name="_Toc160785748"/>
      <w:r>
        <w:rPr>
          <w:rStyle w:val="CharSectno"/>
        </w:rPr>
        <w:t>81</w:t>
      </w:r>
      <w:r>
        <w:rPr>
          <w:snapToGrid w:val="0"/>
        </w:rPr>
        <w:t>.</w:t>
      </w:r>
      <w:r>
        <w:rPr>
          <w:snapToGrid w:val="0"/>
        </w:rPr>
        <w:tab/>
        <w:t>General penalty</w:t>
      </w:r>
      <w:bookmarkEnd w:id="47"/>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[Section 81 amended: No. 24 of 1986 s. 42.]</w:t>
      </w:r>
    </w:p>
    <w:p>
      <w:pPr>
        <w:pStyle w:val="Heading5"/>
        <w:rPr>
          <w:snapToGrid w:val="0"/>
        </w:rPr>
      </w:pPr>
      <w:bookmarkStart w:id="48" w:name="_Toc160785749"/>
      <w:r>
        <w:rPr>
          <w:rStyle w:val="CharSectno"/>
        </w:rPr>
        <w:t>82</w:t>
      </w:r>
      <w:r>
        <w:rPr>
          <w:snapToGrid w:val="0"/>
        </w:rPr>
        <w:t>.</w:t>
      </w:r>
      <w:r>
        <w:rPr>
          <w:snapToGrid w:val="0"/>
        </w:rPr>
        <w:tab/>
        <w:t>Recovery of moneys</w:t>
      </w:r>
      <w:bookmarkEnd w:id="48"/>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lastRenderedPageBreak/>
        <w:tab/>
        <w:t>[Section 82 amended: No. 59 of 2004 s. 141.]</w:t>
      </w:r>
    </w:p>
    <w:p>
      <w:pPr>
        <w:pStyle w:val="Heading5"/>
        <w:rPr>
          <w:snapToGrid w:val="0"/>
        </w:rPr>
      </w:pPr>
      <w:bookmarkStart w:id="49" w:name="_Toc160785750"/>
      <w:r>
        <w:rPr>
          <w:rStyle w:val="CharSectno"/>
        </w:rPr>
        <w:t>83</w:t>
      </w:r>
      <w:r>
        <w:rPr>
          <w:snapToGrid w:val="0"/>
        </w:rPr>
        <w:t>.</w:t>
      </w:r>
      <w:r>
        <w:rPr>
          <w:snapToGrid w:val="0"/>
        </w:rPr>
        <w:tab/>
        <w:t>Prosecution expenses</w:t>
      </w:r>
      <w:bookmarkEnd w:id="49"/>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[Section 83 amended: No. 30 of 1987 s. 8; No. 89 of 1994 s. 30.]</w:t>
      </w:r>
    </w:p>
    <w:p>
      <w:pPr>
        <w:pStyle w:val="Heading5"/>
        <w:rPr>
          <w:snapToGrid w:val="0"/>
        </w:rPr>
      </w:pPr>
      <w:bookmarkStart w:id="50" w:name="_Toc160785751"/>
      <w:r>
        <w:rPr>
          <w:rStyle w:val="CharSectno"/>
        </w:rPr>
        <w:t>84</w:t>
      </w:r>
      <w:r>
        <w:rPr>
          <w:snapToGrid w:val="0"/>
        </w:rPr>
        <w:t>.</w:t>
      </w:r>
      <w:r>
        <w:rPr>
          <w:snapToGrid w:val="0"/>
        </w:rPr>
        <w:tab/>
        <w:t>Power to institute and conduct proceedings</w:t>
      </w:r>
      <w:bookmarkEnd w:id="50"/>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keepNext/>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[Section 84 amended: No. 89 of 1994 s. 31, 39, 40 and 41; No. 58 of 1999 s. 83; No. 59 of 2004 s. 141.]</w:t>
      </w:r>
    </w:p>
    <w:p>
      <w:pPr>
        <w:pStyle w:val="Heading5"/>
      </w:pPr>
      <w:bookmarkStart w:id="51" w:name="_Toc160785752"/>
      <w:r>
        <w:rPr>
          <w:rStyle w:val="CharSectno"/>
        </w:rPr>
        <w:t>85</w:t>
      </w:r>
      <w:r>
        <w:t>.</w:t>
      </w:r>
      <w:r>
        <w:tab/>
        <w:t>Limitation period for offences</w:t>
      </w:r>
      <w:bookmarkEnd w:id="51"/>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lastRenderedPageBreak/>
        <w:tab/>
        <w:t>(2)</w:t>
      </w:r>
      <w:r>
        <w:rPr>
          <w:snapToGrid w:val="0"/>
        </w:rPr>
        <w:tab/>
        <w:t>A prosecution for an offence under section 74(1) may be commenced at any time.</w:t>
      </w:r>
    </w:p>
    <w:p>
      <w:pPr>
        <w:pStyle w:val="Footnotesection"/>
        <w:ind w:left="890" w:hanging="890"/>
      </w:pPr>
      <w:r>
        <w:tab/>
        <w:t>[Section 85 inserted: No. 59 of 2004 s. 141.]</w:t>
      </w:r>
    </w:p>
    <w:p>
      <w:pPr>
        <w:pStyle w:val="Heading5"/>
        <w:rPr>
          <w:snapToGrid w:val="0"/>
        </w:rPr>
      </w:pPr>
      <w:bookmarkStart w:id="52" w:name="_Toc160785753"/>
      <w:r>
        <w:rPr>
          <w:rStyle w:val="CharSectno"/>
        </w:rPr>
        <w:t>86</w:t>
      </w:r>
      <w:r>
        <w:rPr>
          <w:snapToGrid w:val="0"/>
        </w:rPr>
        <w:t>.</w:t>
      </w:r>
      <w:r>
        <w:rPr>
          <w:snapToGrid w:val="0"/>
        </w:rPr>
        <w:tab/>
      </w:r>
      <w:r>
        <w:t>Liability of bodies corporate</w:t>
      </w:r>
      <w:bookmarkEnd w:id="52"/>
    </w:p>
    <w:p>
      <w:pPr>
        <w:pStyle w:val="Ednotesubsection"/>
      </w:pPr>
      <w:r>
        <w:tab/>
        <w:t>[(1)-(2a)</w:t>
      </w:r>
      <w:r>
        <w:tab/>
        <w:t>deleted]</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[Section 86 amended: No. 24 of 1986 s. 34; No. 9 of 2023 s. 59.]</w:t>
      </w:r>
    </w:p>
    <w:p>
      <w:pPr>
        <w:pStyle w:val="Heading5"/>
        <w:rPr>
          <w:snapToGrid w:val="0"/>
        </w:rPr>
      </w:pPr>
      <w:bookmarkStart w:id="53" w:name="_Toc160785754"/>
      <w:r>
        <w:rPr>
          <w:rStyle w:val="CharSectno"/>
        </w:rPr>
        <w:t>87</w:t>
      </w:r>
      <w:r>
        <w:rPr>
          <w:snapToGrid w:val="0"/>
        </w:rPr>
        <w:t>.</w:t>
      </w:r>
      <w:r>
        <w:rPr>
          <w:snapToGrid w:val="0"/>
        </w:rPr>
        <w:tab/>
        <w:t>Proof of certain matters</w:t>
      </w:r>
      <w:bookmarkEnd w:id="53"/>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lastRenderedPageBreak/>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w:t>
      </w:r>
    </w:p>
    <w:p>
      <w:pPr>
        <w:pStyle w:val="Indenta"/>
        <w:rPr>
          <w:snapToGrid w:val="0"/>
        </w:rPr>
      </w:pPr>
      <w:r>
        <w:rPr>
          <w:snapToGrid w:val="0"/>
        </w:rPr>
        <w:tab/>
        <w:t>(a)</w:t>
      </w:r>
      <w:r>
        <w:rPr>
          <w:snapToGrid w:val="0"/>
        </w:rPr>
        <w:tab/>
        <w:t>that the meeting to which the record relates was duly convened; or</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 xml:space="preserve">that the minutes were confirmed, and that the signature purporting to be that of the person authorised to sign the </w:t>
      </w:r>
      <w:r>
        <w:rPr>
          <w:snapToGrid w:val="0"/>
        </w:rPr>
        <w:lastRenderedPageBreak/>
        <w:t>confirmation of the minutes is in fact his signature and that he was so authorised.</w:t>
      </w:r>
    </w:p>
    <w:p>
      <w:pPr>
        <w:pStyle w:val="Subsection"/>
        <w:keepNext/>
        <w:rPr>
          <w:snapToGrid w:val="0"/>
        </w:rPr>
      </w:pPr>
      <w:r>
        <w:rPr>
          <w:snapToGrid w:val="0"/>
        </w:rPr>
        <w:tab/>
        <w:t>(4)</w:t>
      </w:r>
      <w:r>
        <w:rPr>
          <w:snapToGrid w:val="0"/>
        </w:rPr>
        <w:tab/>
        <w:t>The provisions of this section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keepNext/>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[Section 87 amended: No. 101 of 1981 s. 19; No. 24 of 1986 s. 42; No. 89 of 1994 s. 32, 39 and 41; No. 58 of 1999 s. 83(1) and (3).]</w:t>
      </w:r>
    </w:p>
    <w:p>
      <w:pPr>
        <w:pStyle w:val="Heading5"/>
        <w:rPr>
          <w:snapToGrid w:val="0"/>
        </w:rPr>
      </w:pPr>
      <w:bookmarkStart w:id="54" w:name="_Toc160785755"/>
      <w:r>
        <w:rPr>
          <w:rStyle w:val="CharSectno"/>
        </w:rPr>
        <w:t>88</w:t>
      </w:r>
      <w:r>
        <w:rPr>
          <w:snapToGrid w:val="0"/>
        </w:rPr>
        <w:t>.</w:t>
      </w:r>
      <w:r>
        <w:rPr>
          <w:snapToGrid w:val="0"/>
        </w:rPr>
        <w:tab/>
        <w:t>Evidence of documents issued by an energy operator</w:t>
      </w:r>
      <w:bookmarkEnd w:id="54"/>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keepLines/>
        <w:rPr>
          <w:snapToGrid w:val="0"/>
        </w:rPr>
      </w:pPr>
      <w:r>
        <w:rPr>
          <w:snapToGrid w:val="0"/>
        </w:rPr>
        <w:lastRenderedPageBreak/>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[Section 88 amended: No. 101 of 1981 s. 20; No. 24 of 1986 s. 35 and 42; No. 89 of 1994 s. 33, 39 and 41; No. 58 of 1999 s. 83(1) and (3).]</w:t>
      </w:r>
    </w:p>
    <w:p>
      <w:pPr>
        <w:pStyle w:val="Ednotesection"/>
      </w:pPr>
      <w:r>
        <w:t>[</w:t>
      </w:r>
      <w:r>
        <w:rPr>
          <w:b/>
        </w:rPr>
        <w:t>89</w:t>
      </w:r>
      <w:r>
        <w:rPr>
          <w:b/>
        </w:rPr>
        <w:noBreakHyphen/>
        <w:t>96.</w:t>
      </w:r>
      <w:r>
        <w:tab/>
        <w:t>Deleted: No. 89 of 1994 s. 34.]</w:t>
      </w:r>
    </w:p>
    <w:p>
      <w:pPr>
        <w:pStyle w:val="Ednotesection"/>
      </w:pPr>
      <w:r>
        <w:t>[</w:t>
      </w:r>
      <w:r>
        <w:rPr>
          <w:b/>
        </w:rPr>
        <w:t>97.</w:t>
      </w:r>
      <w:r>
        <w:tab/>
        <w:t>Deleted: No. 60 of 1994 s. 13.]</w:t>
      </w:r>
    </w:p>
    <w:p>
      <w:pPr>
        <w:pStyle w:val="Ednotesection"/>
      </w:pPr>
      <w:r>
        <w:t>[</w:t>
      </w:r>
      <w:r>
        <w:rPr>
          <w:b/>
        </w:rPr>
        <w:t>98</w:t>
      </w:r>
      <w:r>
        <w:rPr>
          <w:b/>
        </w:rPr>
        <w:noBreakHyphen/>
        <w:t>102.</w:t>
      </w:r>
      <w:r>
        <w:tab/>
        <w:t>Deleted: No. 89 of 1994 s. 34.]</w:t>
      </w:r>
    </w:p>
    <w:p>
      <w:pPr>
        <w:pStyle w:val="Ednotesection"/>
      </w:pPr>
      <w:r>
        <w:t>[</w:t>
      </w:r>
      <w:r>
        <w:rPr>
          <w:b/>
        </w:rPr>
        <w:t>103.</w:t>
      </w:r>
      <w:r>
        <w:rPr>
          <w:b/>
        </w:rPr>
        <w:tab/>
      </w:r>
      <w:r>
        <w:t>Deleted: No. 98 of 1985 s. 3.]</w:t>
      </w:r>
    </w:p>
    <w:p>
      <w:pPr>
        <w:pStyle w:val="Ednotesection"/>
      </w:pPr>
      <w:r>
        <w:t>[</w:t>
      </w:r>
      <w:r>
        <w:rPr>
          <w:b/>
        </w:rPr>
        <w:t>104</w:t>
      </w:r>
      <w:r>
        <w:rPr>
          <w:b/>
        </w:rPr>
        <w:noBreakHyphen/>
        <w:t>108.</w:t>
      </w:r>
      <w:r>
        <w:rPr>
          <w:b/>
        </w:rPr>
        <w:tab/>
      </w:r>
      <w:r>
        <w:t>Deleted: No. 89 of 1994 s. 34.]</w:t>
      </w:r>
    </w:p>
    <w:p>
      <w:pPr>
        <w:pStyle w:val="Ednotesection"/>
      </w:pPr>
      <w:r>
        <w:t>[</w:t>
      </w:r>
      <w:r>
        <w:rPr>
          <w:b/>
        </w:rPr>
        <w:t>109.</w:t>
      </w:r>
      <w:r>
        <w:tab/>
        <w:t>Deleted: No. 101 of 1981 s. 31.]</w:t>
      </w:r>
    </w:p>
    <w:p>
      <w:pPr>
        <w:pStyle w:val="Ednotesection"/>
      </w:pPr>
      <w:r>
        <w:t>[</w:t>
      </w:r>
      <w:r>
        <w:rPr>
          <w:b/>
        </w:rPr>
        <w:t>110</w:t>
      </w:r>
      <w:r>
        <w:rPr>
          <w:b/>
        </w:rPr>
        <w:noBreakHyphen/>
        <w:t>114.</w:t>
      </w:r>
      <w:r>
        <w:rPr>
          <w:b/>
        </w:rPr>
        <w:tab/>
      </w:r>
      <w:r>
        <w:t>Deleted: No. 89 of 1994 s. 34.]</w:t>
      </w:r>
    </w:p>
    <w:p>
      <w:pPr>
        <w:pStyle w:val="Ednotesection"/>
      </w:pPr>
      <w:r>
        <w:t>[</w:t>
      </w:r>
      <w:r>
        <w:rPr>
          <w:b/>
        </w:rPr>
        <w:t>115</w:t>
      </w:r>
      <w:r>
        <w:rPr>
          <w:b/>
        </w:rPr>
        <w:noBreakHyphen/>
        <w:t>118.</w:t>
      </w:r>
      <w:r>
        <w:rPr>
          <w:b/>
        </w:rPr>
        <w:tab/>
      </w:r>
      <w:r>
        <w:t>Deleted: No. 98 of 1985 s. 3.]</w:t>
      </w:r>
    </w:p>
    <w:p>
      <w:pPr>
        <w:pStyle w:val="Ednotesection"/>
      </w:pPr>
      <w:r>
        <w:t>[</w:t>
      </w:r>
      <w:r>
        <w:rPr>
          <w:b/>
        </w:rPr>
        <w:t>119.</w:t>
      </w:r>
      <w:r>
        <w:rPr>
          <w:b/>
        </w:rPr>
        <w:tab/>
      </w:r>
      <w:r>
        <w:t>Deleted: No. 89 of 1994 s. 34.]</w:t>
      </w:r>
    </w:p>
    <w:p>
      <w:pPr>
        <w:pStyle w:val="Ednotesection"/>
      </w:pPr>
      <w:r>
        <w:t>[</w:t>
      </w:r>
      <w:r>
        <w:rPr>
          <w:b/>
        </w:rPr>
        <w:t>119A.</w:t>
      </w:r>
      <w:r>
        <w:tab/>
        <w:t>Deleted: No. 126 of 1987 s. 121.]</w:t>
      </w:r>
    </w:p>
    <w:p>
      <w:pPr>
        <w:pStyle w:val="Heading5"/>
        <w:rPr>
          <w:snapToGrid w:val="0"/>
        </w:rPr>
      </w:pPr>
      <w:bookmarkStart w:id="55" w:name="_Toc160785756"/>
      <w:r>
        <w:rPr>
          <w:rStyle w:val="CharSectno"/>
        </w:rPr>
        <w:t>120</w:t>
      </w:r>
      <w:r>
        <w:rPr>
          <w:snapToGrid w:val="0"/>
        </w:rPr>
        <w:t>.</w:t>
      </w:r>
      <w:r>
        <w:rPr>
          <w:snapToGrid w:val="0"/>
        </w:rPr>
        <w:tab/>
        <w:t>Energy operator to make good damage, and may be liable to pay compensation</w:t>
      </w:r>
      <w:bookmarkEnd w:id="55"/>
    </w:p>
    <w:p>
      <w:pPr>
        <w:pStyle w:val="Subsection"/>
        <w:rPr>
          <w:snapToGrid w:val="0"/>
        </w:rPr>
      </w:pPr>
      <w:r>
        <w:rPr>
          <w:snapToGrid w:val="0"/>
        </w:rPr>
        <w:tab/>
      </w:r>
      <w:r>
        <w:rPr>
          <w:snapToGrid w:val="0"/>
        </w:rPr>
        <w:tab/>
        <w:t xml:space="preserve">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w:t>
      </w:r>
      <w:r>
        <w:rPr>
          <w:snapToGrid w:val="0"/>
        </w:rPr>
        <w:lastRenderedPageBreak/>
        <w:t>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[Section 120 amended: No. 101 of 1981 s. 37; No. 24 of 1986 s. 38; No. 89 of 1994 s. 35, 39 and 41; No. 58 of 1999 s. 82 and 83(1) and (3).]</w:t>
      </w:r>
    </w:p>
    <w:p>
      <w:pPr>
        <w:pStyle w:val="Heading5"/>
        <w:rPr>
          <w:snapToGrid w:val="0"/>
        </w:rPr>
      </w:pPr>
      <w:bookmarkStart w:id="56" w:name="_Toc160785757"/>
      <w:r>
        <w:rPr>
          <w:rStyle w:val="CharSectno"/>
        </w:rPr>
        <w:t>121</w:t>
      </w:r>
      <w:r>
        <w:rPr>
          <w:snapToGrid w:val="0"/>
        </w:rPr>
        <w:t>.</w:t>
      </w:r>
      <w:r>
        <w:rPr>
          <w:snapToGrid w:val="0"/>
        </w:rPr>
        <w:tab/>
        <w:t>Actions for damages, generally</w:t>
      </w:r>
      <w:bookmarkEnd w:id="56"/>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[Section 121 amended: No. 101 of 1981 s. 38; No. 24 of 1986 s. 39; No. 89 of 1994 s. 36, 39, 40 and 41; No. 58 of 1999 s. 83.]</w:t>
      </w:r>
    </w:p>
    <w:p>
      <w:pPr>
        <w:pStyle w:val="Heading5"/>
        <w:rPr>
          <w:snapToGrid w:val="0"/>
        </w:rPr>
      </w:pPr>
      <w:bookmarkStart w:id="57" w:name="_Toc160785758"/>
      <w:r>
        <w:rPr>
          <w:rStyle w:val="CharSectno"/>
        </w:rPr>
        <w:t>122</w:t>
      </w:r>
      <w:r>
        <w:rPr>
          <w:snapToGrid w:val="0"/>
        </w:rPr>
        <w:t>.</w:t>
      </w:r>
      <w:r>
        <w:rPr>
          <w:snapToGrid w:val="0"/>
        </w:rPr>
        <w:tab/>
        <w:t>Protection</w:t>
      </w:r>
      <w:bookmarkEnd w:id="57"/>
    </w:p>
    <w:p>
      <w:pPr>
        <w:pStyle w:val="Subsection"/>
        <w:rPr>
          <w:snapToGrid w:val="0"/>
        </w:rPr>
      </w:pPr>
      <w:r>
        <w:rPr>
          <w:snapToGrid w:val="0"/>
        </w:rPr>
        <w:tab/>
      </w:r>
      <w:r>
        <w:rPr>
          <w:snapToGrid w:val="0"/>
        </w:rPr>
        <w:tab/>
        <w:t xml:space="preserve">A person is not personally liable for any act done or omission made by that person in good faith and in the course of the </w:t>
      </w:r>
      <w:r>
        <w:rPr>
          <w:snapToGrid w:val="0"/>
        </w:rPr>
        <w:lastRenderedPageBreak/>
        <w:t>exercise or performance or purported exercise or performance of a power or duty which he had reasonable and probable cause to believe was conferred or imposed by this Act.</w:t>
      </w:r>
    </w:p>
    <w:p>
      <w:pPr>
        <w:pStyle w:val="Footnotesection"/>
        <w:keepLines w:val="0"/>
      </w:pPr>
      <w:r>
        <w:tab/>
        <w:t>[Section 122 inserted: No. 89 of 1994 s. 37.]</w:t>
      </w:r>
    </w:p>
    <w:p>
      <w:pPr>
        <w:pStyle w:val="Heading5"/>
        <w:rPr>
          <w:snapToGrid w:val="0"/>
        </w:rPr>
      </w:pPr>
      <w:bookmarkStart w:id="58" w:name="_Toc160785759"/>
      <w:r>
        <w:rPr>
          <w:rStyle w:val="CharSectno"/>
        </w:rPr>
        <w:t>123</w:t>
      </w:r>
      <w:r>
        <w:rPr>
          <w:snapToGrid w:val="0"/>
        </w:rPr>
        <w:t>.</w:t>
      </w:r>
      <w:r>
        <w:rPr>
          <w:snapToGrid w:val="0"/>
        </w:rPr>
        <w:tab/>
        <w:t>Regulations</w:t>
      </w:r>
      <w:bookmarkEnd w:id="58"/>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[Section 123 amended: No. 24 of 1986 s. 40 and 42; No. 30 of 1987 s. 9; No. 89 of 1994 s. 39; No. 58 of 1999 s. 91; No. 33 of 2004 s. 45.]</w:t>
      </w:r>
    </w:p>
    <w:p>
      <w:pPr>
        <w:pStyle w:val="Heading5"/>
        <w:rPr>
          <w:snapToGrid w:val="0"/>
        </w:rPr>
      </w:pPr>
      <w:bookmarkStart w:id="59" w:name="_Toc160785760"/>
      <w:r>
        <w:rPr>
          <w:rStyle w:val="CharSectno"/>
        </w:rPr>
        <w:t>124</w:t>
      </w:r>
      <w:r>
        <w:rPr>
          <w:snapToGrid w:val="0"/>
        </w:rPr>
        <w:t>.</w:t>
      </w:r>
      <w:r>
        <w:rPr>
          <w:snapToGrid w:val="0"/>
        </w:rPr>
        <w:tab/>
        <w:t>By</w:t>
      </w:r>
      <w:r>
        <w:rPr>
          <w:snapToGrid w:val="0"/>
        </w:rPr>
        <w:noBreakHyphen/>
        <w:t>laws</w:t>
      </w:r>
      <w:bookmarkEnd w:id="59"/>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 xml:space="preserve">laws for the more effectual </w:t>
      </w:r>
      <w:r>
        <w:rPr>
          <w:snapToGrid w:val="0"/>
        </w:rPr>
        <w:lastRenderedPageBreak/>
        <w:t>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r>
        <w:t xml:space="preserve"> and</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r>
        <w:t xml:space="preserve"> and</w:t>
      </w:r>
    </w:p>
    <w:p>
      <w:pPr>
        <w:pStyle w:val="Indenta"/>
        <w:rPr>
          <w:snapToGrid w:val="0"/>
        </w:rPr>
      </w:pPr>
      <w:r>
        <w:rPr>
          <w:snapToGrid w:val="0"/>
        </w:rPr>
        <w:tab/>
        <w:t>(c)</w:t>
      </w:r>
      <w:r>
        <w:rPr>
          <w:snapToGrid w:val="0"/>
        </w:rPr>
        <w:tab/>
        <w:t xml:space="preserve">as to the establishment, conditions, and termination of the supply of energy; </w:t>
      </w:r>
      <w:r>
        <w:t>and</w:t>
      </w:r>
    </w:p>
    <w:p>
      <w:pPr>
        <w:pStyle w:val="Indenta"/>
        <w:keepNext/>
        <w:rPr>
          <w:snapToGrid w:val="0"/>
        </w:rPr>
      </w:pPr>
      <w:r>
        <w:rPr>
          <w:snapToGrid w:val="0"/>
        </w:rPr>
        <w:tab/>
        <w:t>(d)</w:t>
      </w:r>
      <w:r>
        <w:rPr>
          <w:snapToGrid w:val="0"/>
        </w:rPr>
        <w:tab/>
        <w:t>prescribing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lastRenderedPageBreak/>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lastRenderedPageBreak/>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 and</w:t>
      </w:r>
    </w:p>
    <w:p>
      <w:pPr>
        <w:pStyle w:val="Ednotepara"/>
        <w:spacing w:before="80"/>
        <w:rPr>
          <w:snapToGrid w:val="0"/>
        </w:rPr>
      </w:pPr>
      <w:r>
        <w:rPr>
          <w:snapToGrid w:val="0"/>
        </w:rPr>
        <w:tab/>
        <w:t>[(f),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 and</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 and</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 and</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 and</w:t>
      </w:r>
    </w:p>
    <w:p>
      <w:pPr>
        <w:pStyle w:val="Indenta"/>
        <w:rPr>
          <w:snapToGrid w:val="0"/>
        </w:rPr>
      </w:pPr>
      <w:r>
        <w:rPr>
          <w:snapToGrid w:val="0"/>
        </w:rPr>
        <w:tab/>
        <w:t>(o)</w:t>
      </w:r>
      <w:r>
        <w:rPr>
          <w:snapToGrid w:val="0"/>
        </w:rPr>
        <w:tab/>
        <w:t xml:space="preserve">the measures that may be taken in relation to supply systems or components of supply systems, whether or </w:t>
      </w:r>
      <w:r>
        <w:rPr>
          <w:snapToGrid w:val="0"/>
        </w:rPr>
        <w:lastRenderedPageBreak/>
        <w:t>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 and</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 and</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 and</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spacing w:before="120"/>
        <w:rPr>
          <w:snapToGrid w:val="0"/>
        </w:rPr>
      </w:pPr>
      <w:r>
        <w:rPr>
          <w:snapToGrid w:val="0"/>
        </w:rPr>
        <w:lastRenderedPageBreak/>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spacing w:before="120"/>
      </w:pPr>
      <w:r>
        <w:tab/>
        <w:t>(6)</w:t>
      </w:r>
      <w:r>
        <w:tab/>
        <w:t>In this section —</w:t>
      </w:r>
    </w:p>
    <w:p>
      <w:pPr>
        <w:pStyle w:val="Defstart"/>
      </w:pPr>
      <w:r>
        <w:rPr>
          <w:b/>
        </w:rPr>
        <w:tab/>
      </w:r>
      <w:r>
        <w:rPr>
          <w:rStyle w:val="CharDefText"/>
        </w:rPr>
        <w:t>corporation</w:t>
      </w:r>
      <w:r>
        <w:t xml:space="preserve"> includes any subsidiary, as defined in section 3(1) of the </w:t>
      </w:r>
      <w:r>
        <w:rPr>
          <w:i/>
          <w:iCs/>
        </w:rPr>
        <w:t>Electricity Corporations Act 2005</w:t>
      </w:r>
      <w:r>
        <w:t>, of the corporation.</w:t>
      </w:r>
    </w:p>
    <w:p>
      <w:pPr>
        <w:pStyle w:val="Footnotesection"/>
      </w:pPr>
      <w:r>
        <w:tab/>
        <w:t>[Section 124 amended: No. 24 of 1986 s. 41 and 42; No. 6 of 1991 s. 3; No. 89 of 1994 s. 38, 39 and 41; No. 58 of 1999 s. 92; No. 24 of 2000 s. 14(13); No. 74 of 2003 s. 51(2); No. 33 of 2004 s. 46; No. 18 of 2005 s. 139.]</w:t>
      </w:r>
    </w:p>
    <w:p>
      <w:pPr>
        <w:pStyle w:val="Heading5"/>
        <w:rPr>
          <w:snapToGrid w:val="0"/>
        </w:rPr>
      </w:pPr>
      <w:bookmarkStart w:id="60" w:name="_Toc160785761"/>
      <w:r>
        <w:rPr>
          <w:rStyle w:val="CharSectno"/>
        </w:rPr>
        <w:t>125</w:t>
      </w:r>
      <w:r>
        <w:rPr>
          <w:snapToGrid w:val="0"/>
        </w:rPr>
        <w:t>.</w:t>
      </w:r>
      <w:r>
        <w:rPr>
          <w:snapToGrid w:val="0"/>
        </w:rPr>
        <w:tab/>
        <w:t>Regulations or by</w:t>
      </w:r>
      <w:r>
        <w:rPr>
          <w:snapToGrid w:val="0"/>
        </w:rPr>
        <w:noBreakHyphen/>
        <w:t>laws, generally</w:t>
      </w:r>
      <w:bookmarkEnd w:id="60"/>
    </w:p>
    <w:p>
      <w:pPr>
        <w:pStyle w:val="Subsection"/>
        <w:spacing w:before="120"/>
        <w:rPr>
          <w:snapToGrid w:val="0"/>
        </w:rPr>
      </w:pPr>
      <w:r>
        <w:rPr>
          <w:snapToGrid w:val="0"/>
        </w:rPr>
        <w:tab/>
        <w:t>(1)</w:t>
      </w:r>
      <w:r>
        <w:rPr>
          <w:snapToGrid w:val="0"/>
        </w:rPr>
        <w:tab/>
        <w:t>Regulations or by</w:t>
      </w:r>
      <w:r>
        <w:rPr>
          <w:snapToGrid w:val="0"/>
        </w:rPr>
        <w:noBreakHyphen/>
        <w:t>laws made under this Act may be so made —</w:t>
      </w:r>
    </w:p>
    <w:p>
      <w:pPr>
        <w:pStyle w:val="Indenta"/>
        <w:spacing w:before="60"/>
        <w:rPr>
          <w:snapToGrid w:val="0"/>
        </w:rPr>
      </w:pPr>
      <w:r>
        <w:rPr>
          <w:snapToGrid w:val="0"/>
        </w:rPr>
        <w:tab/>
        <w:t>(a)</w:t>
      </w:r>
      <w:r>
        <w:rPr>
          <w:snapToGrid w:val="0"/>
        </w:rPr>
        <w:tab/>
        <w:t>as to apply —</w:t>
      </w:r>
    </w:p>
    <w:p>
      <w:pPr>
        <w:pStyle w:val="Indenti"/>
        <w:spacing w:before="60"/>
        <w:rPr>
          <w:snapToGrid w:val="0"/>
        </w:rPr>
      </w:pPr>
      <w:r>
        <w:rPr>
          <w:snapToGrid w:val="0"/>
        </w:rPr>
        <w:tab/>
        <w:t>(i)</w:t>
      </w:r>
      <w:r>
        <w:rPr>
          <w:snapToGrid w:val="0"/>
        </w:rPr>
        <w:tab/>
        <w:t>generally, or in a specified class of case or in a specified case; and</w:t>
      </w:r>
    </w:p>
    <w:p>
      <w:pPr>
        <w:pStyle w:val="Indenti"/>
        <w:spacing w:before="60"/>
        <w:rPr>
          <w:snapToGrid w:val="0"/>
        </w:rPr>
      </w:pPr>
      <w:r>
        <w:rPr>
          <w:snapToGrid w:val="0"/>
        </w:rPr>
        <w:tab/>
        <w:t>(ii)</w:t>
      </w:r>
      <w:r>
        <w:rPr>
          <w:snapToGrid w:val="0"/>
        </w:rPr>
        <w:tab/>
        <w:t>at all times, or at specified times or at a specified time; and</w:t>
      </w:r>
    </w:p>
    <w:p>
      <w:pPr>
        <w:pStyle w:val="Indenti"/>
        <w:spacing w:before="60"/>
        <w:rPr>
          <w:snapToGrid w:val="0"/>
        </w:rPr>
      </w:pPr>
      <w:r>
        <w:rPr>
          <w:snapToGrid w:val="0"/>
        </w:rPr>
        <w:tab/>
        <w:t>(iii)</w:t>
      </w:r>
      <w:r>
        <w:rPr>
          <w:snapToGrid w:val="0"/>
        </w:rPr>
        <w:tab/>
        <w:t>throughout the State, or in specified parts of the State or in a specified place;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lastRenderedPageBreak/>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spacing w:before="60"/>
        <w:rPr>
          <w:snapToGrid w:val="0"/>
        </w:rPr>
      </w:pPr>
      <w:r>
        <w:rPr>
          <w:snapToGrid w:val="0"/>
        </w:rPr>
        <w:tab/>
      </w:r>
      <w:r>
        <w:rPr>
          <w:snapToGrid w:val="0"/>
        </w:rPr>
        <w:tab/>
        <w:t>either wholly or in part or with modifications, as are specified; or</w:t>
      </w:r>
    </w:p>
    <w:p>
      <w:pPr>
        <w:pStyle w:val="Indenta"/>
        <w:spacing w:before="60"/>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spacing w:before="12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Footnotesection"/>
      </w:pPr>
      <w:r>
        <w:tab/>
        <w:t>[Section 125 amended: No. 89 of 1994 s. 39 and 41; No. 58 of 1999 s. 83(1) and (3); No. 74 of 2003 s. 51(3).]</w:t>
      </w:r>
    </w:p>
    <w:p>
      <w:pPr>
        <w:pStyle w:val="yEdnoteschedule"/>
      </w:pPr>
      <w:r>
        <w:t>[Schedule deleted: No. 60 of 1994 s. 13.]</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61" w:name="_Toc160629930"/>
      <w:bookmarkStart w:id="62" w:name="_Toc160630056"/>
      <w:bookmarkStart w:id="63" w:name="_Toc160636701"/>
      <w:bookmarkStart w:id="64" w:name="_Toc160785570"/>
      <w:bookmarkStart w:id="65" w:name="_Toc160785762"/>
      <w:r>
        <w:lastRenderedPageBreak/>
        <w:t>Notes</w:t>
      </w:r>
      <w:bookmarkEnd w:id="61"/>
      <w:bookmarkEnd w:id="62"/>
      <w:bookmarkEnd w:id="63"/>
      <w:bookmarkEnd w:id="64"/>
      <w:bookmarkEnd w:id="65"/>
    </w:p>
    <w:p>
      <w:pPr>
        <w:pStyle w:val="nStatement"/>
      </w:pPr>
      <w:r>
        <w:t xml:space="preserve">This is a compilation of the </w:t>
      </w:r>
      <w:r>
        <w:rPr>
          <w:i/>
          <w:noProof/>
        </w:rPr>
        <w:t>Energy Operators (Powers) Act 1979</w:t>
      </w:r>
      <w:r>
        <w:t xml:space="preserve"> and includes amendments made by other written laws</w:t>
      </w:r>
      <w:r>
        <w:rPr>
          <w:vertAlign w:val="superscript"/>
        </w:rPr>
        <w:t> 3</w:t>
      </w:r>
      <w:r>
        <w:t>. For provisions that have come into operation, and for information about any reprints, see the compilation table. For provisions that have not yet come into operation see the uncommenced provisions table.</w:t>
      </w:r>
    </w:p>
    <w:p>
      <w:pPr>
        <w:pStyle w:val="nHeading3"/>
        <w:rPr>
          <w:snapToGrid w:val="0"/>
        </w:rPr>
      </w:pPr>
      <w:bookmarkStart w:id="66" w:name="_Toc160785763"/>
      <w:r>
        <w:rPr>
          <w:snapToGrid w:val="0"/>
        </w:rPr>
        <w:t>Compilation table</w:t>
      </w:r>
      <w:bookmarkEnd w:id="66"/>
    </w:p>
    <w:tbl>
      <w:tblPr>
        <w:tblW w:w="7089"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rPr>
                <w:vertAlign w:val="superscript"/>
              </w:rPr>
            </w:pPr>
            <w:r>
              <w:rPr>
                <w:i/>
              </w:rPr>
              <w:t>State Energy Commission Act 1979</w:t>
            </w:r>
            <w:r>
              <w:rPr>
                <w:vertAlign w:val="superscript"/>
              </w:rPr>
              <w:t> 4</w:t>
            </w:r>
          </w:p>
        </w:tc>
        <w:tc>
          <w:tcPr>
            <w:tcW w:w="1134" w:type="dxa"/>
          </w:tcPr>
          <w:p>
            <w:pPr>
              <w:pStyle w:val="nTable"/>
              <w:spacing w:after="40"/>
            </w:pPr>
            <w:r>
              <w:t>111 of 1979</w:t>
            </w:r>
          </w:p>
        </w:tc>
        <w:tc>
          <w:tcPr>
            <w:tcW w:w="1136" w:type="dxa"/>
          </w:tcPr>
          <w:p>
            <w:pPr>
              <w:pStyle w:val="nTable"/>
              <w:spacing w:after="40"/>
            </w:pPr>
            <w:r>
              <w:t>21 Dec 1979</w:t>
            </w:r>
          </w:p>
        </w:tc>
        <w:tc>
          <w:tcPr>
            <w:tcW w:w="2551" w:type="dxa"/>
          </w:tcPr>
          <w:p>
            <w:pPr>
              <w:pStyle w:val="nTable"/>
              <w:spacing w:after="40"/>
            </w:pPr>
            <w:r>
              <w:t xml:space="preserve">1 Feb 1980 (see s. 2 and </w:t>
            </w:r>
            <w:r>
              <w:rPr>
                <w:i/>
              </w:rPr>
              <w:t>Gazette</w:t>
            </w:r>
            <w:r>
              <w:t xml:space="preserve"> 1 Feb 1980 p. 284)</w:t>
            </w:r>
          </w:p>
        </w:tc>
      </w:tr>
      <w:tr>
        <w:trPr>
          <w:cantSplit/>
        </w:trPr>
        <w:tc>
          <w:tcPr>
            <w:tcW w:w="2268" w:type="dxa"/>
          </w:tcPr>
          <w:p>
            <w:pPr>
              <w:pStyle w:val="nTable"/>
              <w:spacing w:after="40"/>
              <w:ind w:right="170"/>
            </w:pPr>
            <w:r>
              <w:rPr>
                <w:i/>
              </w:rPr>
              <w:t>Acts Amendment (Statutory Designations) and Validation Act 1981</w:t>
            </w:r>
            <w:r>
              <w:t xml:space="preserve"> s. 4</w:t>
            </w:r>
          </w:p>
        </w:tc>
        <w:tc>
          <w:tcPr>
            <w:tcW w:w="1134" w:type="dxa"/>
          </w:tcPr>
          <w:p>
            <w:pPr>
              <w:pStyle w:val="nTable"/>
              <w:spacing w:after="40"/>
            </w:pPr>
            <w:r>
              <w:t>63 of 1981</w:t>
            </w:r>
          </w:p>
        </w:tc>
        <w:tc>
          <w:tcPr>
            <w:tcW w:w="1136"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70"/>
            </w:pPr>
            <w:r>
              <w:rPr>
                <w:i/>
              </w:rPr>
              <w:t>State Energy Commission Amendment Act 1981</w:t>
            </w:r>
          </w:p>
        </w:tc>
        <w:tc>
          <w:tcPr>
            <w:tcW w:w="1134" w:type="dxa"/>
          </w:tcPr>
          <w:p>
            <w:pPr>
              <w:pStyle w:val="nTable"/>
              <w:spacing w:after="40"/>
            </w:pPr>
            <w:r>
              <w:t>101 of 1981</w:t>
            </w:r>
          </w:p>
        </w:tc>
        <w:tc>
          <w:tcPr>
            <w:tcW w:w="1136" w:type="dxa"/>
          </w:tcPr>
          <w:p>
            <w:pPr>
              <w:pStyle w:val="nTable"/>
              <w:spacing w:after="40"/>
            </w:pPr>
            <w:r>
              <w:t>4 Dec 1981</w:t>
            </w:r>
          </w:p>
        </w:tc>
        <w:tc>
          <w:tcPr>
            <w:tcW w:w="2551" w:type="dxa"/>
          </w:tcPr>
          <w:p>
            <w:pPr>
              <w:pStyle w:val="nTable"/>
              <w:spacing w:after="40"/>
            </w:pPr>
            <w:r>
              <w:t>s. 4: 4 Dec 1981 (see s. 2(1));</w:t>
            </w:r>
            <w:r>
              <w:br/>
              <w:t xml:space="preserve">Act other than s. 4 and 17: 15 Jan 1982 (see s. 2(3) and </w:t>
            </w:r>
            <w:r>
              <w:rPr>
                <w:i/>
              </w:rPr>
              <w:t>Gazette</w:t>
            </w:r>
            <w:r>
              <w:t xml:space="preserve"> 15 Jan 1982 p. 49);</w:t>
            </w:r>
            <w:r>
              <w:br/>
              <w:t xml:space="preserve">s. 17: 13 Feb 1982 (see s. 2(2) and </w:t>
            </w:r>
            <w:r>
              <w:rPr>
                <w:i/>
              </w:rPr>
              <w:t>Gazette</w:t>
            </w:r>
            <w:r>
              <w:t xml:space="preserve"> 15 Jan 1982 p. 49) </w:t>
            </w:r>
          </w:p>
        </w:tc>
      </w:tr>
      <w:tr>
        <w:trPr>
          <w:cantSplit/>
        </w:trPr>
        <w:tc>
          <w:tcPr>
            <w:tcW w:w="2268" w:type="dxa"/>
          </w:tcPr>
          <w:p>
            <w:pPr>
              <w:pStyle w:val="nTable"/>
              <w:spacing w:after="40"/>
              <w:ind w:right="170"/>
            </w:pPr>
            <w:r>
              <w:rPr>
                <w:i/>
              </w:rPr>
              <w:t>State Energy Commission Amendment Act 1984</w:t>
            </w:r>
          </w:p>
        </w:tc>
        <w:tc>
          <w:tcPr>
            <w:tcW w:w="1134" w:type="dxa"/>
          </w:tcPr>
          <w:p>
            <w:pPr>
              <w:pStyle w:val="nTable"/>
              <w:spacing w:after="40"/>
            </w:pPr>
            <w:r>
              <w:t>36 of 1984</w:t>
            </w:r>
          </w:p>
        </w:tc>
        <w:tc>
          <w:tcPr>
            <w:tcW w:w="1136" w:type="dxa"/>
          </w:tcPr>
          <w:p>
            <w:pPr>
              <w:pStyle w:val="nTable"/>
              <w:spacing w:after="40"/>
            </w:pPr>
            <w:r>
              <w:t>20 Jun 1984</w:t>
            </w:r>
          </w:p>
        </w:tc>
        <w:tc>
          <w:tcPr>
            <w:tcW w:w="2551" w:type="dxa"/>
          </w:tcPr>
          <w:p>
            <w:pPr>
              <w:pStyle w:val="nTable"/>
              <w:spacing w:after="40"/>
            </w:pPr>
            <w:r>
              <w:t>20 Jun 1984</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keepNext/>
              <w:keepLines/>
              <w:spacing w:after="40"/>
              <w:ind w:right="170"/>
            </w:pPr>
            <w:r>
              <w:rPr>
                <w:i/>
              </w:rPr>
              <w:t>State Energy Commission Amendment Act 1986</w:t>
            </w:r>
          </w:p>
        </w:tc>
        <w:tc>
          <w:tcPr>
            <w:tcW w:w="1134" w:type="dxa"/>
          </w:tcPr>
          <w:p>
            <w:pPr>
              <w:pStyle w:val="nTable"/>
              <w:keepNext/>
              <w:keepLines/>
              <w:spacing w:after="40"/>
            </w:pPr>
            <w:r>
              <w:t>24 of 1986</w:t>
            </w:r>
          </w:p>
        </w:tc>
        <w:tc>
          <w:tcPr>
            <w:tcW w:w="1136" w:type="dxa"/>
          </w:tcPr>
          <w:p>
            <w:pPr>
              <w:pStyle w:val="nTable"/>
              <w:keepNext/>
              <w:keepLines/>
              <w:spacing w:after="40"/>
            </w:pPr>
            <w:r>
              <w:t>28 Jul 1986</w:t>
            </w:r>
          </w:p>
        </w:tc>
        <w:tc>
          <w:tcPr>
            <w:tcW w:w="2551" w:type="dxa"/>
          </w:tcPr>
          <w:p>
            <w:pPr>
              <w:pStyle w:val="nTable"/>
              <w:keepNext/>
              <w:keepLines/>
              <w:spacing w:after="40"/>
            </w:pPr>
            <w:r>
              <w:t>s. 1-3, 6-8, 12-14, 16-39 and 41: 28 Jul 1986 (see s. 2(1));</w:t>
            </w:r>
            <w:r>
              <w:br/>
              <w:t xml:space="preserve">s. 9(c), 40 and 42: 29 Aug 1986 (see s. 2(2) and </w:t>
            </w:r>
            <w:r>
              <w:rPr>
                <w:i/>
              </w:rPr>
              <w:t>Gazette</w:t>
            </w:r>
            <w:r>
              <w:t xml:space="preserve"> 29 Aug 1986 p. 3163); </w:t>
            </w:r>
            <w:r>
              <w:br/>
              <w:t xml:space="preserve">s. 4, 5, 9(a) and (b), 10, 11 and 15: 12 Dec 1986 (see s. 2(2) and </w:t>
            </w:r>
            <w:r>
              <w:rPr>
                <w:i/>
              </w:rPr>
              <w:t>Gazette</w:t>
            </w:r>
            <w:r>
              <w:t xml:space="preserve"> 12 Dec 1986 p. 4802)</w:t>
            </w:r>
          </w:p>
        </w:tc>
      </w:tr>
      <w:tr>
        <w:trPr>
          <w:cantSplit/>
        </w:trPr>
        <w:tc>
          <w:tcPr>
            <w:tcW w:w="7089" w:type="dxa"/>
            <w:gridSpan w:val="4"/>
          </w:tcPr>
          <w:p>
            <w:pPr>
              <w:pStyle w:val="nTable"/>
              <w:spacing w:after="40"/>
            </w:pPr>
            <w:r>
              <w:rPr>
                <w:b/>
              </w:rPr>
              <w:t xml:space="preserve">Reprint of the </w:t>
            </w:r>
            <w:r>
              <w:rPr>
                <w:b/>
                <w:i/>
              </w:rPr>
              <w:t xml:space="preserve">State Energy Commission Act 1979 </w:t>
            </w:r>
            <w:r>
              <w:rPr>
                <w:b/>
              </w:rPr>
              <w:t>as at 21 May 1987</w:t>
            </w:r>
            <w:r>
              <w:t xml:space="preserve"> (includes amendments listed above)</w:t>
            </w:r>
          </w:p>
        </w:tc>
      </w:tr>
      <w:tr>
        <w:trPr>
          <w:cantSplit/>
        </w:trPr>
        <w:tc>
          <w:tcPr>
            <w:tcW w:w="2268" w:type="dxa"/>
          </w:tcPr>
          <w:p>
            <w:pPr>
              <w:pStyle w:val="nTable"/>
              <w:spacing w:after="40"/>
              <w:ind w:right="170"/>
            </w:pPr>
            <w:r>
              <w:rPr>
                <w:i/>
              </w:rPr>
              <w:t>State Energy Commission Amendment Act 1987</w:t>
            </w:r>
          </w:p>
        </w:tc>
        <w:tc>
          <w:tcPr>
            <w:tcW w:w="1134" w:type="dxa"/>
          </w:tcPr>
          <w:p>
            <w:pPr>
              <w:pStyle w:val="nTable"/>
              <w:spacing w:after="40"/>
            </w:pPr>
            <w:r>
              <w:t>30 of 1987</w:t>
            </w:r>
          </w:p>
        </w:tc>
        <w:tc>
          <w:tcPr>
            <w:tcW w:w="1136" w:type="dxa"/>
          </w:tcPr>
          <w:p>
            <w:pPr>
              <w:pStyle w:val="nTable"/>
              <w:spacing w:after="40"/>
            </w:pPr>
            <w:r>
              <w:t>29 Jun 1987</w:t>
            </w:r>
          </w:p>
        </w:tc>
        <w:tc>
          <w:tcPr>
            <w:tcW w:w="2551" w:type="dxa"/>
          </w:tcPr>
          <w:p>
            <w:pPr>
              <w:pStyle w:val="nTable"/>
              <w:spacing w:after="40"/>
            </w:pPr>
            <w:r>
              <w:t>29 Jun 1987 (see s. 3)</w:t>
            </w:r>
          </w:p>
        </w:tc>
      </w:tr>
      <w:tr>
        <w:trPr>
          <w:cantSplit/>
        </w:trPr>
        <w:tc>
          <w:tcPr>
            <w:tcW w:w="2268" w:type="dxa"/>
          </w:tcPr>
          <w:p>
            <w:pPr>
              <w:pStyle w:val="nTable"/>
              <w:keepNext/>
              <w:spacing w:after="40"/>
              <w:ind w:right="170"/>
            </w:pPr>
            <w:r>
              <w:rPr>
                <w:i/>
              </w:rPr>
              <w:lastRenderedPageBreak/>
              <w:t>Acts Amendment (Public Service) Act 1987</w:t>
            </w:r>
            <w:r>
              <w:t xml:space="preserve"> s. 32</w:t>
            </w:r>
          </w:p>
        </w:tc>
        <w:tc>
          <w:tcPr>
            <w:tcW w:w="1134" w:type="dxa"/>
          </w:tcPr>
          <w:p>
            <w:pPr>
              <w:pStyle w:val="nTable"/>
              <w:keepNext/>
              <w:spacing w:after="40"/>
            </w:pPr>
            <w:r>
              <w:t>113 of 1987</w:t>
            </w:r>
          </w:p>
        </w:tc>
        <w:tc>
          <w:tcPr>
            <w:tcW w:w="1136" w:type="dxa"/>
          </w:tcPr>
          <w:p>
            <w:pPr>
              <w:pStyle w:val="nTable"/>
              <w:keepNext/>
              <w:spacing w:after="40"/>
            </w:pPr>
            <w:r>
              <w:t>31 Dec 1987</w:t>
            </w:r>
          </w:p>
        </w:tc>
        <w:tc>
          <w:tcPr>
            <w:tcW w:w="2551" w:type="dxa"/>
          </w:tcPr>
          <w:p>
            <w:pPr>
              <w:pStyle w:val="nTable"/>
              <w:keepNext/>
              <w:spacing w:after="40"/>
            </w:pPr>
            <w:r>
              <w:t xml:space="preserve">16 Mar 1988 (see s. 2 and </w:t>
            </w:r>
            <w:r>
              <w:rPr>
                <w:i/>
              </w:rPr>
              <w:t>Gazette</w:t>
            </w:r>
            <w:r>
              <w:t xml:space="preserve"> 16 Mar 1988 p. 813)</w:t>
            </w:r>
          </w:p>
        </w:tc>
      </w:tr>
      <w:tr>
        <w:trPr>
          <w:cantSplit/>
        </w:trPr>
        <w:tc>
          <w:tcPr>
            <w:tcW w:w="2268" w:type="dxa"/>
          </w:tcPr>
          <w:p>
            <w:pPr>
              <w:pStyle w:val="nTable"/>
              <w:keepNext/>
              <w:spacing w:after="40"/>
              <w:ind w:right="170"/>
            </w:pPr>
            <w:r>
              <w:rPr>
                <w:i/>
              </w:rPr>
              <w:t>Acts Amendment (Land Administration) Act 1987</w:t>
            </w:r>
            <w:r>
              <w:t xml:space="preserve"> Pt. XV</w:t>
            </w:r>
          </w:p>
        </w:tc>
        <w:tc>
          <w:tcPr>
            <w:tcW w:w="1134" w:type="dxa"/>
          </w:tcPr>
          <w:p>
            <w:pPr>
              <w:pStyle w:val="nTable"/>
              <w:keepNext/>
              <w:spacing w:after="40"/>
            </w:pPr>
            <w:r>
              <w:t>126 of 1987</w:t>
            </w:r>
          </w:p>
        </w:tc>
        <w:tc>
          <w:tcPr>
            <w:tcW w:w="1136" w:type="dxa"/>
          </w:tcPr>
          <w:p>
            <w:pPr>
              <w:pStyle w:val="nTable"/>
              <w:keepNext/>
              <w:spacing w:after="40"/>
            </w:pPr>
            <w:r>
              <w:t>31 Dec 1987</w:t>
            </w:r>
          </w:p>
        </w:tc>
        <w:tc>
          <w:tcPr>
            <w:tcW w:w="2551" w:type="dxa"/>
          </w:tcPr>
          <w:p>
            <w:pPr>
              <w:pStyle w:val="nTable"/>
              <w:keepNext/>
              <w:spacing w:after="40"/>
            </w:pPr>
            <w:r>
              <w:t xml:space="preserve">16 Sep 1988 (see s. 2 and </w:t>
            </w:r>
            <w:r>
              <w:rPr>
                <w:i/>
              </w:rPr>
              <w:t>Gazette</w:t>
            </w:r>
            <w:r>
              <w:t xml:space="preserve"> 16 Sep 1988 p. 3637)</w:t>
            </w:r>
          </w:p>
        </w:tc>
      </w:tr>
      <w:tr>
        <w:trPr>
          <w:cantSplit/>
        </w:trPr>
        <w:tc>
          <w:tcPr>
            <w:tcW w:w="2268" w:type="dxa"/>
          </w:tcPr>
          <w:p>
            <w:pPr>
              <w:pStyle w:val="nTable"/>
              <w:spacing w:after="40"/>
              <w:ind w:right="170"/>
            </w:pPr>
            <w:r>
              <w:rPr>
                <w:i/>
              </w:rPr>
              <w:t>Acts Amendment (Accountability) Act 1989</w:t>
            </w:r>
            <w:r>
              <w:t xml:space="preserve"> Pt. 5</w:t>
            </w:r>
          </w:p>
        </w:tc>
        <w:tc>
          <w:tcPr>
            <w:tcW w:w="1134" w:type="dxa"/>
          </w:tcPr>
          <w:p>
            <w:pPr>
              <w:pStyle w:val="nTable"/>
              <w:spacing w:after="40"/>
            </w:pPr>
            <w:r>
              <w:t>5 of 1989</w:t>
            </w:r>
          </w:p>
        </w:tc>
        <w:tc>
          <w:tcPr>
            <w:tcW w:w="1136" w:type="dxa"/>
          </w:tcPr>
          <w:p>
            <w:pPr>
              <w:pStyle w:val="nTable"/>
              <w:spacing w:after="40"/>
            </w:pPr>
            <w:r>
              <w:t>26 Apr 1989</w:t>
            </w:r>
          </w:p>
        </w:tc>
        <w:tc>
          <w:tcPr>
            <w:tcW w:w="2551" w:type="dxa"/>
          </w:tcPr>
          <w:p>
            <w:pPr>
              <w:pStyle w:val="nTable"/>
              <w:spacing w:after="40"/>
            </w:pPr>
            <w:r>
              <w:t xml:space="preserve">1 Jul 1989 (see s. 2 and </w:t>
            </w:r>
            <w:r>
              <w:rPr>
                <w:i/>
              </w:rPr>
              <w:t>Gazette</w:t>
            </w:r>
            <w:r>
              <w:t xml:space="preserve"> 30 Jun 1989 p. 1893)</w:t>
            </w:r>
          </w:p>
        </w:tc>
      </w:tr>
      <w:tr>
        <w:trPr>
          <w:cantSplit/>
        </w:trPr>
        <w:tc>
          <w:tcPr>
            <w:tcW w:w="2268" w:type="dxa"/>
          </w:tcPr>
          <w:p>
            <w:pPr>
              <w:pStyle w:val="nTable"/>
              <w:spacing w:after="40"/>
              <w:ind w:right="170"/>
            </w:pPr>
            <w:r>
              <w:rPr>
                <w:i/>
              </w:rPr>
              <w:t>State Energy Commission Amendment Act 1991</w:t>
            </w:r>
          </w:p>
        </w:tc>
        <w:tc>
          <w:tcPr>
            <w:tcW w:w="1134" w:type="dxa"/>
          </w:tcPr>
          <w:p>
            <w:pPr>
              <w:pStyle w:val="nTable"/>
              <w:spacing w:after="40"/>
            </w:pPr>
            <w:r>
              <w:t>6 of 1991</w:t>
            </w:r>
          </w:p>
        </w:tc>
        <w:tc>
          <w:tcPr>
            <w:tcW w:w="1136" w:type="dxa"/>
          </w:tcPr>
          <w:p>
            <w:pPr>
              <w:pStyle w:val="nTable"/>
              <w:spacing w:after="40"/>
            </w:pPr>
            <w:r>
              <w:t>5 Jun 1991</w:t>
            </w:r>
          </w:p>
        </w:tc>
        <w:tc>
          <w:tcPr>
            <w:tcW w:w="2551" w:type="dxa"/>
          </w:tcPr>
          <w:p>
            <w:pPr>
              <w:pStyle w:val="nTable"/>
              <w:spacing w:after="40"/>
            </w:pPr>
            <w:r>
              <w:t>s. 1 and 2: 5 Jun 1991;</w:t>
            </w:r>
            <w:r>
              <w:br/>
              <w:t xml:space="preserve">Act other than s. 1 and 2: 25 Feb 1992 (see s. 2 and </w:t>
            </w:r>
            <w:r>
              <w:rPr>
                <w:i/>
              </w:rPr>
              <w:t>Gazette</w:t>
            </w:r>
            <w:r>
              <w:t xml:space="preserve"> 25 Feb 1992 p. 961)</w:t>
            </w:r>
          </w:p>
        </w:tc>
      </w:tr>
      <w:tr>
        <w:trPr>
          <w:cantSplit/>
        </w:trPr>
        <w:tc>
          <w:tcPr>
            <w:tcW w:w="2268" w:type="dxa"/>
          </w:tcPr>
          <w:p>
            <w:pPr>
              <w:pStyle w:val="nTable"/>
              <w:keepNext/>
              <w:keepLines/>
              <w:spacing w:after="40"/>
              <w:ind w:right="170"/>
            </w:pPr>
            <w:r>
              <w:rPr>
                <w:i/>
              </w:rPr>
              <w:t>Financial Administration Legislation Amendment Act 1993</w:t>
            </w:r>
            <w:r>
              <w:t xml:space="preserve"> s. 11 and 15</w:t>
            </w:r>
          </w:p>
        </w:tc>
        <w:tc>
          <w:tcPr>
            <w:tcW w:w="1134" w:type="dxa"/>
          </w:tcPr>
          <w:p>
            <w:pPr>
              <w:pStyle w:val="nTable"/>
              <w:keepNext/>
              <w:keepLines/>
              <w:spacing w:after="40"/>
            </w:pPr>
            <w:r>
              <w:t>6 of 1993</w:t>
            </w:r>
          </w:p>
        </w:tc>
        <w:tc>
          <w:tcPr>
            <w:tcW w:w="1136" w:type="dxa"/>
          </w:tcPr>
          <w:p>
            <w:pPr>
              <w:pStyle w:val="nTable"/>
              <w:keepNext/>
              <w:keepLines/>
              <w:spacing w:after="40"/>
            </w:pPr>
            <w:r>
              <w:t>27 Aug 1993</w:t>
            </w:r>
          </w:p>
        </w:tc>
        <w:tc>
          <w:tcPr>
            <w:tcW w:w="2551" w:type="dxa"/>
          </w:tcPr>
          <w:p>
            <w:pPr>
              <w:pStyle w:val="nTable"/>
              <w:keepNext/>
              <w:keepLines/>
              <w:spacing w:after="40"/>
            </w:pPr>
            <w:r>
              <w:t>1 Jul 1993 (see s. 2(1))</w:t>
            </w:r>
          </w:p>
        </w:tc>
      </w:tr>
      <w:tr>
        <w:trPr>
          <w:cantSplit/>
        </w:trPr>
        <w:tc>
          <w:tcPr>
            <w:tcW w:w="2268" w:type="dxa"/>
          </w:tcPr>
          <w:p>
            <w:pPr>
              <w:pStyle w:val="nTable"/>
              <w:spacing w:after="40"/>
              <w:ind w:right="170"/>
            </w:pPr>
            <w:r>
              <w:rPr>
                <w:i/>
              </w:rPr>
              <w:t>Local Government (Superannuation) Legislation Amendment Act 1994</w:t>
            </w:r>
            <w:r>
              <w:t xml:space="preserve"> s. 13</w:t>
            </w:r>
          </w:p>
        </w:tc>
        <w:tc>
          <w:tcPr>
            <w:tcW w:w="1134" w:type="dxa"/>
          </w:tcPr>
          <w:p>
            <w:pPr>
              <w:pStyle w:val="nTable"/>
              <w:spacing w:after="40"/>
            </w:pPr>
            <w:r>
              <w:t>60 of 1994</w:t>
            </w:r>
          </w:p>
        </w:tc>
        <w:tc>
          <w:tcPr>
            <w:tcW w:w="1136" w:type="dxa"/>
          </w:tcPr>
          <w:p>
            <w:pPr>
              <w:pStyle w:val="nTable"/>
              <w:spacing w:after="40"/>
            </w:pPr>
            <w:r>
              <w:t>7 Nov 1994</w:t>
            </w:r>
          </w:p>
        </w:tc>
        <w:tc>
          <w:tcPr>
            <w:tcW w:w="2551" w:type="dxa"/>
          </w:tcPr>
          <w:p>
            <w:pPr>
              <w:pStyle w:val="nTable"/>
              <w:spacing w:after="40"/>
            </w:pPr>
            <w:r>
              <w:t xml:space="preserve">24 Dec 1994 (see s. 2 and </w:t>
            </w:r>
            <w:r>
              <w:rPr>
                <w:i/>
              </w:rPr>
              <w:t>Gazette</w:t>
            </w:r>
            <w:r>
              <w:t xml:space="preserve"> 23 Dec 1994 p. 7070)</w:t>
            </w:r>
          </w:p>
        </w:tc>
      </w:tr>
      <w:tr>
        <w:trPr>
          <w:cantSplit/>
        </w:trPr>
        <w:tc>
          <w:tcPr>
            <w:tcW w:w="2268" w:type="dxa"/>
          </w:tcPr>
          <w:p>
            <w:pPr>
              <w:pStyle w:val="nTable"/>
              <w:spacing w:after="40"/>
              <w:ind w:right="170"/>
              <w:rPr>
                <w:i/>
                <w:vertAlign w:val="superscript"/>
              </w:rPr>
            </w:pPr>
            <w:r>
              <w:rPr>
                <w:i/>
              </w:rPr>
              <w:t>Energy Corporations (Transitional and Consequential Provisions) Act 1994</w:t>
            </w:r>
            <w:r>
              <w:t xml:space="preserve"> Pt. 2</w:t>
            </w:r>
            <w:r>
              <w:rPr>
                <w:vertAlign w:val="superscript"/>
              </w:rPr>
              <w:t> 5, 6</w:t>
            </w:r>
          </w:p>
        </w:tc>
        <w:tc>
          <w:tcPr>
            <w:tcW w:w="1134" w:type="dxa"/>
          </w:tcPr>
          <w:p>
            <w:pPr>
              <w:pStyle w:val="nTable"/>
              <w:spacing w:after="40"/>
            </w:pPr>
            <w:r>
              <w:t>89 of 1994 (as amended by No. 18 of 2005 s. 139)</w:t>
            </w:r>
          </w:p>
        </w:tc>
        <w:tc>
          <w:tcPr>
            <w:tcW w:w="1136" w:type="dxa"/>
          </w:tcPr>
          <w:p>
            <w:pPr>
              <w:pStyle w:val="nTable"/>
              <w:spacing w:after="40"/>
            </w:pPr>
            <w:r>
              <w:t>15 Dec 1994</w:t>
            </w:r>
          </w:p>
        </w:tc>
        <w:tc>
          <w:tcPr>
            <w:tcW w:w="2551" w:type="dxa"/>
          </w:tcPr>
          <w:p>
            <w:pPr>
              <w:pStyle w:val="nTable"/>
              <w:spacing w:after="40"/>
            </w:pPr>
            <w:r>
              <w:t xml:space="preserve">1 Jan 1995 (see s. 2(2) and </w:t>
            </w:r>
            <w:r>
              <w:rPr>
                <w:i/>
              </w:rPr>
              <w:t>Gazette</w:t>
            </w:r>
            <w:r>
              <w:t xml:space="preserve"> 23 Dec 1994 p. 7069)</w:t>
            </w:r>
          </w:p>
        </w:tc>
      </w:tr>
      <w:tr>
        <w:trPr>
          <w:cantSplit/>
        </w:trPr>
        <w:tc>
          <w:tcPr>
            <w:tcW w:w="2268" w:type="dxa"/>
          </w:tcPr>
          <w:p>
            <w:pPr>
              <w:pStyle w:val="nTable"/>
              <w:spacing w:after="40"/>
              <w:ind w:right="170"/>
            </w:pPr>
            <w:r>
              <w:rPr>
                <w:i/>
              </w:rPr>
              <w:t>Planning Legislation Amendment Act (No. 2) 1994</w:t>
            </w:r>
            <w:r>
              <w:t xml:space="preserve"> s. 46(4)</w:t>
            </w:r>
          </w:p>
        </w:tc>
        <w:tc>
          <w:tcPr>
            <w:tcW w:w="1134" w:type="dxa"/>
          </w:tcPr>
          <w:p>
            <w:pPr>
              <w:pStyle w:val="nTable"/>
              <w:spacing w:after="40"/>
            </w:pPr>
            <w:r>
              <w:t>84 of 1994</w:t>
            </w:r>
          </w:p>
        </w:tc>
        <w:tc>
          <w:tcPr>
            <w:tcW w:w="1136"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7089" w:type="dxa"/>
            <w:gridSpan w:val="4"/>
          </w:tcPr>
          <w:p>
            <w:pPr>
              <w:pStyle w:val="nTable"/>
              <w:spacing w:after="40"/>
            </w:pPr>
            <w:r>
              <w:rPr>
                <w:b/>
              </w:rPr>
              <w:t xml:space="preserve">Reprint of the </w:t>
            </w:r>
            <w:r>
              <w:rPr>
                <w:b/>
                <w:i/>
              </w:rPr>
              <w:t xml:space="preserve">Energy Corporations (Powers) Act 1979 </w:t>
            </w:r>
            <w:r>
              <w:rPr>
                <w:b/>
              </w:rPr>
              <w:t>as at 25 May 1995</w:t>
            </w:r>
            <w:r>
              <w:t xml:space="preserve"> (includes amendments listed above)</w:t>
            </w:r>
          </w:p>
        </w:tc>
      </w:tr>
      <w:tr>
        <w:trPr>
          <w:cantSplit/>
        </w:trPr>
        <w:tc>
          <w:tcPr>
            <w:tcW w:w="2268" w:type="dxa"/>
          </w:tcPr>
          <w:p>
            <w:pPr>
              <w:pStyle w:val="nTable"/>
              <w:spacing w:after="40"/>
              <w:ind w:right="170"/>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6"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70"/>
            </w:pPr>
            <w:r>
              <w:rPr>
                <w:i/>
              </w:rPr>
              <w:t>Sentencing (Consequential Provisions) Act 1995</w:t>
            </w:r>
            <w:r>
              <w:t xml:space="preserve"> Pt. 28</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lastRenderedPageBreak/>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rPr>
              <w:t>Acts Amendment (Land Administration) Act 1997</w:t>
            </w:r>
            <w:r>
              <w:t xml:space="preserve"> Pt. 24 and s. 142 and 143</w:t>
            </w:r>
          </w:p>
        </w:tc>
        <w:tc>
          <w:tcPr>
            <w:tcW w:w="1134" w:type="dxa"/>
          </w:tcPr>
          <w:p>
            <w:pPr>
              <w:pStyle w:val="nTable"/>
              <w:keepNext/>
              <w:keepLines/>
              <w:spacing w:after="40"/>
            </w:pPr>
            <w:r>
              <w:t>31 of 1997</w:t>
            </w:r>
          </w:p>
        </w:tc>
        <w:tc>
          <w:tcPr>
            <w:tcW w:w="1136" w:type="dxa"/>
          </w:tcPr>
          <w:p>
            <w:pPr>
              <w:pStyle w:val="nTable"/>
              <w:keepNext/>
              <w:keepLines/>
              <w:spacing w:after="40"/>
            </w:pPr>
            <w:r>
              <w:t>3 Oct 1997</w:t>
            </w:r>
          </w:p>
        </w:tc>
        <w:tc>
          <w:tcPr>
            <w:tcW w:w="2551" w:type="dxa"/>
          </w:tcPr>
          <w:p>
            <w:pPr>
              <w:pStyle w:val="nTable"/>
              <w:keepNext/>
              <w:keepLines/>
              <w:spacing w:after="40"/>
            </w:pPr>
            <w:r>
              <w:t xml:space="preserve">30 Mar 1998 (see s. 2 and </w:t>
            </w:r>
            <w:r>
              <w:rPr>
                <w:i/>
              </w:rPr>
              <w:t>Gazette</w:t>
            </w:r>
            <w:r>
              <w:t xml:space="preserve"> 27 Mar 1998 p. 1765)</w:t>
            </w:r>
          </w:p>
        </w:tc>
      </w:tr>
      <w:tr>
        <w:trPr>
          <w:cantSplit/>
        </w:trPr>
        <w:tc>
          <w:tcPr>
            <w:tcW w:w="2268" w:type="dxa"/>
          </w:tcPr>
          <w:p>
            <w:pPr>
              <w:pStyle w:val="nTable"/>
              <w:keepLines/>
              <w:spacing w:after="40"/>
              <w:ind w:right="170"/>
            </w:pPr>
            <w:r>
              <w:rPr>
                <w:i/>
              </w:rPr>
              <w:t>Gas Pipelines Access (Western Australia) Act 1998</w:t>
            </w:r>
            <w:r>
              <w:t xml:space="preserve"> Sch. 3 Div. 4</w:t>
            </w:r>
          </w:p>
        </w:tc>
        <w:tc>
          <w:tcPr>
            <w:tcW w:w="1134" w:type="dxa"/>
          </w:tcPr>
          <w:p>
            <w:pPr>
              <w:pStyle w:val="nTable"/>
              <w:keepLines/>
              <w:spacing w:after="40"/>
            </w:pPr>
            <w:r>
              <w:t>65 of 1998</w:t>
            </w:r>
          </w:p>
        </w:tc>
        <w:tc>
          <w:tcPr>
            <w:tcW w:w="1136" w:type="dxa"/>
          </w:tcPr>
          <w:p>
            <w:pPr>
              <w:pStyle w:val="nTable"/>
              <w:keepLines/>
              <w:spacing w:after="40"/>
            </w:pPr>
            <w:r>
              <w:t>15 Jan 1999</w:t>
            </w:r>
          </w:p>
        </w:tc>
        <w:tc>
          <w:tcPr>
            <w:tcW w:w="2551" w:type="dxa"/>
          </w:tcPr>
          <w:p>
            <w:pPr>
              <w:pStyle w:val="nTable"/>
              <w:keepLines/>
              <w:spacing w:after="40"/>
            </w:pPr>
            <w:r>
              <w:t xml:space="preserve">9 Feb 1999 (see s. 2 and </w:t>
            </w:r>
            <w:r>
              <w:rPr>
                <w:i/>
              </w:rPr>
              <w:t>Gazette</w:t>
            </w:r>
            <w:r>
              <w:t xml:space="preserve"> 8 Feb 1999 p. 441)</w:t>
            </w:r>
          </w:p>
        </w:tc>
      </w:tr>
      <w:tr>
        <w:trPr>
          <w:cantSplit/>
        </w:trPr>
        <w:tc>
          <w:tcPr>
            <w:tcW w:w="2268" w:type="dxa"/>
          </w:tcPr>
          <w:p>
            <w:pPr>
              <w:pStyle w:val="nTable"/>
              <w:spacing w:after="40"/>
              <w:ind w:right="170"/>
            </w:pPr>
            <w:r>
              <w:rPr>
                <w:i/>
              </w:rPr>
              <w:t>Energy Coordination Amendment Act 1999</w:t>
            </w:r>
            <w:r>
              <w:t xml:space="preserve"> s. 10(1)</w:t>
            </w:r>
          </w:p>
        </w:tc>
        <w:tc>
          <w:tcPr>
            <w:tcW w:w="1134" w:type="dxa"/>
          </w:tcPr>
          <w:p>
            <w:pPr>
              <w:pStyle w:val="nTable"/>
              <w:keepNext/>
              <w:keepLines/>
              <w:spacing w:after="40"/>
            </w:pPr>
            <w:r>
              <w:t>20 of 1999</w:t>
            </w:r>
          </w:p>
        </w:tc>
        <w:tc>
          <w:tcPr>
            <w:tcW w:w="1136" w:type="dxa"/>
          </w:tcPr>
          <w:p>
            <w:pPr>
              <w:pStyle w:val="nTable"/>
              <w:keepNext/>
              <w:keepLines/>
              <w:spacing w:after="40"/>
            </w:pPr>
            <w:r>
              <w:t>24 Jun 1999</w:t>
            </w:r>
          </w:p>
        </w:tc>
        <w:tc>
          <w:tcPr>
            <w:tcW w:w="2551" w:type="dxa"/>
          </w:tcPr>
          <w:p>
            <w:pPr>
              <w:pStyle w:val="nTable"/>
              <w:keepNext/>
              <w:keepLines/>
              <w:spacing w:after="40"/>
            </w:pPr>
            <w:r>
              <w:t xml:space="preserve">16 Oct 1999 (see s. 2 and </w:t>
            </w:r>
            <w:r>
              <w:rPr>
                <w:i/>
              </w:rPr>
              <w:t>Gazette</w:t>
            </w:r>
            <w:r>
              <w:t xml:space="preserve"> 15 Oct 1999 p. 4865)</w:t>
            </w:r>
          </w:p>
        </w:tc>
      </w:tr>
      <w:tr>
        <w:trPr>
          <w:cantSplit/>
        </w:trPr>
        <w:tc>
          <w:tcPr>
            <w:tcW w:w="2268" w:type="dxa"/>
          </w:tcPr>
          <w:p>
            <w:pPr>
              <w:pStyle w:val="nTable"/>
              <w:spacing w:after="40"/>
              <w:ind w:right="170"/>
            </w:pPr>
            <w:r>
              <w:rPr>
                <w:i/>
              </w:rPr>
              <w:t>Gas Corporation (Business Disposal) Act 1999</w:t>
            </w:r>
            <w:r>
              <w:t xml:space="preserve"> s. 54-56, 77-83 and 90-92</w:t>
            </w:r>
            <w:r>
              <w:rPr>
                <w:vertAlign w:val="superscript"/>
              </w:rPr>
              <w:t> 7</w:t>
            </w:r>
          </w:p>
        </w:tc>
        <w:tc>
          <w:tcPr>
            <w:tcW w:w="1134" w:type="dxa"/>
          </w:tcPr>
          <w:p>
            <w:pPr>
              <w:pStyle w:val="nTable"/>
              <w:spacing w:after="40"/>
            </w:pPr>
            <w:r>
              <w:t>58 of 1999 (as amended by No. 74 of 2003 s. 51(4))</w:t>
            </w:r>
          </w:p>
        </w:tc>
        <w:tc>
          <w:tcPr>
            <w:tcW w:w="1136" w:type="dxa"/>
          </w:tcPr>
          <w:p>
            <w:pPr>
              <w:pStyle w:val="nTable"/>
              <w:spacing w:after="40"/>
            </w:pPr>
            <w:r>
              <w:t>24 Dec 1999</w:t>
            </w:r>
          </w:p>
        </w:tc>
        <w:tc>
          <w:tcPr>
            <w:tcW w:w="2551" w:type="dxa"/>
          </w:tcPr>
          <w:p>
            <w:pPr>
              <w:pStyle w:val="nTable"/>
              <w:spacing w:after="40"/>
              <w:ind w:right="-105"/>
            </w:pPr>
            <w:r>
              <w:t>s. 54-56: 24 Dec 1999 (see s. 2(1));</w:t>
            </w:r>
            <w:r>
              <w:br/>
              <w:t xml:space="preserve">s. 77-83: 1 Jul 2000 (see s. 2(2) and </w:t>
            </w:r>
            <w:r>
              <w:rPr>
                <w:i/>
              </w:rPr>
              <w:t>Gazette</w:t>
            </w:r>
            <w:r>
              <w:t xml:space="preserve"> 4 Jul 2000 p. 3545); </w:t>
            </w:r>
            <w:r>
              <w:br/>
              <w:t>s. 90</w:t>
            </w:r>
            <w:r>
              <w:noBreakHyphen/>
              <w:t xml:space="preserve">92: 16 Dec 2000 (see s. 2(5) and </w:t>
            </w:r>
            <w:r>
              <w:rPr>
                <w:i/>
              </w:rPr>
              <w:t>Gazette</w:t>
            </w:r>
            <w:r>
              <w:t xml:space="preserve"> 15 Dec 2000 p. 7201)</w:t>
            </w:r>
          </w:p>
        </w:tc>
      </w:tr>
      <w:tr>
        <w:trPr>
          <w:cantSplit/>
        </w:trPr>
        <w:tc>
          <w:tcPr>
            <w:tcW w:w="2268" w:type="dxa"/>
          </w:tcPr>
          <w:p>
            <w:pPr>
              <w:pStyle w:val="nTable"/>
              <w:spacing w:after="40"/>
              <w:ind w:right="170"/>
              <w:rPr>
                <w:i/>
              </w:rPr>
            </w:pPr>
            <w:r>
              <w:rPr>
                <w:i/>
              </w:rPr>
              <w:t>Statutes (Repeals and Minor Amendments) Act 2000</w:t>
            </w:r>
            <w:r>
              <w:t xml:space="preserve"> s. 14(13)</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7089" w:type="dxa"/>
            <w:gridSpan w:val="4"/>
          </w:tcPr>
          <w:p>
            <w:pPr>
              <w:pStyle w:val="nTable"/>
              <w:spacing w:after="40"/>
            </w:pPr>
            <w:r>
              <w:rPr>
                <w:b/>
              </w:rPr>
              <w:t xml:space="preserve">Reprint of the </w:t>
            </w:r>
            <w:r>
              <w:rPr>
                <w:b/>
                <w:i/>
              </w:rPr>
              <w:t>Energy Operators (Powers) Act 1979</w:t>
            </w:r>
            <w:r>
              <w:rPr>
                <w:b/>
              </w:rPr>
              <w:t xml:space="preserve"> as at 15 Sep 2000</w:t>
            </w:r>
            <w:r>
              <w:br/>
              <w:t xml:space="preserve">(includes amendments listed above except those in the </w:t>
            </w:r>
            <w:r>
              <w:rPr>
                <w:i/>
              </w:rPr>
              <w:t>Gas Corporation (Business Disposal) Act 1999</w:t>
            </w:r>
            <w:r>
              <w:t xml:space="preserve"> s. 90</w:t>
            </w:r>
            <w:r>
              <w:noBreakHyphen/>
              <w:t xml:space="preserve">92)  (correction in </w:t>
            </w:r>
            <w:r>
              <w:rPr>
                <w:i/>
              </w:rPr>
              <w:t>Gazette</w:t>
            </w:r>
            <w:r>
              <w:t xml:space="preserve"> 22 Nov 2002 p. 5533)</w:t>
            </w:r>
          </w:p>
        </w:tc>
      </w:tr>
      <w:tr>
        <w:trPr>
          <w:cantSplit/>
        </w:trPr>
        <w:tc>
          <w:tcPr>
            <w:tcW w:w="2268" w:type="dxa"/>
          </w:tcPr>
          <w:p>
            <w:pPr>
              <w:pStyle w:val="nTable"/>
              <w:spacing w:after="40"/>
              <w:ind w:right="170"/>
              <w:rPr>
                <w:i/>
              </w:rPr>
            </w:pPr>
            <w:r>
              <w:rPr>
                <w:i/>
              </w:rPr>
              <w:t xml:space="preserve">Sentencing Legislation Amendment and Repeal Act 2003 </w:t>
            </w:r>
            <w:r>
              <w:t>s. 58</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ind w:right="-114"/>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ind w:right="170"/>
              <w:rPr>
                <w:i/>
              </w:rPr>
            </w:pPr>
            <w:r>
              <w:rPr>
                <w:i/>
              </w:rPr>
              <w:t xml:space="preserve">Energy Legislation Amendment Act 2003 </w:t>
            </w:r>
            <w:r>
              <w:t>Pt. 7 Div. 2</w:t>
            </w:r>
            <w:r>
              <w:rPr>
                <w:vertAlign w:val="superscript"/>
              </w:rPr>
              <w:t> 8</w:t>
            </w:r>
          </w:p>
        </w:tc>
        <w:tc>
          <w:tcPr>
            <w:tcW w:w="1134" w:type="dxa"/>
          </w:tcPr>
          <w:p>
            <w:pPr>
              <w:pStyle w:val="nTable"/>
              <w:spacing w:after="40"/>
            </w:pPr>
            <w:r>
              <w:t>53 of 2003</w:t>
            </w:r>
          </w:p>
        </w:tc>
        <w:tc>
          <w:tcPr>
            <w:tcW w:w="1136" w:type="dxa"/>
          </w:tcPr>
          <w:p>
            <w:pPr>
              <w:pStyle w:val="nTable"/>
              <w:spacing w:after="40"/>
            </w:pPr>
            <w:r>
              <w:t>8 Oct 2003</w:t>
            </w:r>
          </w:p>
        </w:tc>
        <w:tc>
          <w:tcPr>
            <w:tcW w:w="2551" w:type="dxa"/>
          </w:tcPr>
          <w:p>
            <w:pPr>
              <w:pStyle w:val="nTable"/>
              <w:spacing w:after="40"/>
            </w:pPr>
            <w:r>
              <w:rPr>
                <w:spacing w:val="-2"/>
              </w:rPr>
              <w:t>8 Oct 2003 (see s. 2(1) and (2))</w:t>
            </w:r>
          </w:p>
        </w:tc>
      </w:tr>
      <w:tr>
        <w:trPr>
          <w:cantSplit/>
        </w:trPr>
        <w:tc>
          <w:tcPr>
            <w:tcW w:w="2268" w:type="dxa"/>
          </w:tcPr>
          <w:p>
            <w:pPr>
              <w:pStyle w:val="nTable"/>
              <w:spacing w:after="40"/>
              <w:ind w:right="170"/>
            </w:pPr>
            <w:r>
              <w:rPr>
                <w:i/>
              </w:rPr>
              <w:t>Statutes (Repeals and Minor Amendments) Act 2003</w:t>
            </w:r>
            <w:r>
              <w:t xml:space="preserve"> s. 51(2) and (3)</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ind w:right="-114"/>
              <w:rPr>
                <w:spacing w:val="-2"/>
              </w:rPr>
            </w:pPr>
            <w:r>
              <w:rPr>
                <w:spacing w:val="-2"/>
              </w:rPr>
              <w:t>15 Dec 2003 (see s. 2)</w:t>
            </w:r>
          </w:p>
        </w:tc>
      </w:tr>
      <w:tr>
        <w:trPr>
          <w:cantSplit/>
        </w:trPr>
        <w:tc>
          <w:tcPr>
            <w:tcW w:w="2268" w:type="dxa"/>
          </w:tcPr>
          <w:p>
            <w:pPr>
              <w:pStyle w:val="nTable"/>
              <w:spacing w:after="40"/>
              <w:ind w:right="170"/>
            </w:pPr>
            <w:r>
              <w:rPr>
                <w:i/>
              </w:rPr>
              <w:t>Electricity Legislation Amendment Act 2004</w:t>
            </w:r>
            <w:r>
              <w:t xml:space="preserve"> Pt. 2 Div. 4 (s. 37-46)</w:t>
            </w:r>
          </w:p>
        </w:tc>
        <w:tc>
          <w:tcPr>
            <w:tcW w:w="1134" w:type="dxa"/>
          </w:tcPr>
          <w:p>
            <w:pPr>
              <w:pStyle w:val="nTable"/>
              <w:spacing w:after="40"/>
            </w:pPr>
            <w:r>
              <w:t>33 of 2004</w:t>
            </w:r>
          </w:p>
        </w:tc>
        <w:tc>
          <w:tcPr>
            <w:tcW w:w="1136" w:type="dxa"/>
          </w:tcPr>
          <w:p>
            <w:pPr>
              <w:pStyle w:val="nTable"/>
              <w:spacing w:after="40"/>
            </w:pPr>
            <w:r>
              <w:t>20 Oct 2004</w:t>
            </w:r>
          </w:p>
        </w:tc>
        <w:tc>
          <w:tcPr>
            <w:tcW w:w="2551" w:type="dxa"/>
          </w:tcPr>
          <w:p>
            <w:pPr>
              <w:pStyle w:val="nTable"/>
              <w:spacing w:after="40"/>
              <w:ind w:right="-114"/>
              <w:rPr>
                <w:spacing w:val="-2"/>
              </w:rPr>
            </w:pPr>
            <w:r>
              <w:t xml:space="preserve">s. 37-43 and 45-46: 1 Dec 2004 (see s. 2 and </w:t>
            </w:r>
            <w:r>
              <w:rPr>
                <w:i/>
              </w:rPr>
              <w:t>Gazette</w:t>
            </w:r>
            <w:r>
              <w:t xml:space="preserve"> 23 Nov 2004 p. 5243);</w:t>
            </w:r>
            <w:r>
              <w:br/>
              <w:t xml:space="preserve">s. 44: 1 Apr 2006 (see s. 2 and </w:t>
            </w:r>
            <w:r>
              <w:rPr>
                <w:i/>
                <w:iCs/>
              </w:rPr>
              <w:t>Gazette</w:t>
            </w:r>
            <w:r>
              <w:t xml:space="preserve"> 31 Mar 2006 p. 1153)</w:t>
            </w:r>
          </w:p>
        </w:tc>
      </w:tr>
      <w:tr>
        <w:trPr>
          <w:cantSplit/>
        </w:trPr>
        <w:tc>
          <w:tcPr>
            <w:tcW w:w="2268" w:type="dxa"/>
          </w:tcPr>
          <w:p>
            <w:pPr>
              <w:pStyle w:val="nTable"/>
              <w:spacing w:after="40"/>
              <w:ind w:right="170"/>
              <w:rPr>
                <w:i/>
              </w:rPr>
            </w:pPr>
            <w:r>
              <w:rPr>
                <w:i/>
                <w:snapToGrid w:val="0"/>
              </w:rPr>
              <w:lastRenderedPageBreak/>
              <w:t xml:space="preserve">Courts Legislation Amendment and Repeal Act 2004 </w:t>
            </w:r>
            <w:r>
              <w:rPr>
                <w:snapToGrid w:val="0"/>
              </w:rPr>
              <w:t>s. 141</w:t>
            </w:r>
          </w:p>
        </w:tc>
        <w:tc>
          <w:tcPr>
            <w:tcW w:w="1134" w:type="dxa"/>
          </w:tcPr>
          <w:p>
            <w:pPr>
              <w:pStyle w:val="nTable"/>
              <w:spacing w:after="40"/>
            </w:pPr>
            <w:r>
              <w:rPr>
                <w:snapToGrid w:val="0"/>
              </w:rPr>
              <w:t>59 of 2004</w:t>
            </w:r>
          </w:p>
        </w:tc>
        <w:tc>
          <w:tcPr>
            <w:tcW w:w="1136" w:type="dxa"/>
          </w:tcPr>
          <w:p>
            <w:pPr>
              <w:pStyle w:val="nTable"/>
              <w:spacing w:after="40"/>
            </w:pPr>
            <w:r>
              <w:rPr>
                <w:snapToGrid w:val="0"/>
              </w:rPr>
              <w:t>23 Nov 2004</w:t>
            </w:r>
          </w:p>
        </w:tc>
        <w:tc>
          <w:tcPr>
            <w:tcW w:w="2551" w:type="dxa"/>
          </w:tcPr>
          <w:p>
            <w:pPr>
              <w:pStyle w:val="nTable"/>
              <w:spacing w:after="40"/>
              <w:ind w:right="-114"/>
            </w:pPr>
            <w:r>
              <w:rPr>
                <w:snapToGrid w:val="0"/>
              </w:rPr>
              <w:t>1 </w:t>
            </w:r>
            <w:r>
              <w:rPr>
                <w:snapToGrid w:val="0"/>
                <w:vertAlign w:val="superscript"/>
              </w:rPr>
              <w:t> </w:t>
            </w:r>
            <w:r>
              <w:rPr>
                <w:snapToGrid w:val="0"/>
              </w:rPr>
              <w:t xml:space="preserve">May 2005 </w:t>
            </w:r>
            <w:r>
              <w:t xml:space="preserve">(see s. 2 and </w:t>
            </w:r>
            <w:r>
              <w:rPr>
                <w:i/>
              </w:rPr>
              <w:t>Gazette</w:t>
            </w:r>
            <w:r>
              <w:rPr>
                <w:snapToGrid w:val="0"/>
              </w:rPr>
              <w:t xml:space="preserve"> 31 Dec 2004 p. 7128)</w:t>
            </w:r>
          </w:p>
        </w:tc>
      </w:tr>
      <w:tr>
        <w:trPr>
          <w:cantSplit/>
        </w:trPr>
        <w:tc>
          <w:tcPr>
            <w:tcW w:w="2268" w:type="dxa"/>
          </w:tcPr>
          <w:p>
            <w:pPr>
              <w:pStyle w:val="nTable"/>
              <w:spacing w:after="40"/>
              <w:ind w:right="170"/>
              <w:rPr>
                <w:i/>
                <w:snapToGrid w:val="0"/>
              </w:rPr>
            </w:pPr>
            <w:r>
              <w:rPr>
                <w:i/>
                <w:snapToGrid w:val="0"/>
              </w:rPr>
              <w:t>Criminal Law Amendment (Simple Offences) Act 2004</w:t>
            </w:r>
            <w:r>
              <w:rPr>
                <w:snapToGrid w:val="0"/>
              </w:rPr>
              <w:t xml:space="preserve"> s. 82</w:t>
            </w:r>
          </w:p>
        </w:tc>
        <w:tc>
          <w:tcPr>
            <w:tcW w:w="1134" w:type="dxa"/>
          </w:tcPr>
          <w:p>
            <w:pPr>
              <w:pStyle w:val="nTable"/>
              <w:spacing w:after="40"/>
              <w:rPr>
                <w:snapToGrid w:val="0"/>
              </w:rPr>
            </w:pPr>
            <w:r>
              <w:rPr>
                <w:snapToGrid w:val="0"/>
              </w:rPr>
              <w:t>70 of 2004</w:t>
            </w:r>
          </w:p>
        </w:tc>
        <w:tc>
          <w:tcPr>
            <w:tcW w:w="1136" w:type="dxa"/>
          </w:tcPr>
          <w:p>
            <w:pPr>
              <w:pStyle w:val="nTable"/>
              <w:spacing w:after="40"/>
              <w:rPr>
                <w:snapToGrid w:val="0"/>
              </w:rPr>
            </w:pPr>
            <w:r>
              <w:rPr>
                <w:snapToGrid w:val="0"/>
              </w:rPr>
              <w:t>8 Dec 2004</w:t>
            </w:r>
          </w:p>
        </w:tc>
        <w:tc>
          <w:tcPr>
            <w:tcW w:w="2551" w:type="dxa"/>
          </w:tcPr>
          <w:p>
            <w:pPr>
              <w:pStyle w:val="nTable"/>
              <w:spacing w:after="40"/>
              <w:ind w:right="-114"/>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ind w:right="-114"/>
              <w:rPr>
                <w:snapToGrid w:val="0"/>
              </w:rPr>
            </w:pPr>
            <w:r>
              <w:rPr>
                <w:b/>
              </w:rPr>
              <w:t xml:space="preserve">Reprint 4: The </w:t>
            </w:r>
            <w:r>
              <w:rPr>
                <w:b/>
                <w:i/>
              </w:rPr>
              <w:t>Energy Operators (Powers) Act 1979</w:t>
            </w:r>
            <w:r>
              <w:rPr>
                <w:b/>
              </w:rPr>
              <w:t xml:space="preserve"> as at 23 Sep 2005 </w:t>
            </w:r>
            <w:r>
              <w:t xml:space="preserve">(includes amendments listed above except those in the </w:t>
            </w:r>
            <w:r>
              <w:rPr>
                <w:i/>
              </w:rPr>
              <w:t>Electricity Legislation Amendment Act 2004</w:t>
            </w:r>
            <w:r>
              <w:t xml:space="preserve"> s. 44)</w:t>
            </w:r>
          </w:p>
        </w:tc>
      </w:tr>
      <w:tr>
        <w:trPr>
          <w:cantSplit/>
        </w:trPr>
        <w:tc>
          <w:tcPr>
            <w:tcW w:w="2268" w:type="dxa"/>
          </w:tcPr>
          <w:p>
            <w:pPr>
              <w:pStyle w:val="nTable"/>
              <w:spacing w:after="40"/>
              <w:ind w:right="170"/>
              <w:rPr>
                <w:iCs/>
                <w:snapToGrid w:val="0"/>
              </w:rPr>
            </w:pPr>
            <w:r>
              <w:rPr>
                <w:i/>
                <w:snapToGrid w:val="0"/>
              </w:rPr>
              <w:t>Electricity Corporations Act 2005</w:t>
            </w:r>
            <w:r>
              <w:rPr>
                <w:iCs/>
                <w:snapToGrid w:val="0"/>
              </w:rPr>
              <w:t xml:space="preserve"> s. 139</w:t>
            </w:r>
          </w:p>
        </w:tc>
        <w:tc>
          <w:tcPr>
            <w:tcW w:w="1134" w:type="dxa"/>
          </w:tcPr>
          <w:p>
            <w:pPr>
              <w:pStyle w:val="nTable"/>
              <w:spacing w:after="40"/>
              <w:rPr>
                <w:snapToGrid w:val="0"/>
              </w:rPr>
            </w:pPr>
            <w:r>
              <w:rPr>
                <w:snapToGrid w:val="0"/>
              </w:rPr>
              <w:t>18 of 2005</w:t>
            </w:r>
          </w:p>
        </w:tc>
        <w:tc>
          <w:tcPr>
            <w:tcW w:w="1136" w:type="dxa"/>
          </w:tcPr>
          <w:p>
            <w:pPr>
              <w:pStyle w:val="nTable"/>
              <w:spacing w:after="40"/>
              <w:rPr>
                <w:snapToGrid w:val="0"/>
              </w:rPr>
            </w:pPr>
            <w:r>
              <w:t>13 Oct 2005</w:t>
            </w:r>
          </w:p>
        </w:tc>
        <w:tc>
          <w:tcPr>
            <w:tcW w:w="2551" w:type="dxa"/>
          </w:tcPr>
          <w:p>
            <w:pPr>
              <w:pStyle w:val="nTable"/>
              <w:spacing w:after="40"/>
              <w:ind w:right="-114"/>
              <w:rPr>
                <w:snapToGrid w:val="0"/>
              </w:rPr>
            </w:pPr>
            <w:r>
              <w:rPr>
                <w:snapToGrid w:val="0"/>
              </w:rPr>
              <w:t xml:space="preserve">1 Apr 2006 (see s. 2(2) and </w:t>
            </w:r>
            <w:r>
              <w:rPr>
                <w:i/>
                <w:iCs/>
                <w:snapToGrid w:val="0"/>
              </w:rPr>
              <w:t>Gazette</w:t>
            </w:r>
            <w:r>
              <w:rPr>
                <w:snapToGrid w:val="0"/>
              </w:rPr>
              <w:t xml:space="preserve"> 31 Mar 2006 p. 1153)</w:t>
            </w:r>
          </w:p>
        </w:tc>
      </w:tr>
      <w:tr>
        <w:trPr>
          <w:cantSplit/>
        </w:trPr>
        <w:tc>
          <w:tcPr>
            <w:tcW w:w="2268" w:type="dxa"/>
          </w:tcPr>
          <w:p>
            <w:pPr>
              <w:pStyle w:val="nTable"/>
              <w:spacing w:after="40"/>
              <w:ind w:right="113"/>
            </w:pPr>
            <w:r>
              <w:rPr>
                <w:i/>
                <w:snapToGrid w:val="0"/>
              </w:rPr>
              <w:t>Planning and Development (Consequential and Transitional Provisions) Act 2005</w:t>
            </w:r>
            <w:r>
              <w:rPr>
                <w:iCs/>
                <w:snapToGrid w:val="0"/>
              </w:rP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2268" w:type="dxa"/>
          </w:tcPr>
          <w:p>
            <w:pPr>
              <w:pStyle w:val="nTable"/>
              <w:spacing w:after="40"/>
              <w:ind w:right="113"/>
            </w:pPr>
            <w:r>
              <w:rPr>
                <w:i/>
                <w:snapToGrid w:val="0"/>
              </w:rPr>
              <w:t>Energy Operators (Powers) Amendment Act 2006</w:t>
            </w:r>
            <w:r>
              <w:t xml:space="preserve"> s. 1-4</w:t>
            </w:r>
          </w:p>
        </w:tc>
        <w:tc>
          <w:tcPr>
            <w:tcW w:w="1134" w:type="dxa"/>
          </w:tcPr>
          <w:p>
            <w:pPr>
              <w:pStyle w:val="nTable"/>
              <w:spacing w:after="40"/>
              <w:rPr>
                <w:snapToGrid w:val="0"/>
              </w:rPr>
            </w:pPr>
            <w:r>
              <w:rPr>
                <w:snapToGrid w:val="0"/>
              </w:rPr>
              <w:t>8 of 2006</w:t>
            </w:r>
          </w:p>
        </w:tc>
        <w:tc>
          <w:tcPr>
            <w:tcW w:w="1136" w:type="dxa"/>
          </w:tcPr>
          <w:p>
            <w:pPr>
              <w:pStyle w:val="nTable"/>
              <w:spacing w:after="40"/>
            </w:pPr>
            <w:r>
              <w:t>5 May 2006</w:t>
            </w:r>
          </w:p>
        </w:tc>
        <w:tc>
          <w:tcPr>
            <w:tcW w:w="2551" w:type="dxa"/>
          </w:tcPr>
          <w:p>
            <w:pPr>
              <w:pStyle w:val="nTable"/>
              <w:spacing w:after="40"/>
            </w:pPr>
            <w:r>
              <w:t>5 May 2006 (see s. 2)</w:t>
            </w:r>
          </w:p>
        </w:tc>
      </w:tr>
      <w:tr>
        <w:trPr>
          <w:cantSplit/>
        </w:trPr>
        <w:tc>
          <w:tcPr>
            <w:tcW w:w="2268" w:type="dxa"/>
          </w:tcPr>
          <w:p>
            <w:pPr>
              <w:pStyle w:val="nTable"/>
              <w:spacing w:after="40"/>
              <w:ind w:right="113"/>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6" w:type="dxa"/>
          </w:tcPr>
          <w:p>
            <w:pPr>
              <w:pStyle w:val="nTable"/>
              <w:spacing w:after="40"/>
            </w:pPr>
            <w:r>
              <w:t>16 Nov 2006</w:t>
            </w:r>
          </w:p>
        </w:tc>
        <w:tc>
          <w:tcPr>
            <w:tcW w:w="2551" w:type="dxa"/>
          </w:tcPr>
          <w:p>
            <w:pPr>
              <w:pStyle w:val="nTable"/>
              <w:spacing w:after="40"/>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13"/>
              <w:rPr>
                <w:i/>
                <w:snapToGrid w:val="0"/>
              </w:rPr>
            </w:pPr>
            <w:r>
              <w:rPr>
                <w:i/>
                <w:snapToGrid w:val="0"/>
              </w:rPr>
              <w:t>Water Resources Legislation Amendment Act 2007</w:t>
            </w:r>
            <w:r>
              <w:rPr>
                <w:iCs/>
                <w:snapToGrid w:val="0"/>
              </w:rPr>
              <w:t xml:space="preserve"> s. 193</w:t>
            </w:r>
          </w:p>
        </w:tc>
        <w:tc>
          <w:tcPr>
            <w:tcW w:w="1134" w:type="dxa"/>
          </w:tcPr>
          <w:p>
            <w:pPr>
              <w:pStyle w:val="nTable"/>
              <w:spacing w:after="40"/>
              <w:rPr>
                <w:snapToGrid w:val="0"/>
              </w:rPr>
            </w:pPr>
            <w:r>
              <w:rPr>
                <w:snapToGrid w:val="0"/>
              </w:rPr>
              <w:t>38 of 2007</w:t>
            </w:r>
          </w:p>
        </w:tc>
        <w:tc>
          <w:tcPr>
            <w:tcW w:w="1136" w:type="dxa"/>
          </w:tcPr>
          <w:p>
            <w:pPr>
              <w:pStyle w:val="nTable"/>
              <w:spacing w:after="40"/>
            </w:pPr>
            <w:r>
              <w:t>21 Dec 2007</w:t>
            </w:r>
          </w:p>
        </w:tc>
        <w:tc>
          <w:tcPr>
            <w:tcW w:w="2551"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7089" w:type="dxa"/>
            <w:gridSpan w:val="4"/>
          </w:tcPr>
          <w:p>
            <w:pPr>
              <w:pStyle w:val="nTable"/>
              <w:spacing w:after="40"/>
            </w:pPr>
            <w:r>
              <w:rPr>
                <w:b/>
              </w:rPr>
              <w:t xml:space="preserve">Reprint 5: The </w:t>
            </w:r>
            <w:r>
              <w:rPr>
                <w:b/>
                <w:i/>
              </w:rPr>
              <w:t>Energy Operators (Powers) Act 1979</w:t>
            </w:r>
            <w:r>
              <w:rPr>
                <w:b/>
              </w:rPr>
              <w:t xml:space="preserve"> as at 4 Apr 2008 </w:t>
            </w:r>
            <w:r>
              <w:t>(includes amendments listed above)</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210</w:t>
            </w:r>
          </w:p>
        </w:tc>
        <w:tc>
          <w:tcPr>
            <w:tcW w:w="1134" w:type="dxa"/>
          </w:tcPr>
          <w:p>
            <w:pPr>
              <w:pStyle w:val="nTable"/>
              <w:spacing w:after="40"/>
              <w:rPr>
                <w:snapToGrid w:val="0"/>
              </w:rPr>
            </w:pPr>
            <w:r>
              <w:rPr>
                <w:snapToGrid w:val="0"/>
              </w:rPr>
              <w:t>25 of 2012</w:t>
            </w:r>
          </w:p>
        </w:tc>
        <w:tc>
          <w:tcPr>
            <w:tcW w:w="1136" w:type="dxa"/>
          </w:tcPr>
          <w:p>
            <w:pPr>
              <w:pStyle w:val="nTable"/>
              <w:spacing w:after="40"/>
            </w:pPr>
            <w: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snapToGrid w:val="0"/>
              </w:rPr>
            </w:pPr>
            <w:r>
              <w:rPr>
                <w:i/>
                <w:snapToGrid w:val="0"/>
              </w:rPr>
              <w:t>Electricity Corporations Amendment Act 2013</w:t>
            </w:r>
            <w:r>
              <w:rPr>
                <w:snapToGrid w:val="0"/>
              </w:rPr>
              <w:t xml:space="preserve"> s. 41</w:t>
            </w:r>
          </w:p>
        </w:tc>
        <w:tc>
          <w:tcPr>
            <w:tcW w:w="1134" w:type="dxa"/>
          </w:tcPr>
          <w:p>
            <w:pPr>
              <w:pStyle w:val="nTable"/>
              <w:spacing w:after="40"/>
              <w:rPr>
                <w:snapToGrid w:val="0"/>
              </w:rPr>
            </w:pPr>
            <w:r>
              <w:rPr>
                <w:snapToGrid w:val="0"/>
              </w:rPr>
              <w:t>25 of 2013</w:t>
            </w:r>
          </w:p>
        </w:tc>
        <w:tc>
          <w:tcPr>
            <w:tcW w:w="1136" w:type="dxa"/>
          </w:tcPr>
          <w:p>
            <w:pPr>
              <w:pStyle w:val="nTable"/>
              <w:spacing w:after="40"/>
            </w:pPr>
            <w:r>
              <w:rPr>
                <w:snapToGrid w:val="0"/>
              </w:rPr>
              <w:t>18 Dec 2013</w:t>
            </w:r>
          </w:p>
        </w:tc>
        <w:tc>
          <w:tcPr>
            <w:tcW w:w="2551"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rPr>
          <w:cantSplit/>
        </w:trPr>
        <w:tc>
          <w:tcPr>
            <w:tcW w:w="7089" w:type="dxa"/>
            <w:gridSpan w:val="4"/>
            <w:shd w:val="clear" w:color="auto" w:fill="auto"/>
          </w:tcPr>
          <w:p>
            <w:pPr>
              <w:pStyle w:val="nTable"/>
              <w:spacing w:after="40"/>
              <w:rPr>
                <w:snapToGrid w:val="0"/>
                <w:color w:val="000000"/>
              </w:rPr>
            </w:pPr>
            <w:r>
              <w:rPr>
                <w:b/>
                <w:snapToGrid w:val="0"/>
                <w:color w:val="000000"/>
              </w:rPr>
              <w:t xml:space="preserve">Reprint 6: The </w:t>
            </w:r>
            <w:r>
              <w:rPr>
                <w:b/>
                <w:i/>
                <w:noProof/>
                <w:snapToGrid w:val="0"/>
                <w:color w:val="000000"/>
              </w:rPr>
              <w:t>Energy Operators (Powers) Act 1979</w:t>
            </w:r>
            <w:r>
              <w:rPr>
                <w:b/>
                <w:snapToGrid w:val="0"/>
                <w:color w:val="000000"/>
              </w:rPr>
              <w:t xml:space="preserve"> as at 14 Jun 2019</w:t>
            </w:r>
            <w:r>
              <w:rPr>
                <w:snapToGrid w:val="0"/>
                <w:color w:val="000000"/>
              </w:rPr>
              <w:t xml:space="preserve"> (includes amendments listed above)</w:t>
            </w:r>
          </w:p>
        </w:tc>
      </w:tr>
      <w:tr>
        <w:trPr>
          <w:cantSplit/>
        </w:trPr>
        <w:tc>
          <w:tcPr>
            <w:tcW w:w="2268" w:type="dxa"/>
          </w:tcPr>
          <w:p>
            <w:pPr>
              <w:pStyle w:val="nTable"/>
              <w:spacing w:after="40"/>
              <w:ind w:right="113"/>
              <w:rPr>
                <w:snapToGrid w:val="0"/>
              </w:rPr>
            </w:pPr>
            <w:r>
              <w:rPr>
                <w:i/>
              </w:rPr>
              <w:lastRenderedPageBreak/>
              <w:t>Electricity Industry Amendment Act 2020</w:t>
            </w:r>
            <w:r>
              <w:t xml:space="preserve"> s. 31</w:t>
            </w:r>
          </w:p>
        </w:tc>
        <w:tc>
          <w:tcPr>
            <w:tcW w:w="1134" w:type="dxa"/>
          </w:tcPr>
          <w:p>
            <w:pPr>
              <w:pStyle w:val="nTable"/>
              <w:spacing w:after="40"/>
              <w:rPr>
                <w:snapToGrid w:val="0"/>
              </w:rPr>
            </w:pPr>
            <w:r>
              <w:rPr>
                <w:snapToGrid w:val="0"/>
              </w:rPr>
              <w:t>9 of 2020</w:t>
            </w:r>
          </w:p>
        </w:tc>
        <w:tc>
          <w:tcPr>
            <w:tcW w:w="1136" w:type="dxa"/>
          </w:tcPr>
          <w:p>
            <w:pPr>
              <w:pStyle w:val="nTable"/>
              <w:spacing w:after="40"/>
            </w:pPr>
            <w:r>
              <w:rPr>
                <w:snapToGrid w:val="0"/>
              </w:rPr>
              <w:t>6 Apr 2020</w:t>
            </w:r>
          </w:p>
        </w:tc>
        <w:tc>
          <w:tcPr>
            <w:tcW w:w="2551" w:type="dxa"/>
          </w:tcPr>
          <w:p>
            <w:pPr>
              <w:pStyle w:val="nTable"/>
              <w:spacing w:after="40"/>
              <w:rPr>
                <w:snapToGrid w:val="0"/>
              </w:rPr>
            </w:pPr>
            <w:r>
              <w:rPr>
                <w:snapToGrid w:val="0"/>
                <w:color w:val="000000"/>
              </w:rPr>
              <w:t>7 Apr 2020 (see s. 2(b))</w:t>
            </w:r>
          </w:p>
        </w:tc>
      </w:tr>
      <w:tr>
        <w:trPr>
          <w:cantSplit/>
        </w:trPr>
        <w:tc>
          <w:tcPr>
            <w:tcW w:w="2268" w:type="dxa"/>
            <w:tcBorders>
              <w:bottom w:val="single" w:sz="4" w:space="0" w:color="auto"/>
            </w:tcBorders>
          </w:tcPr>
          <w:p>
            <w:pPr>
              <w:pStyle w:val="nTable"/>
              <w:spacing w:after="40"/>
              <w:ind w:right="113"/>
              <w:rPr>
                <w:i/>
              </w:rPr>
            </w:pPr>
            <w:r>
              <w:rPr>
                <w:i/>
              </w:rPr>
              <w:t>Directors’ Liability Reform Act 2023</w:t>
            </w:r>
            <w:r>
              <w:t xml:space="preserve"> Pt. 3 Div. 22</w:t>
            </w:r>
          </w:p>
        </w:tc>
        <w:tc>
          <w:tcPr>
            <w:tcW w:w="1134" w:type="dxa"/>
            <w:tcBorders>
              <w:bottom w:val="single" w:sz="4" w:space="0" w:color="auto"/>
            </w:tcBorders>
          </w:tcPr>
          <w:p>
            <w:pPr>
              <w:pStyle w:val="nTable"/>
              <w:spacing w:after="40"/>
              <w:rPr>
                <w:snapToGrid w:val="0"/>
              </w:rPr>
            </w:pPr>
            <w:r>
              <w:t>9 of 2023</w:t>
            </w:r>
          </w:p>
        </w:tc>
        <w:tc>
          <w:tcPr>
            <w:tcW w:w="1136" w:type="dxa"/>
            <w:tcBorders>
              <w:bottom w:val="single" w:sz="4" w:space="0" w:color="auto"/>
            </w:tcBorders>
          </w:tcPr>
          <w:p>
            <w:pPr>
              <w:pStyle w:val="nTable"/>
              <w:spacing w:after="40"/>
              <w:rPr>
                <w:snapToGrid w:val="0"/>
              </w:rPr>
            </w:pPr>
            <w:r>
              <w:t>4 Apr 2023</w:t>
            </w:r>
          </w:p>
        </w:tc>
        <w:tc>
          <w:tcPr>
            <w:tcW w:w="2551" w:type="dxa"/>
            <w:tcBorders>
              <w:bottom w:val="single" w:sz="4" w:space="0" w:color="auto"/>
            </w:tcBorders>
          </w:tcPr>
          <w:p>
            <w:pPr>
              <w:pStyle w:val="nTable"/>
              <w:spacing w:after="40"/>
              <w:rPr>
                <w:snapToGrid w:val="0"/>
                <w:color w:val="000000"/>
              </w:rPr>
            </w:pPr>
            <w:r>
              <w:t>5 Apr 2023 (see s. 2(j))</w:t>
            </w:r>
          </w:p>
        </w:tc>
      </w:tr>
    </w:tbl>
    <w:p>
      <w:pPr>
        <w:pStyle w:val="nHeading3"/>
      </w:pPr>
      <w:bookmarkStart w:id="67" w:name="_Toc160785764"/>
      <w:r>
        <w:t>Uncommenced provisions table</w:t>
      </w:r>
      <w:bookmarkEnd w:id="6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Electricity Industry Amendment (Distributed Energy Resources) Act 2024</w:t>
            </w:r>
            <w:r>
              <w:rPr>
                <w:iCs/>
              </w:rPr>
              <w:t xml:space="preserve"> Pt. 2 Div. 5 and Pt. 3 Div. 4</w:t>
            </w:r>
          </w:p>
        </w:tc>
        <w:tc>
          <w:tcPr>
            <w:tcW w:w="1134" w:type="dxa"/>
          </w:tcPr>
          <w:p>
            <w:pPr>
              <w:pStyle w:val="nTable"/>
              <w:spacing w:after="40"/>
            </w:pPr>
            <w:r>
              <w:t>1 of 2024</w:t>
            </w:r>
          </w:p>
        </w:tc>
        <w:tc>
          <w:tcPr>
            <w:tcW w:w="1134" w:type="dxa"/>
          </w:tcPr>
          <w:p>
            <w:pPr>
              <w:pStyle w:val="nTable"/>
              <w:spacing w:after="40"/>
            </w:pPr>
            <w:r>
              <w:t>7 Mar 2024</w:t>
            </w:r>
          </w:p>
        </w:tc>
        <w:tc>
          <w:tcPr>
            <w:tcW w:w="2552" w:type="dxa"/>
          </w:tcPr>
          <w:p>
            <w:pPr>
              <w:pStyle w:val="nTable"/>
              <w:spacing w:after="40"/>
            </w:pPr>
            <w:r>
              <w:t>To be proclaimed (see s. 2(b))</w:t>
            </w:r>
          </w:p>
        </w:tc>
      </w:tr>
    </w:tbl>
    <w:p>
      <w:pPr>
        <w:pStyle w:val="nHeading3"/>
      </w:pPr>
      <w:bookmarkStart w:id="68" w:name="_Toc160785765"/>
      <w:r>
        <w:t>Other notes</w:t>
      </w:r>
      <w:bookmarkEnd w:id="68"/>
    </w:p>
    <w:p>
      <w:pPr>
        <w:pStyle w:val="nNote"/>
        <w:spacing w:before="120"/>
        <w:rPr>
          <w:snapToGrid w:val="0"/>
        </w:rPr>
      </w:pPr>
      <w:r>
        <w:rPr>
          <w:vertAlign w:val="superscript"/>
        </w:rPr>
        <w:t>1</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Note"/>
        <w:spacing w:before="120"/>
        <w:rPr>
          <w:snapToGrid w:val="0"/>
        </w:rPr>
      </w:pPr>
      <w:r>
        <w:rPr>
          <w:snapToGrid w:val="0"/>
          <w:vertAlign w:val="superscript"/>
        </w:rPr>
        <w:t>2</w:t>
      </w:r>
      <w:r>
        <w:rPr>
          <w:snapToGrid w:val="0"/>
        </w:rPr>
        <w:tab/>
        <w:t xml:space="preserve">The </w:t>
      </w:r>
      <w:r>
        <w:rPr>
          <w:i/>
          <w:snapToGrid w:val="0"/>
        </w:rPr>
        <w:t>State Electricity Commission Act 1945</w:t>
      </w:r>
      <w:r>
        <w:rPr>
          <w:snapToGrid w:val="0"/>
        </w:rPr>
        <w:t xml:space="preserve"> was repealed by this Act.</w:t>
      </w:r>
    </w:p>
    <w:p>
      <w:pPr>
        <w:pStyle w:val="nNote"/>
        <w:keepNext/>
        <w:spacing w:before="120"/>
        <w:rPr>
          <w:snapToGrid w:val="0"/>
        </w:rPr>
      </w:pPr>
      <w:r>
        <w:rPr>
          <w:snapToGrid w:val="0"/>
          <w:vertAlign w:val="superscript"/>
        </w:rPr>
        <w:t>3</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BlankOpen"/>
        <w:rPr>
          <w:snapToGrid w:val="0"/>
        </w:rPr>
      </w:pP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BlankClose"/>
        <w:rPr>
          <w:snapToGrid w:val="0"/>
        </w:rPr>
      </w:pPr>
    </w:p>
    <w:p>
      <w:pPr>
        <w:pStyle w:val="nNote"/>
        <w:rPr>
          <w:snapToGrid w:val="0"/>
        </w:rPr>
      </w:pPr>
      <w:r>
        <w:rPr>
          <w:snapToGrid w:val="0"/>
          <w:vertAlign w:val="superscript"/>
        </w:rPr>
        <w:lastRenderedPageBreak/>
        <w:t>4</w:t>
      </w:r>
      <w:r>
        <w:rPr>
          <w:snapToGrid w:val="0"/>
        </w:rPr>
        <w:tab/>
        <w:t xml:space="preserve">Short title was initially the </w:t>
      </w:r>
      <w:r>
        <w:rPr>
          <w:i/>
        </w:rPr>
        <w:t>State Energy Commission Act 1979</w:t>
      </w:r>
      <w:r>
        <w:rPr>
          <w:iCs/>
        </w:rPr>
        <w:t xml:space="preserve"> and was subsequently changed to the </w:t>
      </w:r>
      <w:r>
        <w:rPr>
          <w:bCs/>
          <w:i/>
        </w:rPr>
        <w:t>Energy Corporations (Powers) Act 1979</w:t>
      </w:r>
      <w:r>
        <w:rPr>
          <w:iCs/>
        </w:rPr>
        <w:t xml:space="preserve"> and then to the </w:t>
      </w:r>
      <w:r>
        <w:rPr>
          <w:i/>
          <w:snapToGrid w:val="0"/>
        </w:rPr>
        <w:t>Energy Operators (Powers) Act 1979</w:t>
      </w:r>
      <w:r>
        <w:rPr>
          <w:snapToGrid w:val="0"/>
        </w:rPr>
        <w:t xml:space="preserve"> (see note under s. 1).</w:t>
      </w:r>
    </w:p>
    <w:p>
      <w:pPr>
        <w:pStyle w:val="nNote"/>
        <w:rPr>
          <w:snapToGrid w:val="0"/>
        </w:rPr>
      </w:pPr>
      <w:r>
        <w:rPr>
          <w:snapToGrid w:val="0"/>
          <w:vertAlign w:val="superscript"/>
        </w:rPr>
        <w:t>5</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Note"/>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Pt. 3 </w:t>
      </w:r>
      <w:r>
        <w:t xml:space="preserve">(as amended by the </w:t>
      </w:r>
      <w:r>
        <w:rPr>
          <w:i/>
          <w:iCs/>
        </w:rPr>
        <w:t>Electricity Corporations Act 2005</w:t>
      </w:r>
      <w:r>
        <w:t xml:space="preserve"> s. 139) </w:t>
      </w:r>
      <w:r>
        <w:rPr>
          <w:snapToGrid w:val="0"/>
        </w:rPr>
        <w:t>reads as follows:</w:t>
      </w:r>
    </w:p>
    <w:p>
      <w:pPr>
        <w:pStyle w:val="BlankOpen"/>
        <w:rPr>
          <w:snapToGrid w:val="0"/>
        </w:rPr>
      </w:pPr>
    </w:p>
    <w:p>
      <w:pPr>
        <w:pStyle w:val="nzHeading2"/>
        <w:spacing w:before="40"/>
      </w:pPr>
      <w:r>
        <w:t xml:space="preserve">Part 3 </w:t>
      </w:r>
      <w:r>
        <w:rPr>
          <w:rFonts w:ascii="Symbol" w:hAnsi="Symbol"/>
        </w:rPr>
        <w:t></w:t>
      </w:r>
      <w:r>
        <w:t xml:space="preserve"> Transitional provisions for succession from Commission to new corporations</w:t>
      </w:r>
    </w:p>
    <w:p>
      <w:pPr>
        <w:pStyle w:val="nzHeading3"/>
      </w:pPr>
      <w:r>
        <w:t xml:space="preserve">Division 1 </w:t>
      </w:r>
      <w:r>
        <w:rPr>
          <w:rFonts w:ascii="Symbol" w:hAnsi="Symbol"/>
        </w:rPr>
        <w:t></w:t>
      </w:r>
      <w:r>
        <w:t xml:space="preserve"> Preliminary</w:t>
      </w:r>
    </w:p>
    <w:p>
      <w:pPr>
        <w:pStyle w:val="nzHeading5"/>
      </w:pPr>
      <w:r>
        <w:t>42.</w:t>
      </w:r>
      <w:r>
        <w:tab/>
        <w:t>Intention</w:t>
      </w:r>
    </w:p>
    <w:p>
      <w:pPr>
        <w:pStyle w:val="nzSubsection"/>
      </w:pPr>
      <w:r>
        <w:tab/>
      </w:r>
      <w: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zSubsection"/>
      </w:pPr>
      <w:r>
        <w:tab/>
      </w:r>
      <w:r>
        <w:tab/>
        <w:t xml:space="preserve">In this Part, unless the contrary intention appears </w:t>
      </w:r>
      <w:r>
        <w:rPr>
          <w:rFonts w:ascii="Symbol" w:hAnsi="Symbol"/>
        </w:rPr>
        <w:t></w:t>
      </w:r>
    </w:p>
    <w:p>
      <w:pPr>
        <w:pStyle w:val="nzDefstart"/>
      </w:pPr>
      <w:r>
        <w:rPr>
          <w:b/>
          <w:bCs/>
        </w:rPr>
        <w:tab/>
      </w:r>
      <w:r>
        <w:rPr>
          <w:b/>
          <w:bCs/>
          <w:i/>
        </w:rPr>
        <w:t>assets</w:t>
      </w:r>
      <w:r>
        <w:rPr>
          <w:i/>
        </w:rPr>
        <w:t xml:space="preserve"> </w:t>
      </w:r>
      <w:r>
        <w:t xml:space="preserve">means </w:t>
      </w:r>
      <w:r>
        <w:rPr>
          <w:rFonts w:ascii="Symbol" w:hAnsi="Symbol"/>
        </w:rPr>
        <w:t></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bCs/>
        </w:rPr>
        <w:tab/>
      </w:r>
      <w:r>
        <w:rPr>
          <w:b/>
          <w:bCs/>
          <w:i/>
        </w:rPr>
        <w:t>commencement day</w:t>
      </w:r>
      <w:r>
        <w:rPr>
          <w:i/>
        </w:rPr>
        <w:t xml:space="preserve"> </w:t>
      </w:r>
      <w:r>
        <w:t>means the day on which Part 2 comes into operation;</w:t>
      </w:r>
    </w:p>
    <w:p>
      <w:pPr>
        <w:pStyle w:val="nzDefstart"/>
      </w:pPr>
      <w:r>
        <w:rPr>
          <w:b/>
          <w:bCs/>
        </w:rPr>
        <w:tab/>
      </w:r>
      <w:r>
        <w:rPr>
          <w:b/>
          <w:bCs/>
          <w:i/>
        </w:rPr>
        <w:t>Commission</w:t>
      </w:r>
      <w:r>
        <w:t xml:space="preserve"> means the Commission under the principal Act as in force before the commencement day;</w:t>
      </w:r>
    </w:p>
    <w:p>
      <w:pPr>
        <w:pStyle w:val="nzDefstart"/>
      </w:pPr>
      <w:r>
        <w:rPr>
          <w:b/>
          <w:bCs/>
        </w:rPr>
        <w:tab/>
      </w:r>
      <w:r>
        <w:rPr>
          <w:b/>
          <w:bCs/>
          <w:i/>
        </w:rPr>
        <w:t>corporation</w:t>
      </w:r>
      <w:r>
        <w:t xml:space="preserve"> means the Electricity Corporation or the Gas Corporation but in section 47 </w:t>
      </w:r>
      <w:r>
        <w:rPr>
          <w:b/>
          <w:bCs/>
          <w:i/>
        </w:rPr>
        <w:t>corporations</w:t>
      </w:r>
      <w:r>
        <w:t xml:space="preserve"> means both of those corporations;</w:t>
      </w:r>
    </w:p>
    <w:p>
      <w:pPr>
        <w:pStyle w:val="nzDefstart"/>
      </w:pPr>
      <w:r>
        <w:rPr>
          <w:b/>
          <w:bCs/>
        </w:rPr>
        <w:tab/>
      </w:r>
      <w:r>
        <w:rPr>
          <w:b/>
          <w:bCs/>
          <w:i/>
        </w:rPr>
        <w:t>Electricity Corporation</w:t>
      </w:r>
      <w:r>
        <w:t xml:space="preserve"> means the body corporate established by section 4 of the </w:t>
      </w:r>
      <w:r>
        <w:rPr>
          <w:i/>
          <w:iCs/>
        </w:rPr>
        <w:t>Electricity Corporation Act 1994</w:t>
      </w:r>
      <w:r>
        <w:t>;</w:t>
      </w:r>
    </w:p>
    <w:p>
      <w:pPr>
        <w:pStyle w:val="nzDefstart"/>
      </w:pPr>
      <w:r>
        <w:rPr>
          <w:b/>
          <w:bCs/>
        </w:rPr>
        <w:tab/>
      </w:r>
      <w:r>
        <w:rPr>
          <w:b/>
          <w:bCs/>
          <w:i/>
        </w:rPr>
        <w:t>Gas Corporation</w:t>
      </w:r>
      <w:r>
        <w:t xml:space="preserve"> means the body corporate established by section 4 of the </w:t>
      </w:r>
      <w:r>
        <w:rPr>
          <w:i/>
          <w:iCs/>
        </w:rPr>
        <w:t>Gas Corporation Act 1994</w:t>
      </w:r>
      <w:r>
        <w:t>;</w:t>
      </w:r>
    </w:p>
    <w:p>
      <w:pPr>
        <w:pStyle w:val="nzDefstart"/>
      </w:pPr>
      <w:r>
        <w:rPr>
          <w:b/>
          <w:bCs/>
        </w:rPr>
        <w:lastRenderedPageBreak/>
        <w:tab/>
      </w:r>
      <w:r>
        <w:rPr>
          <w:b/>
          <w:bCs/>
          <w:i/>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rPr>
          <w:b/>
          <w:bCs/>
        </w:rPr>
        <w:tab/>
      </w:r>
      <w:r>
        <w:rPr>
          <w:b/>
          <w:bCs/>
          <w:i/>
        </w:rPr>
        <w:t>principal Act</w:t>
      </w:r>
      <w:r>
        <w:t xml:space="preserve"> means the </w:t>
      </w:r>
      <w:r>
        <w:rPr>
          <w:i/>
          <w:iCs/>
        </w:rPr>
        <w:t>State Energy Commission Act 1979</w:t>
      </w:r>
      <w:r>
        <w:t>;</w:t>
      </w:r>
    </w:p>
    <w:p>
      <w:pPr>
        <w:pStyle w:val="nzDefstart"/>
      </w:pPr>
      <w:r>
        <w:rPr>
          <w:b/>
          <w:bCs/>
        </w:rPr>
        <w:tab/>
      </w:r>
      <w:r>
        <w:rPr>
          <w:b/>
          <w:bCs/>
          <w:i/>
        </w:rPr>
        <w:t>right</w:t>
      </w:r>
      <w:r>
        <w:t xml:space="preserve"> means any right, power, privilege or immunity whether actual, contingent or prospective;</w:t>
      </w:r>
    </w:p>
    <w:p>
      <w:pPr>
        <w:pStyle w:val="nzDefstart"/>
      </w:pPr>
      <w:r>
        <w:rPr>
          <w:b/>
          <w:bCs/>
        </w:rPr>
        <w:tab/>
      </w:r>
      <w:r>
        <w:rPr>
          <w:b/>
          <w:bCs/>
          <w:i/>
        </w:rPr>
        <w:t>transfer order</w:t>
      </w:r>
      <w:r>
        <w:t xml:space="preserve"> means the order and any amendments to it made by the Minister under section 44, and includes any order made under subsection (5) of that section.</w:t>
      </w:r>
    </w:p>
    <w:p>
      <w:pPr>
        <w:pStyle w:val="nzHeading3"/>
      </w:pPr>
      <w:r>
        <w:t xml:space="preserve">Division 2 </w:t>
      </w:r>
      <w:r>
        <w:rPr>
          <w:rFonts w:ascii="Symbol" w:hAnsi="Symbol"/>
        </w:rPr>
        <w:t></w:t>
      </w:r>
      <w:r>
        <w:t xml:space="preserve"> Devolution of Commission’s assets and liabilities etc.</w:t>
      </w:r>
    </w:p>
    <w:p>
      <w:pPr>
        <w:pStyle w:val="nzHeading5"/>
      </w:pPr>
      <w:r>
        <w:t>44.</w:t>
      </w:r>
      <w:r>
        <w:tab/>
        <w:t>Minister to make order for allocation of assets and liabilities</w:t>
      </w:r>
    </w:p>
    <w:p>
      <w:pPr>
        <w:pStyle w:val="nzSubsection"/>
      </w:pPr>
      <w:r>
        <w:tab/>
        <w:t>(1)</w:t>
      </w:r>
      <w:r>
        <w:tab/>
        <w:t xml:space="preserve">As soon as is practicable after this section comes into force the Minister is to make and publish in the </w:t>
      </w:r>
      <w:r>
        <w:rPr>
          <w:i/>
          <w:iCs/>
        </w:rPr>
        <w:t>Gazette</w:t>
      </w:r>
      <w:r>
        <w:t xml:space="preserve"> an order specifying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pPr>
      <w:r>
        <w:tab/>
        <w:t>(2)</w:t>
      </w:r>
      <w:r>
        <w:tab/>
        <w:t>An allocation under subsection (1)(a) may be made to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keepNext/>
        <w:keepLines/>
      </w:pPr>
      <w:r>
        <w:tab/>
        <w:t>(3)</w:t>
      </w:r>
      <w:r>
        <w:tab/>
        <w:t>Without limiting subsection (1), an order under that subsection may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pPr>
      <w:r>
        <w:lastRenderedPageBreak/>
        <w:tab/>
        <w:t>(4)</w:t>
      </w:r>
      <w:r>
        <w:tab/>
        <w:t xml:space="preserve">The transfer order may be amended by the Minister, by further order published in the </w:t>
      </w:r>
      <w:r>
        <w:rPr>
          <w:i/>
          <w:iCs/>
        </w:rPr>
        <w:t>Gazette</w:t>
      </w:r>
      <w:r>
        <w:t>, but no such amendment may be made after the commencement day.</w:t>
      </w:r>
    </w:p>
    <w:p>
      <w:pPr>
        <w:pStyle w:val="nzSubsection"/>
      </w:pPr>
      <w:r>
        <w:tab/>
        <w:t>(5)</w:t>
      </w:r>
      <w:r>
        <w:tab/>
        <w:t>Where for any reason it is not practicable to allocate any asset, right or liability to a corporation, or to both of the corporations, under this section before the commencement date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pPr>
      <w:r>
        <w:tab/>
        <w:t>(6)</w:t>
      </w:r>
      <w:r>
        <w:tab/>
        <w:t>An order under subsection (5) is to have effect from the commencement day.</w:t>
      </w:r>
    </w:p>
    <w:p>
      <w:pPr>
        <w:pStyle w:val="nzSubsection"/>
      </w:pPr>
      <w:r>
        <w:tab/>
        <w:t>(7)</w:t>
      </w:r>
      <w:r>
        <w:tab/>
        <w:t>The Commission is to be taken to continue to hold an asset or right, and to be liable for a liability, to which subsection (5) applies until an order is made under that subsection.</w:t>
      </w:r>
    </w:p>
    <w:p>
      <w:pPr>
        <w:pStyle w:val="nzHeading5"/>
      </w:pPr>
      <w:r>
        <w:t>45.</w:t>
      </w:r>
      <w:r>
        <w:tab/>
        <w:t>Transfer of assets and liabilities to the Electricity Corporation</w:t>
      </w:r>
    </w:p>
    <w:p>
      <w:pPr>
        <w:pStyle w:val="nzSubsection"/>
      </w:pPr>
      <w:r>
        <w:tab/>
        <w:t>(1)</w:t>
      </w:r>
      <w:r>
        <w:tab/>
        <w:t>On and after the commencement day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lastRenderedPageBreak/>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On and after the commencement day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 xml:space="preserve">any proceedings or remedy that might have been commenced by or available against or to the Commission in relation to the assets, rights and liabilities referred to in </w:t>
      </w:r>
      <w:r>
        <w:lastRenderedPageBreak/>
        <w:t>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the Commission is to deliver to the Gas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pPr>
      <w:r>
        <w:tab/>
        <w:t>(2)</w:t>
      </w:r>
      <w: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On and after the commencement day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lastRenderedPageBreak/>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keepNext w:val="0"/>
        <w:spacing w:before="120"/>
      </w:pPr>
      <w:r>
        <w:t>48.</w:t>
      </w:r>
      <w:r>
        <w:tab/>
        <w:t>Unallocated assets and liabilities</w:t>
      </w:r>
    </w:p>
    <w:p>
      <w:pPr>
        <w:pStyle w:val="nzSubsection"/>
      </w:pPr>
      <w:r>
        <w:tab/>
      </w:r>
      <w:r>
        <w:tab/>
        <w:t>Subject to section 44(5), on and after the commencement day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 xml:space="preserve">subject to section 49, any agreement or instrument relating to the assets, rights and liabilities referred to in </w:t>
      </w:r>
      <w:r>
        <w:lastRenderedPageBreak/>
        <w:t>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keepNext w:val="0"/>
      </w:pPr>
      <w:r>
        <w:t>49.</w:t>
      </w:r>
      <w:r>
        <w:tab/>
        <w:t>References to Commission in Government agreements</w:t>
      </w:r>
    </w:p>
    <w:p>
      <w:pPr>
        <w:pStyle w:val="nzSubsection"/>
      </w:pPr>
      <w:r>
        <w:tab/>
        <w:t>(1)</w:t>
      </w:r>
      <w:r>
        <w:tab/>
        <w:t>The transfer order is to also specify for each provision in a Government agreement in which there is a reference to the Commission whether that reference is to be read as a reference to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iCs/>
        </w:rPr>
        <w:t>Energy Coordination Act 1994</w:t>
      </w:r>
      <w:r>
        <w:t>.</w:t>
      </w:r>
    </w:p>
    <w:p>
      <w:pPr>
        <w:pStyle w:val="nzSubsection"/>
      </w:pPr>
      <w:r>
        <w:tab/>
        <w:t>(2)</w:t>
      </w:r>
      <w:r>
        <w:tab/>
        <w:t>Subsection (1) does not apply to a provision of a Government agreement that is spent or has had its effect.</w:t>
      </w:r>
    </w:p>
    <w:p>
      <w:pPr>
        <w:pStyle w:val="nzSubsection"/>
      </w:pPr>
      <w:r>
        <w:tab/>
        <w:t>(3)</w:t>
      </w:r>
      <w:r>
        <w:tab/>
        <w:t>On and after the commencement day a provision of a Government agreement which under subsection (1) is affected by the transfer order has effect by force of this section as so affected.</w:t>
      </w:r>
    </w:p>
    <w:p>
      <w:pPr>
        <w:pStyle w:val="nzSubsection"/>
      </w:pPr>
      <w:r>
        <w:tab/>
        <w:t>(4)</w:t>
      </w:r>
      <w:r>
        <w:tab/>
        <w:t xml:space="preserve">In this section </w:t>
      </w:r>
      <w:r>
        <w:rPr>
          <w:b/>
          <w:bCs/>
          <w:i/>
        </w:rPr>
        <w:t>Government agreement</w:t>
      </w:r>
      <w:r>
        <w:t xml:space="preserve"> has the same meaning as it has in the </w:t>
      </w:r>
      <w:r>
        <w:rPr>
          <w:i/>
          <w:iCs/>
        </w:rPr>
        <w:t>Government Agreements Act 1979</w:t>
      </w:r>
      <w:r>
        <w:t>.</w:t>
      </w:r>
    </w:p>
    <w:p>
      <w:pPr>
        <w:pStyle w:val="nzHeading5"/>
      </w:pPr>
      <w:r>
        <w:lastRenderedPageBreak/>
        <w:t>50.</w:t>
      </w:r>
      <w:r>
        <w:tab/>
        <w:t>Debentures and inscribed stock</w:t>
      </w:r>
    </w:p>
    <w:p>
      <w:pPr>
        <w:pStyle w:val="nzSubsection"/>
      </w:pPr>
      <w:r>
        <w:tab/>
        <w:t>(1)</w:t>
      </w:r>
      <w:r>
        <w:tab/>
        <w:t>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p>
    <w:p>
      <w:pPr>
        <w:pStyle w:val="nzIndenta"/>
      </w:pPr>
      <w:r>
        <w:tab/>
        <w:t>(a)</w:t>
      </w:r>
      <w:r>
        <w:tab/>
        <w:t>those sections and regulations remained in force; and</w:t>
      </w:r>
    </w:p>
    <w:p>
      <w:pPr>
        <w:pStyle w:val="nzIndenta"/>
      </w:pPr>
      <w:r>
        <w:tab/>
        <w:t>(b)</w:t>
      </w:r>
      <w:r>
        <w:tab/>
        <w:t>references in those sections and regulations to the “Commission” were references to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pPr>
      <w:r>
        <w:tab/>
        <w:t>(1a)</w:t>
      </w:r>
      <w:r>
        <w:tab/>
        <w:t>In subsection (1)(b) —</w:t>
      </w:r>
    </w:p>
    <w:p>
      <w:pPr>
        <w:pStyle w:val="nzDefstart"/>
        <w:rPr>
          <w:bCs/>
        </w:rPr>
      </w:pPr>
      <w:r>
        <w:rPr>
          <w:b/>
        </w:rPr>
        <w:tab/>
      </w:r>
      <w:r>
        <w:rPr>
          <w:b/>
          <w:i/>
        </w:rPr>
        <w:t>new corporation</w:t>
      </w:r>
      <w:r>
        <w:t xml:space="preserve"> and </w:t>
      </w:r>
      <w:r>
        <w:rPr>
          <w:b/>
          <w:i/>
        </w:rPr>
        <w:t>transfer order</w:t>
      </w:r>
      <w:r>
        <w:t xml:space="preserve"> have the meanings given to those terms in section 142(1) of the </w:t>
      </w:r>
      <w:r>
        <w:rPr>
          <w:i/>
          <w:iCs/>
        </w:rPr>
        <w:t>Electricity Corporations Act 2005</w:t>
      </w:r>
      <w:r>
        <w:t>.</w:t>
      </w:r>
    </w:p>
    <w:p>
      <w:pPr>
        <w:pStyle w:val="nzSubsection"/>
      </w:pPr>
      <w:r>
        <w:tab/>
        <w:t>(2)</w:t>
      </w:r>
      <w:r>
        <w:tab/>
        <w:t>The Governor may, by further regulations, amend or repeal the regulations referred to in subsection (1).</w:t>
      </w:r>
    </w:p>
    <w:p>
      <w:pPr>
        <w:pStyle w:val="nzMiscellaneousBody"/>
        <w:tabs>
          <w:tab w:val="left" w:pos="1440"/>
        </w:tabs>
        <w:rPr>
          <w:i/>
          <w:iCs/>
        </w:rPr>
      </w:pPr>
      <w:r>
        <w:rPr>
          <w:i/>
          <w:iCs/>
        </w:rPr>
        <w:tab/>
        <w:t>[Section 50 amended: No. 18 of 2005 s. 139.]</w:t>
      </w:r>
    </w:p>
    <w:p>
      <w:pPr>
        <w:pStyle w:val="nzHeading5"/>
      </w:pPr>
      <w:r>
        <w:t>51.</w:t>
      </w:r>
      <w:r>
        <w:tab/>
        <w:t>Guarantees in respect of Commission</w:t>
      </w:r>
    </w:p>
    <w:p>
      <w:pPr>
        <w:pStyle w:val="nzSubsection"/>
      </w:pPr>
      <w:r>
        <w:tab/>
        <w:t>(1)</w:t>
      </w:r>
      <w:r>
        <w:tab/>
        <w:t>A guarantee under section 30 or 108 of the principal Act as in force immediately before the commencement day is not affected by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tab/>
        <w:t>(2)</w:t>
      </w:r>
      <w:r>
        <w:tab/>
        <w:t>Any guarantee referred to in subsection (1) is to continue in force and is to be read and construed, on and from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lastRenderedPageBreak/>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b/>
          <w:bCs/>
          <w:i/>
        </w:rPr>
        <w:t>relevant Act</w:t>
      </w:r>
      <w:r>
        <w:t xml:space="preserve"> means —</w:t>
      </w:r>
    </w:p>
    <w:p>
      <w:pPr>
        <w:pStyle w:val="nzIndenta"/>
      </w:pPr>
      <w:r>
        <w:tab/>
        <w:t>(a)</w:t>
      </w:r>
      <w:r>
        <w:tab/>
        <w:t xml:space="preserve">in the case of the Electricity Corporation, the </w:t>
      </w:r>
      <w:r>
        <w:rPr>
          <w:i/>
          <w:iCs/>
        </w:rPr>
        <w:t>Electricity Corporation Act 1994</w:t>
      </w:r>
      <w:r>
        <w:t>; and</w:t>
      </w:r>
    </w:p>
    <w:p>
      <w:pPr>
        <w:pStyle w:val="nzIndenta"/>
      </w:pPr>
      <w:r>
        <w:tab/>
        <w:t>(b)</w:t>
      </w:r>
      <w:r>
        <w:tab/>
        <w:t xml:space="preserve">in the case of the Gas Corporation, the </w:t>
      </w:r>
      <w:r>
        <w:rPr>
          <w:i/>
          <w:iCs/>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 xml:space="preserve">The fact that subsection (1)(a) applies to an asset, right or liability that is allocated to a corporation or to both of the corporations under this Part does not affect the duty of the corporation or the corporations to account for and report on that asset, right or </w:t>
      </w:r>
      <w:r>
        <w:lastRenderedPageBreak/>
        <w:t>liability under the written law by which the corporation is established.</w:t>
      </w:r>
    </w:p>
    <w:p>
      <w:pPr>
        <w:pStyle w:val="nzHeading5"/>
      </w:pPr>
      <w:r>
        <w:t>53.</w:t>
      </w:r>
      <w:r>
        <w:tab/>
        <w:t>Exemption from State taxation</w:t>
      </w:r>
    </w:p>
    <w:p>
      <w:pPr>
        <w:pStyle w:val="nzSubsection"/>
      </w:pPr>
      <w:r>
        <w:tab/>
        <w:t>(1)</w:t>
      </w:r>
      <w:r>
        <w:tab/>
        <w:t>In this section —</w:t>
      </w:r>
    </w:p>
    <w:p>
      <w:pPr>
        <w:pStyle w:val="nzDefstart"/>
      </w:pPr>
      <w:r>
        <w:rPr>
          <w:b/>
          <w:bCs/>
        </w:rPr>
        <w:tab/>
      </w:r>
      <w:r>
        <w:rPr>
          <w:b/>
          <w:bCs/>
          <w:i/>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The Treasurer or a person authorised by the Treasurer may, on request by the Electricity Corporation or the Gas Corporation, certify in writing that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b/>
          <w:bCs/>
          <w:i/>
        </w:rPr>
        <w:t>relevant officials</w:t>
      </w:r>
      <w:r>
        <w:t xml:space="preserve"> means the Registrar of Titles, the Registrar of Deeds, the Ministers respectively administering the </w:t>
      </w:r>
      <w:r>
        <w:rPr>
          <w:i/>
          <w:iCs/>
        </w:rPr>
        <w:t>Land Act 1933</w:t>
      </w:r>
      <w:r>
        <w:t xml:space="preserve"> and the </w:t>
      </w:r>
      <w:r>
        <w:rPr>
          <w:i/>
          <w:iCs/>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lastRenderedPageBreak/>
        <w:t>55.</w:t>
      </w:r>
      <w:r>
        <w:tab/>
        <w:t>Saving</w:t>
      </w:r>
    </w:p>
    <w:p>
      <w:pPr>
        <w:pStyle w:val="nzSubsection"/>
      </w:pPr>
      <w:r>
        <w:tab/>
      </w:r>
      <w:r>
        <w:tab/>
        <w:t>The operation of section 45, 46 or 47 is not to be regarded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iCs/>
        </w:rPr>
        <w:t>Electricity Corporation Act 1994</w:t>
      </w:r>
      <w:r>
        <w:t xml:space="preserve"> or section 15 of the </w:t>
      </w:r>
      <w:r>
        <w:rPr>
          <w:i/>
          <w:iCs/>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Except as otherwise agreed by an employee, the change from employment by the Commission to employment by a corporation does not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iCs/>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lastRenderedPageBreak/>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Any act, matter or thing done or omitted to be done before the commencement day by, to or in respect of the Commission, to the extent that that act, matter or thing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Any agreement or instrument to which this section applies —</w:t>
      </w:r>
    </w:p>
    <w:p>
      <w:pPr>
        <w:pStyle w:val="nzIndenta"/>
      </w:pPr>
      <w:r>
        <w:tab/>
        <w:t>(a)</w:t>
      </w:r>
      <w:r>
        <w:tab/>
        <w:t>to which the Commission was a party; or</w:t>
      </w:r>
    </w:p>
    <w:p>
      <w:pPr>
        <w:pStyle w:val="nzIndenta"/>
        <w:keepNext/>
        <w:keepLines/>
      </w:pPr>
      <w:r>
        <w:tab/>
        <w:t>(b)</w:t>
      </w:r>
      <w:r>
        <w:tab/>
        <w:t>which contains a reference to the Commission,</w:t>
      </w:r>
    </w:p>
    <w:p>
      <w:pPr>
        <w:pStyle w:val="nzSubsection"/>
        <w:keepNext/>
        <w:keepLines/>
      </w:pPr>
      <w:r>
        <w:tab/>
      </w:r>
      <w:r>
        <w:tab/>
        <w:t>has effect after that day as if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b/>
          <w:bCs/>
          <w:i/>
        </w:rPr>
        <w:t>relevant corporation</w:t>
      </w:r>
      <w:r>
        <w:t xml:space="preserve"> means —</w:t>
      </w:r>
    </w:p>
    <w:p>
      <w:pPr>
        <w:pStyle w:val="nzIndenta"/>
      </w:pPr>
      <w:r>
        <w:tab/>
        <w:t>(a)</w:t>
      </w:r>
      <w:r>
        <w:tab/>
        <w:t>in relation to the functions of the Commission that after the commencement day are functions of the Electricity Corporation, that corporation;</w:t>
      </w:r>
    </w:p>
    <w:p>
      <w:pPr>
        <w:pStyle w:val="nzIndenta"/>
      </w:pPr>
      <w:r>
        <w:lastRenderedPageBreak/>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Despite the repeal of section 7 of the principal Act by section 8 of this Act, the Commission continues in existence for the purpose of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iCs/>
        </w:rPr>
        <w:t>Financial Administration and Audit Act 1985</w:t>
      </w:r>
      <w:r>
        <w:t>, also continues in existence for the purpose described in subsection (1)(a).</w:t>
      </w:r>
    </w:p>
    <w:p>
      <w:pPr>
        <w:pStyle w:val="nzSubsection"/>
      </w:pPr>
      <w:r>
        <w:tab/>
        <w:t>(3)</w:t>
      </w:r>
      <w:r>
        <w:tab/>
        <w:t>Despite the provisions of the principal Act —</w:t>
      </w:r>
    </w:p>
    <w:p>
      <w:pPr>
        <w:pStyle w:val="nzIndenta"/>
      </w:pPr>
      <w:r>
        <w:tab/>
        <w:t>(a)</w:t>
      </w:r>
      <w:r>
        <w:tab/>
        <w:t>the members of the Commission immediately before the commencement day cease to hold office on that day;</w:t>
      </w:r>
    </w:p>
    <w:p>
      <w:pPr>
        <w:pStyle w:val="nzIndenta"/>
        <w:rPr>
          <w:color w:val="000000"/>
        </w:rPr>
      </w:pPr>
      <w:r>
        <w:rPr>
          <w:color w:val="000000"/>
        </w:rPr>
        <w:tab/>
        <w:t>(b)</w:t>
      </w:r>
      <w:r>
        <w:rPr>
          <w:color w:val="000000"/>
        </w:rPr>
        <w:tab/>
        <w:t>the Commission is to be constituted by a person appointed by the Minister; and</w:t>
      </w:r>
    </w:p>
    <w:p>
      <w:pPr>
        <w:pStyle w:val="nzIndenta"/>
        <w:rPr>
          <w:color w:val="000000"/>
        </w:rPr>
      </w:pPr>
      <w:r>
        <w:rPr>
          <w:color w:val="000000"/>
        </w:rPr>
        <w:tab/>
        <w:t>(c)</w:t>
      </w:r>
      <w:r>
        <w:rPr>
          <w:color w:val="000000"/>
        </w:rP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iCs/>
        </w:rPr>
        <w:t>Gazette</w:t>
      </w:r>
      <w:r>
        <w:t>.</w:t>
      </w:r>
    </w:p>
    <w:p>
      <w:pPr>
        <w:pStyle w:val="nzSubsection"/>
      </w:pPr>
      <w:r>
        <w:tab/>
        <w:t>(2)</w:t>
      </w:r>
      <w:r>
        <w:tab/>
        <w:t>Any such order may be made so as to have effect from the commencement day.</w:t>
      </w:r>
    </w:p>
    <w:p>
      <w:pPr>
        <w:pStyle w:val="nzSubsection"/>
      </w:pPr>
      <w:r>
        <w:tab/>
        <w:t>(3)</w:t>
      </w:r>
      <w:r>
        <w:tab/>
        <w:t xml:space="preserve">To the extent that a provision of any such order has effect on a day that is earlier than the day of its publication in the </w:t>
      </w:r>
      <w:r>
        <w:rPr>
          <w:i/>
          <w:iCs/>
        </w:rPr>
        <w:t>Gazette</w:t>
      </w:r>
      <w:r>
        <w:t>, the provision does not operate so as —</w:t>
      </w:r>
    </w:p>
    <w:p>
      <w:pPr>
        <w:pStyle w:val="nzIndenta"/>
      </w:pPr>
      <w:r>
        <w:lastRenderedPageBreak/>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BlankClose"/>
      </w:pPr>
    </w:p>
    <w:p>
      <w:pPr>
        <w:pStyle w:val="nNote"/>
      </w:pPr>
      <w:r>
        <w:rPr>
          <w:snapToGrid w:val="0"/>
          <w:vertAlign w:val="superscript"/>
        </w:rPr>
        <w:t>7</w:t>
      </w:r>
      <w:r>
        <w:rPr>
          <w:snapToGrid w:val="0"/>
        </w:rPr>
        <w:tab/>
        <w:t xml:space="preserve">The </w:t>
      </w:r>
      <w:r>
        <w:rPr>
          <w:i/>
          <w:iCs/>
          <w:snapToGrid w:val="0"/>
        </w:rPr>
        <w:t xml:space="preserve">Gas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Note"/>
      </w:pPr>
      <w:r>
        <w:rPr>
          <w:vertAlign w:val="superscript"/>
        </w:rPr>
        <w:t>8</w:t>
      </w:r>
      <w:r>
        <w:tab/>
        <w:t xml:space="preserve">The </w:t>
      </w:r>
      <w:r>
        <w:rPr>
          <w:i/>
        </w:rPr>
        <w:t>Energy Legislation Amendment Act 2003</w:t>
      </w:r>
      <w:r>
        <w:t xml:space="preserve"> s. 115(3)</w:t>
      </w:r>
      <w:r>
        <w:noBreakHyphen/>
        <w:t>(4) and 116 read as follows:</w:t>
      </w:r>
    </w:p>
    <w:p>
      <w:pPr>
        <w:pStyle w:val="BlankOpen"/>
      </w:pPr>
    </w:p>
    <w:p>
      <w:pPr>
        <w:pStyle w:val="nzHeading5"/>
        <w:rPr>
          <w:rStyle w:val="CharSectno"/>
        </w:rPr>
      </w:pPr>
      <w:r>
        <w:rPr>
          <w:rStyle w:val="CharSectno"/>
        </w:rPr>
        <w:t>115.</w:t>
      </w:r>
      <w:r>
        <w:rPr>
          <w:rStyle w:val="CharSectno"/>
        </w:rPr>
        <w:tab/>
        <w:t>Section 65 amended and transitional provision</w:t>
      </w:r>
    </w:p>
    <w:p>
      <w:pPr>
        <w:pStyle w:val="nzSubsection"/>
      </w:pPr>
      <w:r>
        <w:tab/>
        <w:t>(3)</w:t>
      </w:r>
      <w:r>
        <w:tab/>
        <w:t>Section 65 of the principal Act as in force immediately before the commencement of this section is to continue to have effect for the purpose of adjusting, under section 65, charges in respect of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A statement in writing signed on behalf of an energy operator showing the day on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r>
        <w:rPr>
          <w:rStyle w:val="CharSectno"/>
        </w:rPr>
        <w:t>116.</w:t>
      </w:r>
      <w:r>
        <w:rPr>
          <w:rStyle w:val="CharSectno"/>
        </w:rPr>
        <w:tab/>
        <w:t>Validation of certain agreements</w:t>
      </w:r>
    </w:p>
    <w:p>
      <w:pPr>
        <w:pStyle w:val="nzSubsection"/>
      </w:pPr>
      <w:r>
        <w:tab/>
        <w:t>(1)</w:t>
      </w:r>
      <w:r>
        <w:tab/>
        <w:t>This section applies where before the commencement of this section —</w:t>
      </w:r>
    </w:p>
    <w:p>
      <w:pPr>
        <w:pStyle w:val="nzIndenta"/>
      </w:pPr>
      <w:r>
        <w:lastRenderedPageBreak/>
        <w:tab/>
        <w:t>(a)</w:t>
      </w:r>
      <w:r>
        <w:tab/>
        <w:t>an agreement was made between a person and Western Power Corporation for the purposes of section 58(3) or 61(1) of the principal Act; and</w:t>
      </w:r>
    </w:p>
    <w:p>
      <w:pPr>
        <w:pStyle w:val="nzIndenta"/>
      </w:pPr>
      <w:r>
        <w:tab/>
        <w:t>(b)</w:t>
      </w:r>
      <w:r>
        <w:tab/>
        <w:t>the amount which the person agreed to pay to Western Power Corporation under the agreement was determined in such a way as to include an amount for the cost of appropriate network development.</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 113 and 114 of this Act at the time when the agreement was entered into.</w:t>
      </w:r>
    </w:p>
    <w:p>
      <w:pPr>
        <w:pStyle w:val="nzSubsection"/>
      </w:pPr>
      <w:r>
        <w:tab/>
        <w:t>(3)</w:t>
      </w:r>
      <w:r>
        <w:tab/>
        <w:t>In this section —</w:t>
      </w:r>
    </w:p>
    <w:p>
      <w:pPr>
        <w:pStyle w:val="nzDefstart"/>
        <w:rPr>
          <w:b/>
        </w:rPr>
      </w:pPr>
      <w:r>
        <w:tab/>
      </w:r>
      <w:r>
        <w:rPr>
          <w:rStyle w:val="CharDefText"/>
        </w:rPr>
        <w:t>appropriate network development</w:t>
      </w:r>
      <w:r>
        <w:t xml:space="preserve"> means “appropriate network development” as defined in section 58(3a) or section 61(1a) of the principal Act, as the case may require;</w:t>
      </w:r>
    </w:p>
    <w:p>
      <w:pPr>
        <w:pStyle w:val="nzDefstart"/>
      </w:pPr>
      <w:r>
        <w:tab/>
      </w:r>
      <w:r>
        <w:rPr>
          <w:rStyle w:val="CharDefText"/>
        </w:rPr>
        <w:t>Western Power Corporation</w:t>
      </w:r>
      <w:r>
        <w:t xml:space="preserve"> has the meaning given to that term in section 4(1) of the principal Act.</w:t>
      </w:r>
    </w:p>
    <w:p>
      <w:pPr>
        <w:pStyle w:val="BlankClose"/>
      </w:pPr>
    </w:p>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rPr>
          <w:sz w:val="28"/>
        </w:rPr>
      </w:pPr>
      <w:bookmarkStart w:id="70" w:name="_Toc160629933"/>
      <w:bookmarkStart w:id="71" w:name="_Toc160630060"/>
      <w:bookmarkStart w:id="72" w:name="_Toc160636705"/>
      <w:bookmarkStart w:id="73" w:name="_Toc160785574"/>
      <w:bookmarkStart w:id="74" w:name="_Toc160785766"/>
      <w:r>
        <w:rPr>
          <w:sz w:val="28"/>
        </w:rPr>
        <w:lastRenderedPageBreak/>
        <w:t>Defined terms</w:t>
      </w:r>
      <w:bookmarkEnd w:id="70"/>
      <w:bookmarkEnd w:id="71"/>
      <w:bookmarkEnd w:id="72"/>
      <w:bookmarkEnd w:id="73"/>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accounting period</w:t>
      </w:r>
      <w:r>
        <w:tab/>
        <w:t>65(9)</w:t>
      </w:r>
    </w:p>
    <w:p>
      <w:pPr>
        <w:pStyle w:val="DefinedTerms"/>
      </w:pPr>
      <w:r>
        <w:t>acquisition</w:t>
      </w:r>
      <w:r>
        <w:tab/>
        <w:t>4(1)</w:t>
      </w:r>
    </w:p>
    <w:p>
      <w:pPr>
        <w:pStyle w:val="DefinedTerms"/>
      </w:pPr>
      <w:r>
        <w:t>apparatus</w:t>
      </w:r>
      <w:r>
        <w:tab/>
        <w:t>4(1)</w:t>
      </w:r>
    </w:p>
    <w:p>
      <w:pPr>
        <w:pStyle w:val="DefinedTerms"/>
      </w:pPr>
      <w:r>
        <w:t>appropriate network development</w:t>
      </w:r>
      <w:r>
        <w:tab/>
        <w:t>58(3a), 61(1a)</w:t>
      </w:r>
    </w:p>
    <w:p>
      <w:pPr>
        <w:pStyle w:val="DefinedTerms"/>
      </w:pPr>
      <w:r>
        <w:t>charges</w:t>
      </w:r>
      <w:r>
        <w:tab/>
        <w:t>4(1)</w:t>
      </w:r>
    </w:p>
    <w:p>
      <w:pPr>
        <w:pStyle w:val="DefinedTerms"/>
      </w:pPr>
      <w:r>
        <w:t>consumer installation</w:t>
      </w:r>
      <w:r>
        <w:tab/>
        <w:t>4(1)</w:t>
      </w:r>
    </w:p>
    <w:p>
      <w:pPr>
        <w:pStyle w:val="DefinedTerms"/>
      </w:pPr>
      <w:r>
        <w:t>Coordinator of Energy</w:t>
      </w:r>
      <w:r>
        <w:tab/>
        <w:t>4(1)</w:t>
      </w:r>
    </w:p>
    <w:p>
      <w:pPr>
        <w:pStyle w:val="DefinedTerms"/>
      </w:pPr>
      <w:r>
        <w:t>corporation</w:t>
      </w:r>
      <w:r>
        <w:tab/>
        <w:t>124(6)</w:t>
      </w:r>
    </w:p>
    <w:p>
      <w:pPr>
        <w:pStyle w:val="DefinedTerms"/>
      </w:pPr>
      <w:r>
        <w:t>department</w:t>
      </w:r>
      <w:r>
        <w:tab/>
        <w:t>4(1)</w:t>
      </w:r>
    </w:p>
    <w:p>
      <w:pPr>
        <w:pStyle w:val="DefinedTerms"/>
      </w:pPr>
      <w:r>
        <w:t>distribution system</w:t>
      </w:r>
      <w:r>
        <w:tab/>
        <w:t>57(1)</w:t>
      </w:r>
    </w:p>
    <w:p>
      <w:pPr>
        <w:pStyle w:val="DefinedTerms"/>
      </w:pPr>
      <w:r>
        <w:t>distribution works</w:t>
      </w:r>
      <w:r>
        <w:tab/>
        <w:t>4(1)</w:t>
      </w:r>
    </w:p>
    <w:p>
      <w:pPr>
        <w:pStyle w:val="DefinedTerms"/>
      </w:pPr>
      <w:r>
        <w:t>electricity corporation</w:t>
      </w:r>
      <w:r>
        <w:tab/>
        <w:t>4(1)</w:t>
      </w:r>
    </w:p>
    <w:p>
      <w:pPr>
        <w:pStyle w:val="DefinedTerms"/>
      </w:pPr>
      <w:r>
        <w:t>energy</w:t>
      </w:r>
      <w:r>
        <w:tab/>
        <w:t>4(1)</w:t>
      </w:r>
    </w:p>
    <w:p>
      <w:pPr>
        <w:pStyle w:val="DefinedTerms"/>
      </w:pPr>
      <w:r>
        <w:t>energy operator</w:t>
      </w:r>
      <w:r>
        <w:tab/>
        <w:t>4(1)</w:t>
      </w:r>
    </w:p>
    <w:p>
      <w:pPr>
        <w:pStyle w:val="DefinedTerms"/>
      </w:pPr>
      <w:r>
        <w:t>generating works</w:t>
      </w:r>
      <w:r>
        <w:tab/>
        <w:t>4(1), 45(4A)</w:t>
      </w:r>
    </w:p>
    <w:p>
      <w:pPr>
        <w:pStyle w:val="DefinedTerms"/>
      </w:pPr>
      <w:r>
        <w:t>government department</w:t>
      </w:r>
      <w:r>
        <w:tab/>
        <w:t>4(1)</w:t>
      </w:r>
    </w:p>
    <w:p>
      <w:pPr>
        <w:pStyle w:val="DefinedTerms"/>
      </w:pPr>
      <w:r>
        <w:t>inspector</w:t>
      </w:r>
      <w:r>
        <w:tab/>
        <w:t>4(1)</w:t>
      </w:r>
    </w:p>
    <w:p>
      <w:pPr>
        <w:pStyle w:val="DefinedTerms"/>
      </w:pPr>
      <w:r>
        <w:t>land</w:t>
      </w:r>
      <w:r>
        <w:tab/>
        <w:t>4(1), 36</w:t>
      </w:r>
    </w:p>
    <w:p>
      <w:pPr>
        <w:pStyle w:val="DefinedTerms"/>
      </w:pPr>
      <w:r>
        <w:t>liquid petroleum gas</w:t>
      </w:r>
      <w:r>
        <w:tab/>
        <w:t>4(1)</w:t>
      </w:r>
    </w:p>
    <w:p>
      <w:pPr>
        <w:pStyle w:val="DefinedTerms"/>
      </w:pPr>
      <w:r>
        <w:t>meter</w:t>
      </w:r>
      <w:r>
        <w:tab/>
        <w:t>4(1)</w:t>
      </w:r>
    </w:p>
    <w:p>
      <w:pPr>
        <w:pStyle w:val="DefinedTerms"/>
      </w:pPr>
      <w:r>
        <w:t>officer</w:t>
      </w:r>
      <w:r>
        <w:tab/>
        <w:t>4(1)</w:t>
      </w:r>
    </w:p>
    <w:p>
      <w:pPr>
        <w:pStyle w:val="DefinedTerms"/>
      </w:pPr>
      <w:r>
        <w:t>power of entry</w:t>
      </w:r>
      <w:r>
        <w:tab/>
        <w:t>46(1)</w:t>
      </w:r>
    </w:p>
    <w:p>
      <w:pPr>
        <w:pStyle w:val="DefinedTerms"/>
      </w:pPr>
      <w:r>
        <w:t>premises</w:t>
      </w:r>
      <w:r>
        <w:tab/>
        <w:t>4(1)</w:t>
      </w:r>
    </w:p>
    <w:p>
      <w:pPr>
        <w:pStyle w:val="DefinedTerms"/>
      </w:pPr>
      <w:r>
        <w:t>relevant Minister</w:t>
      </w:r>
      <w:r>
        <w:tab/>
        <w:t>45(16)</w:t>
      </w:r>
    </w:p>
    <w:p>
      <w:pPr>
        <w:pStyle w:val="DefinedTerms"/>
      </w:pPr>
      <w:r>
        <w:t>service apparatus</w:t>
      </w:r>
      <w:r>
        <w:tab/>
        <w:t>4(1)</w:t>
      </w:r>
    </w:p>
    <w:p>
      <w:pPr>
        <w:pStyle w:val="DefinedTerms"/>
      </w:pPr>
      <w:r>
        <w:t>specified</w:t>
      </w:r>
      <w:r>
        <w:tab/>
        <w:t>125(2)</w:t>
      </w:r>
    </w:p>
    <w:p>
      <w:pPr>
        <w:pStyle w:val="DefinedTerms"/>
      </w:pPr>
      <w:r>
        <w:t>street</w:t>
      </w:r>
      <w:r>
        <w:tab/>
        <w:t>4(1)</w:t>
      </w:r>
    </w:p>
    <w:p>
      <w:pPr>
        <w:pStyle w:val="DefinedTerms"/>
      </w:pPr>
      <w:r>
        <w:t>supply or sale</w:t>
      </w:r>
      <w:r>
        <w:tab/>
        <w:t>60(1)</w:t>
      </w:r>
    </w:p>
    <w:p>
      <w:pPr>
        <w:pStyle w:val="DefinedTerms"/>
      </w:pPr>
      <w:r>
        <w:t>supply system</w:t>
      </w:r>
      <w:r>
        <w:tab/>
        <w:t>4(1)</w:t>
      </w:r>
    </w:p>
    <w:p>
      <w:pPr>
        <w:pStyle w:val="DefinedTerms"/>
      </w:pPr>
      <w:r>
        <w:t>system emergency</w:t>
      </w:r>
      <w:r>
        <w:tab/>
        <w:t>4(1), 57(1)</w:t>
      </w:r>
    </w:p>
    <w:p>
      <w:pPr>
        <w:pStyle w:val="DefinedTerms"/>
      </w:pPr>
      <w:r>
        <w:t>terms</w:t>
      </w:r>
      <w:r>
        <w:tab/>
        <w:t>60(1)</w:t>
      </w:r>
    </w:p>
    <w:p>
      <w:pPr>
        <w:pStyle w:val="DefinedTerms"/>
      </w:pPr>
      <w:r>
        <w:t>transfer event</w:t>
      </w:r>
      <w:r>
        <w:tab/>
        <w:t>43(1aa)</w:t>
      </w:r>
    </w:p>
    <w:p>
      <w:pPr>
        <w:pStyle w:val="DefinedTerms"/>
      </w:pPr>
      <w:r>
        <w:t>undertaking</w:t>
      </w:r>
      <w:r>
        <w:tab/>
        <w:t>4(1)</w:t>
      </w:r>
    </w:p>
    <w:p>
      <w:pPr>
        <w:pStyle w:val="DefinedTerms"/>
      </w:pPr>
      <w:r>
        <w:t>works</w:t>
      </w:r>
      <w:r>
        <w:tab/>
        <w:t>4(1)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E0DBCE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24B2E39" w14:textId="6D22D424" w:rsidR="00A44D5C" w:rsidRDefault="00F30CD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76030">
                        <w:rPr>
                          <w:sz w:val="16"/>
                        </w:rPr>
                        <w:t>2024</w:t>
                      </w:r>
                      <w:r>
                        <w:rPr>
                          <w:sz w:val="16"/>
                        </w:rPr>
                        <w:fldChar w:fldCharType="end"/>
                      </w:r>
                      <w:r>
                        <w:rPr>
                          <w:sz w:val="16"/>
                        </w:rPr>
                        <w:t>.</w:t>
                      </w:r>
                    </w:p>
                    <w:p w14:paraId="3938F90E" w14:textId="77777777" w:rsidR="00A44D5C" w:rsidRDefault="00F30CD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9B75857" w14:textId="3D814DD6" w:rsidR="00A44D5C" w:rsidRDefault="00F30CD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76030">
                        <w:rPr>
                          <w:sz w:val="16"/>
                        </w:rPr>
                        <w:t>2024</w:t>
                      </w:r>
                      <w:r>
                        <w:rPr>
                          <w:sz w:val="16"/>
                        </w:rPr>
                        <w:fldChar w:fldCharType="end"/>
                      </w:r>
                      <w:r>
                        <w:rPr>
                          <w:sz w:val="16"/>
                        </w:rPr>
                        <w:t>.</w:t>
                      </w:r>
                    </w:p>
                    <w:p w14:paraId="69C4DBAB" w14:textId="77777777" w:rsidR="00A44D5C" w:rsidRDefault="00F30CD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612"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400"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5" w:name="DefinedTerms"/>
    <w:bookmarkEnd w:id="7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1265A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28C24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782E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10F8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FAD3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484B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4ADD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112AD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72E5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A465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068740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06142900"/>
    <w:docVar w:name="WAFER_20131231111053" w:val="RemoveTocBookmarks,RemoveUnusedBookmarks,RemoveLanguageTags,UsedStyles,ResetPageSize,UpdateArrangement"/>
    <w:docVar w:name="WAFER_20131231111053_GUID" w:val="b59569cd-74ed-4f15-8a9b-b84048024ebc"/>
    <w:docVar w:name="WAFER_20131231133846" w:val="RemoveTocBookmarks,RunningHeaders"/>
    <w:docVar w:name="WAFER_20131231133846_GUID" w:val="0982d71b-b9da-479d-9ccf-914a67e4deb1"/>
    <w:docVar w:name="WAFER_20150414151041" w:val="ResetPageSize,UpdateArrangement,UpdateNTable"/>
    <w:docVar w:name="WAFER_20150414151041_GUID" w:val="51147d9c-fcf3-4fd3-8d10-e69045d7e7d5"/>
    <w:docVar w:name="WAFER_20151105123803" w:val="UpdateStyles,UsedStyles"/>
    <w:docVar w:name="WAFER_20151105123803_GUID" w:val="891394cf-4160-4d95-a928-765e5994ee40"/>
    <w:docVar w:name="WAFER_20190227134441" w:val="RemoveTocBookmarks,RemoveUnusedBookmarks,RemoveLanguageTags,UpdateStyles,UsedStyles,ResetPageSize,RemoveCustomizations"/>
    <w:docVar w:name="WAFER_20190227134441_GUID" w:val="7452747a-739f-4611-bacb-4817444457c8"/>
    <w:docVar w:name="WAFER_20190319140256" w:val="RemoveTocBookmarks,RemoveUnusedBookmarks,RemoveLanguageTags,ResetPageSize,RunningHeaders,UpdateStyles,UsedStyles"/>
    <w:docVar w:name="WAFER_20190319140256_GUID" w:val="21ffa18a-3a4a-4a2b-ac4f-1f7251bf82ec"/>
    <w:docVar w:name="WAFER_20200407161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61209_GUID" w:val="a3553b26-7b82-4bd0-90f3-74bdfeeb3211"/>
    <w:docVar w:name="WAFER_2024030614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06142900_GUID" w:val="700cf670-2ca6-4433-b9ee-6a5e85164b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DAD21-49BB-4168-BE8A-653ED625D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30984</Words>
  <Characters>145008</Characters>
  <Application>Microsoft Office Word</Application>
  <DocSecurity>0</DocSecurity>
  <Lines>3718</Lines>
  <Paragraphs>1466</Paragraphs>
  <ScaleCrop>false</ScaleCrop>
  <HeadingPairs>
    <vt:vector size="2" baseType="variant">
      <vt:variant>
        <vt:lpstr>Title</vt:lpstr>
      </vt:variant>
      <vt:variant>
        <vt:i4>1</vt:i4>
      </vt:variant>
    </vt:vector>
  </HeadingPairs>
  <TitlesOfParts>
    <vt:vector size="1" baseType="lpstr">
      <vt:lpstr>Energy Operators (Powers) Act 1979</vt:lpstr>
    </vt:vector>
  </TitlesOfParts>
  <Manager/>
  <Company/>
  <LinksUpToDate>false</LinksUpToDate>
  <CharactersWithSpaces>174526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1979 - 06-d0-00</dc:title>
  <dc:subject/>
  <dc:creator/>
  <cp:keywords/>
  <dc:description/>
  <cp:lastModifiedBy>Master Repository Process</cp:lastModifiedBy>
  <cp:revision>4</cp:revision>
  <cp:lastPrinted>2019-06-18T01:34:00Z</cp:lastPrinted>
  <dcterms:created xsi:type="dcterms:W3CDTF">2025-06-06T02:44:00Z</dcterms:created>
  <dcterms:modified xsi:type="dcterms:W3CDTF">2025-06-06T02:45:00Z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DocumentType">
    <vt:lpwstr>Act</vt:lpwstr>
  </property>
  <property fmtid="{D5CDD505-2E9C-101B-9397-08002B2CF9AE}" pid="4" name="OwlsUID">
    <vt:i4>250</vt:i4>
  </property>
  <property fmtid="{D5CDD505-2E9C-101B-9397-08002B2CF9AE}" pid="5" name="ReprintedAsAt">
    <vt:filetime>2019-06-13T16:00:00Z</vt:filetime>
  </property>
  <property fmtid="{D5CDD505-2E9C-101B-9397-08002B2CF9AE}" pid="6" name="ReprintNo">
    <vt:lpwstr>6</vt:lpwstr>
  </property>
  <property fmtid="{D5CDD505-2E9C-101B-9397-08002B2CF9AE}" pid="7" name="AsAtDate">
    <vt:lpwstr>07 Mar 2024</vt:lpwstr>
  </property>
  <property fmtid="{D5CDD505-2E9C-101B-9397-08002B2CF9AE}" pid="8" name="Suffix">
    <vt:lpwstr>06-d0-00</vt:lpwstr>
  </property>
  <property fmtid="{D5CDD505-2E9C-101B-9397-08002B2CF9AE}" pid="9" name="Official">
    <vt:lpwstr/>
  </property>
  <property fmtid="{D5CDD505-2E9C-101B-9397-08002B2CF9AE}" pid="10" name="CommencementDate">
    <vt:lpwstr>20240307</vt:lpwstr>
  </property>
  <property fmtid="{D5CDD505-2E9C-101B-9397-08002B2CF9AE}" pid="11" name="CommencementAsAt">
    <vt:filetime>2024-03-06T16:00:00Z</vt:filetime>
  </property>
  <property fmtid="{D5CDD505-2E9C-101B-9397-08002B2CF9AE}" pid="12" name="CommencementYear">
    <vt:lpwstr>2024</vt:lpwstr>
  </property>
</Properties>
</file>