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Parking Management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Parking Management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_Toc160806144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_Toc160806145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_Toc160806147 \h </w:instrText>
      </w:r>
      <w:r>
        <w:fldChar w:fldCharType="separate"/>
      </w:r>
      <w:r>
        <w:t>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_Toc160806148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Perth Parking Management Act 2024</w:t>
      </w:r>
    </w:p>
    <w:p>
      <w:pPr>
        <w:pStyle w:val="LongTitle"/>
      </w:pPr>
      <w:r>
        <w:t>An Act —</w:t>
      </w:r>
    </w:p>
    <w:p>
      <w:pPr>
        <w:pStyle w:val="LongTitle"/>
        <w:numPr>
          <w:ilvl w:val="0"/>
          <w:numId w:val="2"/>
        </w:numPr>
      </w:pPr>
      <w:r>
        <w:t>to provide for licensing and authorising of parking spaces in the parking management area in the metropolitan region to manage parking; and</w:t>
      </w:r>
    </w:p>
    <w:p>
      <w:pPr>
        <w:pStyle w:val="LongTitle"/>
        <w:numPr>
          <w:ilvl w:val="0"/>
          <w:numId w:val="2"/>
        </w:numPr>
      </w:pPr>
      <w:r>
        <w:t>to provide that licence fees and other revenue under this Act may be used to improve transport, accessibility, economic activity or urban amenity for the benefit of the parking management area; and</w:t>
      </w:r>
    </w:p>
    <w:p>
      <w:pPr>
        <w:pStyle w:val="LongTitle"/>
        <w:numPr>
          <w:ilvl w:val="0"/>
          <w:numId w:val="2"/>
        </w:numPr>
      </w:pPr>
      <w:r>
        <w:t xml:space="preserve">to repeal the </w:t>
      </w:r>
      <w:r>
        <w:rPr>
          <w:i/>
        </w:rPr>
        <w:t>Perth Parking Management Act 1999</w:t>
      </w:r>
      <w:r>
        <w:t xml:space="preserve">, the </w:t>
      </w:r>
      <w:r>
        <w:rPr>
          <w:i/>
        </w:rPr>
        <w:t>Perth Parking Management (Taxing) Act 1999</w:t>
      </w:r>
      <w:r>
        <w:t xml:space="preserve"> and the </w:t>
      </w:r>
      <w:r>
        <w:rPr>
          <w:i/>
        </w:rPr>
        <w:t>Perth Parking Management Regulations 1999</w:t>
      </w:r>
      <w:r>
        <w:t>;</w:t>
      </w:r>
      <w:r>
        <w:rPr>
          <w:b w:val="0"/>
        </w:rPr>
        <w:t xml:space="preserve"> </w:t>
      </w:r>
      <w:r>
        <w:t>and</w:t>
      </w:r>
    </w:p>
    <w:p>
      <w:pPr>
        <w:pStyle w:val="LongTitle"/>
        <w:numPr>
          <w:ilvl w:val="0"/>
          <w:numId w:val="2"/>
        </w:numPr>
      </w:pPr>
      <w:r>
        <w:t xml:space="preserve">to make a consequential amendment to the </w:t>
      </w:r>
      <w:r>
        <w:rPr>
          <w:i/>
        </w:rPr>
        <w:t>Sentencing Act 1995</w:t>
      </w:r>
      <w:r>
        <w:t>; and</w:t>
      </w:r>
    </w:p>
    <w:p>
      <w:pPr>
        <w:pStyle w:val="LongTitle"/>
        <w:numPr>
          <w:ilvl w:val="0"/>
          <w:numId w:val="2"/>
        </w:numPr>
      </w:pPr>
      <w:r>
        <w:t>for related purposes.</w:t>
      </w:r>
    </w:p>
    <w:p>
      <w:pPr>
        <w:pStyle w:val="Enactment"/>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0790406"/>
      <w:bookmarkStart w:id="3" w:name="_Toc160790667"/>
      <w:bookmarkStart w:id="4" w:name="_Toc160794257"/>
      <w:bookmarkStart w:id="5" w:name="_Toc160805146"/>
      <w:bookmarkStart w:id="6" w:name="_Toc160805179"/>
      <w:bookmarkStart w:id="7" w:name="_Toc16080614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60806144"/>
      <w:r>
        <w:rPr>
          <w:rStyle w:val="CharSectno"/>
        </w:rPr>
        <w:t>1</w:t>
      </w:r>
      <w:r>
        <w:t>.</w:t>
      </w:r>
      <w:r>
        <w:tab/>
        <w:t>Short title</w:t>
      </w:r>
      <w:bookmarkEnd w:id="8"/>
    </w:p>
    <w:p>
      <w:pPr>
        <w:pStyle w:val="Subsection"/>
      </w:pPr>
      <w:r>
        <w:tab/>
      </w:r>
      <w:r>
        <w:tab/>
        <w:t>This is the</w:t>
      </w:r>
      <w:r>
        <w:rPr>
          <w:i/>
        </w:rPr>
        <w:t xml:space="preserve"> Perth Parking Management Act 2024</w:t>
      </w:r>
      <w:r>
        <w:t>.</w:t>
      </w:r>
    </w:p>
    <w:p>
      <w:pPr>
        <w:pStyle w:val="Heading5"/>
      </w:pPr>
      <w:bookmarkStart w:id="9" w:name="_Toc160806145"/>
      <w:r>
        <w:rPr>
          <w:rStyle w:val="CharSectno"/>
        </w:rPr>
        <w:t>2</w:t>
      </w:r>
      <w:r>
        <w:t>.</w:t>
      </w:r>
      <w:r>
        <w:tab/>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to 10) — on the day on which this Act receives the Royal Assent (</w:t>
      </w:r>
      <w:r>
        <w:rPr>
          <w:rStyle w:val="CharDefText"/>
        </w:rPr>
        <w:t>assent day</w:t>
      </w:r>
      <w:r>
        <w:t>);</w:t>
      </w:r>
    </w:p>
    <w:p>
      <w:pPr>
        <w:pStyle w:val="Indenta"/>
      </w:pPr>
      <w:r>
        <w:tab/>
        <w:t>(b)</w:t>
      </w:r>
      <w:r>
        <w:tab/>
        <w:t>section 188 and Part 12 — on the day after assent day;</w:t>
      </w:r>
    </w:p>
    <w:p>
      <w:pPr>
        <w:pStyle w:val="Indenta"/>
      </w:pPr>
      <w:r>
        <w:tab/>
        <w:t>(c)</w:t>
      </w:r>
      <w:r>
        <w:tab/>
        <w:t>the rest of the Act — on a day fixed by proclamation.</w:t>
      </w:r>
    </w:p>
    <w:p>
      <w:pPr>
        <w:pStyle w:val="Ednotesection"/>
      </w:pPr>
      <w:r>
        <w:t>[</w:t>
      </w:r>
      <w:r>
        <w:rPr>
          <w:b/>
          <w:bCs/>
        </w:rPr>
        <w:t>3-10</w:t>
      </w:r>
      <w:r>
        <w:tab/>
        <w:t>Have not come into operation.]</w:t>
      </w:r>
    </w:p>
    <w:p>
      <w:pPr>
        <w:pStyle w:val="Ednotepart"/>
        <w:ind w:left="1276" w:hanging="1276"/>
      </w:pPr>
      <w:r>
        <w:t>[Parts 2</w:t>
      </w:r>
      <w:r>
        <w:noBreakHyphen/>
        <w:t>12 have not come into operation.]</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pPr>
      <w:bookmarkStart w:id="10" w:name="_Toc160805149"/>
      <w:bookmarkStart w:id="11" w:name="_Toc160805182"/>
      <w:bookmarkStart w:id="12" w:name="_Toc160806146"/>
      <w:bookmarkStart w:id="13" w:name="_Toc160790666"/>
      <w:bookmarkStart w:id="14" w:name="_Toc160790927"/>
      <w:bookmarkStart w:id="15" w:name="_Toc160794517"/>
      <w:r>
        <w:lastRenderedPageBreak/>
        <w:t>Notes</w:t>
      </w:r>
      <w:bookmarkEnd w:id="10"/>
      <w:bookmarkEnd w:id="11"/>
      <w:bookmarkEnd w:id="12"/>
    </w:p>
    <w:p>
      <w:pPr>
        <w:pStyle w:val="nStatement"/>
      </w:pPr>
      <w:r>
        <w:t xml:space="preserve">This is a compilation of the </w:t>
      </w:r>
      <w:r>
        <w:rPr>
          <w:i/>
          <w:noProof/>
        </w:rPr>
        <w:t>Perth Parking Management Act 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6" w:name="_Toc160806147"/>
      <w:r>
        <w:t>Compilation table</w:t>
      </w:r>
      <w:bookmarkEnd w:id="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Perth Parking Management Act 2024 </w:t>
            </w:r>
            <w:r>
              <w:rPr>
                <w:iCs/>
                <w:noProof/>
              </w:rPr>
              <w:t>Pt. 1 (other than s. 3-10)</w:t>
            </w:r>
          </w:p>
        </w:tc>
        <w:tc>
          <w:tcPr>
            <w:tcW w:w="1134" w:type="dxa"/>
          </w:tcPr>
          <w:p>
            <w:pPr>
              <w:pStyle w:val="nTable"/>
              <w:spacing w:after="40"/>
            </w:pPr>
            <w:r>
              <w:t>2 of 2024</w:t>
            </w:r>
          </w:p>
        </w:tc>
        <w:tc>
          <w:tcPr>
            <w:tcW w:w="1134" w:type="dxa"/>
          </w:tcPr>
          <w:p>
            <w:pPr>
              <w:pStyle w:val="nTable"/>
              <w:spacing w:after="40"/>
            </w:pPr>
            <w:r>
              <w:t>7 Mar 2024</w:t>
            </w:r>
          </w:p>
        </w:tc>
        <w:tc>
          <w:tcPr>
            <w:tcW w:w="2552" w:type="dxa"/>
          </w:tcPr>
          <w:p>
            <w:pPr>
              <w:pStyle w:val="nTable"/>
              <w:spacing w:after="40"/>
            </w:pPr>
            <w:r>
              <w:t>7 Mar 2024 (see s. 2(a))</w:t>
            </w:r>
          </w:p>
        </w:tc>
      </w:tr>
    </w:tbl>
    <w:p>
      <w:pPr>
        <w:pStyle w:val="nHeading3"/>
      </w:pPr>
      <w:bookmarkStart w:id="17" w:name="_Toc160806148"/>
      <w:r>
        <w:t>Uncommenced provisions table</w:t>
      </w:r>
      <w:bookmarkEnd w:id="1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nil"/>
            </w:tcBorders>
          </w:tcPr>
          <w:p>
            <w:pPr>
              <w:pStyle w:val="nTable"/>
              <w:spacing w:after="40"/>
              <w:rPr>
                <w:b/>
              </w:rPr>
            </w:pPr>
            <w:r>
              <w:rPr>
                <w:b/>
              </w:rPr>
              <w:t>Short title</w:t>
            </w:r>
          </w:p>
        </w:tc>
        <w:tc>
          <w:tcPr>
            <w:tcW w:w="1134" w:type="dxa"/>
            <w:tcBorders>
              <w:bottom w:val="nil"/>
            </w:tcBorders>
          </w:tcPr>
          <w:p>
            <w:pPr>
              <w:pStyle w:val="nTable"/>
              <w:spacing w:after="40"/>
              <w:rPr>
                <w:b/>
              </w:rPr>
            </w:pPr>
            <w:r>
              <w:rPr>
                <w:b/>
              </w:rPr>
              <w:t>Number and year</w:t>
            </w:r>
          </w:p>
        </w:tc>
        <w:tc>
          <w:tcPr>
            <w:tcW w:w="1134" w:type="dxa"/>
            <w:tcBorders>
              <w:bottom w:val="nil"/>
            </w:tcBorders>
          </w:tcPr>
          <w:p>
            <w:pPr>
              <w:pStyle w:val="nTable"/>
              <w:spacing w:after="40"/>
              <w:rPr>
                <w:b/>
              </w:rPr>
            </w:pPr>
            <w:r>
              <w:rPr>
                <w:b/>
              </w:rPr>
              <w:t>Assent</w:t>
            </w:r>
          </w:p>
        </w:tc>
        <w:tc>
          <w:tcPr>
            <w:tcW w:w="2552" w:type="dxa"/>
            <w:tcBorders>
              <w:bottom w:val="nil"/>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noProof/>
              </w:rPr>
              <w:t xml:space="preserve">Perth Parking Management Act 2024 </w:t>
            </w:r>
            <w:r>
              <w:rPr>
                <w:iCs/>
                <w:noProof/>
              </w:rPr>
              <w:t>s. 3-10 and Pt. 2</w:t>
            </w:r>
            <w:r>
              <w:rPr>
                <w:iCs/>
                <w:noProof/>
              </w:rPr>
              <w:noBreakHyphen/>
              <w:t>12</w:t>
            </w:r>
          </w:p>
        </w:tc>
        <w:tc>
          <w:tcPr>
            <w:tcW w:w="1134" w:type="dxa"/>
            <w:tcBorders>
              <w:top w:val="nil"/>
              <w:bottom w:val="nil"/>
            </w:tcBorders>
          </w:tcPr>
          <w:p>
            <w:pPr>
              <w:pStyle w:val="nTable"/>
              <w:spacing w:after="40"/>
            </w:pPr>
            <w:r>
              <w:t>2 of 2024</w:t>
            </w:r>
          </w:p>
        </w:tc>
        <w:tc>
          <w:tcPr>
            <w:tcW w:w="1134" w:type="dxa"/>
            <w:tcBorders>
              <w:top w:val="nil"/>
              <w:bottom w:val="nil"/>
            </w:tcBorders>
          </w:tcPr>
          <w:p>
            <w:pPr>
              <w:pStyle w:val="nTable"/>
              <w:spacing w:after="40"/>
            </w:pPr>
            <w:r>
              <w:t>7 Mar 2024</w:t>
            </w:r>
          </w:p>
        </w:tc>
        <w:tc>
          <w:tcPr>
            <w:tcW w:w="2552" w:type="dxa"/>
            <w:tcBorders>
              <w:top w:val="nil"/>
              <w:bottom w:val="nil"/>
            </w:tcBorders>
          </w:tcPr>
          <w:p>
            <w:pPr>
              <w:pStyle w:val="nTable"/>
              <w:spacing w:after="40"/>
            </w:pPr>
            <w:r>
              <w:t>s. 188 and Pt. 12: 8 Mar 2024 (see s. 2(b));</w:t>
            </w:r>
            <w:r>
              <w:br/>
              <w:t>Act other than Pt. 1 (s. 1 and 2 only), s. 188 and Pt. 12: to be proclaimed (see s. 2(c))</w:t>
            </w:r>
          </w:p>
        </w:tc>
      </w:tr>
      <w:tr>
        <w:tc>
          <w:tcPr>
            <w:tcW w:w="2268" w:type="dxa"/>
            <w:tcBorders>
              <w:top w:val="nil"/>
              <w:bottom w:val="single" w:sz="4" w:space="0" w:color="auto"/>
            </w:tcBorders>
          </w:tcPr>
          <w:p>
            <w:pPr>
              <w:pStyle w:val="nTable"/>
              <w:spacing w:after="40"/>
              <w:rPr>
                <w:i/>
                <w:noProof/>
              </w:rPr>
            </w:pPr>
            <w:r>
              <w:rPr>
                <w:i/>
                <w:noProof/>
              </w:rPr>
              <w:t xml:space="preserve">Perth Parking Management Amendment Act 2024 </w:t>
            </w:r>
            <w:r>
              <w:rPr>
                <w:iCs/>
                <w:noProof/>
              </w:rPr>
              <w:t>s. 3 and 4</w:t>
            </w:r>
          </w:p>
        </w:tc>
        <w:tc>
          <w:tcPr>
            <w:tcW w:w="1134" w:type="dxa"/>
            <w:tcBorders>
              <w:top w:val="nil"/>
              <w:bottom w:val="single" w:sz="4" w:space="0" w:color="auto"/>
            </w:tcBorders>
          </w:tcPr>
          <w:p>
            <w:pPr>
              <w:pStyle w:val="nTable"/>
              <w:spacing w:after="40"/>
            </w:pPr>
            <w:r>
              <w:t>3 of 2024</w:t>
            </w:r>
          </w:p>
        </w:tc>
        <w:tc>
          <w:tcPr>
            <w:tcW w:w="1134" w:type="dxa"/>
            <w:tcBorders>
              <w:top w:val="nil"/>
              <w:bottom w:val="single" w:sz="4" w:space="0" w:color="auto"/>
            </w:tcBorders>
          </w:tcPr>
          <w:p>
            <w:pPr>
              <w:pStyle w:val="nTable"/>
              <w:spacing w:after="40"/>
            </w:pPr>
            <w:r>
              <w:t>7 Mar 2024</w:t>
            </w:r>
          </w:p>
        </w:tc>
        <w:tc>
          <w:tcPr>
            <w:tcW w:w="2552" w:type="dxa"/>
            <w:tcBorders>
              <w:top w:val="nil"/>
              <w:bottom w:val="single" w:sz="4" w:space="0" w:color="auto"/>
            </w:tcBorders>
          </w:tcPr>
          <w:p>
            <w:pPr>
              <w:pStyle w:val="nTable"/>
              <w:spacing w:after="40"/>
            </w:pPr>
            <w:r>
              <w:t xml:space="preserve">Operative on the day on which the </w:t>
            </w:r>
            <w:r>
              <w:rPr>
                <w:i/>
                <w:iCs/>
              </w:rPr>
              <w:t>Perth Parking Management Act 2024</w:t>
            </w:r>
            <w:r>
              <w:t xml:space="preserve"> s. 3 comes into operation (see s. 2(b))</w:t>
            </w:r>
          </w:p>
        </w:tc>
      </w:tr>
    </w:tbl>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19" w:name="_Toc160806149"/>
      <w:bookmarkEnd w:id="13"/>
      <w:bookmarkEnd w:id="14"/>
      <w:bookmarkEnd w:id="15"/>
      <w:r>
        <w:rPr>
          <w:sz w:val="28"/>
        </w:rPr>
        <w:lastRenderedPageBreak/>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assent day</w:t>
      </w:r>
      <w:r>
        <w:tab/>
        <w:t>2</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0F3DAD"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52ACA6E6" w14:textId="3B2885D8" w:rsidR="0052779E" w:rsidRDefault="0052779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A135D">
                        <w:rPr>
                          <w:sz w:val="16"/>
                        </w:rPr>
                        <w:t>2024</w:t>
                      </w:r>
                      <w:r>
                        <w:rPr>
                          <w:sz w:val="16"/>
                        </w:rPr>
                        <w:fldChar w:fldCharType="end"/>
                      </w:r>
                      <w:r>
                        <w:rPr>
                          <w:sz w:val="16"/>
                        </w:rPr>
                        <w:t>.</w:t>
                      </w:r>
                    </w:p>
                    <w:p w14:paraId="448B9B59" w14:textId="77777777" w:rsidR="0052779E" w:rsidRDefault="0052779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D37E59" w14:textId="1DD875C1" w:rsidR="0052779E" w:rsidRDefault="0052779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A135D">
                        <w:rPr>
                          <w:sz w:val="16"/>
                        </w:rPr>
                        <w:t>2024</w:t>
                      </w:r>
                      <w:r>
                        <w:rPr>
                          <w:sz w:val="16"/>
                        </w:rPr>
                        <w:fldChar w:fldCharType="end"/>
                      </w:r>
                      <w:r>
                        <w:rPr>
                          <w:sz w:val="16"/>
                        </w:rPr>
                        <w:t>.</w:t>
                      </w:r>
                    </w:p>
                    <w:p w14:paraId="5EA2EE14" w14:textId="77777777" w:rsidR="0052779E" w:rsidRDefault="0052779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3471D"/>
    <w:multiLevelType w:val="hybridMultilevel"/>
    <w:tmpl w:val="E604C5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4"/>
  </w:num>
  <w:num w:numId="4">
    <w:abstractNumId w:val="12"/>
  </w:num>
  <w:num w:numId="5">
    <w:abstractNumId w:val="19"/>
  </w:num>
  <w:num w:numId="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40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3081132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12051623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5162346_GUID" w:val="caaf1470-4782-4d98-8d0d-80faf0b446b9"/>
    <w:docVar w:name="WAFER_202212080904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8090407_GUID" w:val="4f00a0f7-8300-45a5-9ee9-affa60320367"/>
    <w:docVar w:name="WAFER_202212091249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9124944_GUID" w:val="7a57b081-0d2b-4baf-8385-bd07559ad69c"/>
    <w:docVar w:name="WAFER_202302131315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13131515_GUID" w:val="7267c44c-c699-4cd9-ad66-edacff9f660f"/>
    <w:docVar w:name="WAFER_20230215124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15124936_GUID" w:val="32bd838c-4307-4c50-a959-be3e3f95a740"/>
    <w:docVar w:name="WAFER_202303010851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1085129_GUID" w:val="bacca100-06d8-4dde-b110-22d455896410"/>
    <w:docVar w:name="WAFER_202303100853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10085317_GUID" w:val="c0895a69-c548-4c30-89d9-dc25adfcff1d"/>
    <w:docVar w:name="WAFER_20230315153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15153706_GUID" w:val="82ca9436-6838-4b1d-825f-c33d1005aad8"/>
    <w:docVar w:name="WAFER_202303161348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16134803_GUID" w:val="28923b19-adaa-4979-aece-2b16b551b6c1"/>
    <w:docVar w:name="WAFER_20230403125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03125714_GUID" w:val="0ea3f59e-63b3-4a5d-8b68-94968ded76a0"/>
    <w:docVar w:name="WAFER_20230403140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03140011_GUID" w:val="624d8ff5-2ddd-4d25-9f17-fac7bffb4b3b"/>
    <w:docVar w:name="WAFER_20230411083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1083937_GUID" w:val="1f49d5e1-76aa-402b-ace4-694f12a41f36"/>
    <w:docVar w:name="WAFER_2023041108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1084102_GUID" w:val="40fc77ee-a6ee-4d01-8d6b-e421ea303a16"/>
    <w:docVar w:name="WAFER_20230417101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7101043_GUID" w:val="36b0aae3-2c8f-4574-bdf3-2b0285c499dd"/>
    <w:docVar w:name="WAFER_20230427121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27121541_GUID" w:val="4c1cbe85-72a9-4a27-a01e-ead10d4c2157"/>
    <w:docVar w:name="WAFER_20230501122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01122112_GUID" w:val="0f767a41-a1c8-4812-879e-7b5c316e4c34"/>
    <w:docVar w:name="WAFER_20230505091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5091657_GUID" w:val="f5824eb0-cd86-4e00-b516-ccc89c688d38"/>
    <w:docVar w:name="WAFER_20230508110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08110739_GUID" w:val="0fbf5fe7-1c8e-4085-a60f-f56ff99a240e"/>
    <w:docVar w:name="WAFER_20230525082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25082826_GUID" w:val="6d510e40-aecf-4219-91df-99787b1f8a5a"/>
    <w:docVar w:name="WAFER_20230525094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30525094136_GUID" w:val="95e80725-1a8d-4efb-aa66-1b6475453840"/>
    <w:docVar w:name="WAFER_20230531130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31130621_GUID" w:val="ae04f403-bab3-4945-8ca3-3b711d552444"/>
    <w:docVar w:name="WAFER_20230601134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34611_GUID" w:val="27b3b19a-73ca-4740-a16b-92c15dd8c78e"/>
    <w:docVar w:name="WAFER_2023060115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53849_GUID" w:val="41520915-08f8-4e74-aa83-30ee88172883"/>
    <w:docVar w:name="WAFER_2023060915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9154252_GUID" w:val="e14d874c-1c66-499a-8342-eafa4576cbfc"/>
    <w:docVar w:name="WAFER_20230805150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30805150734_GUID" w:val="b1918f4b-7948-4eb4-ade0-22f02e972a82"/>
    <w:docVar w:name="WAFER_20240308113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08113206_GUID" w:val="64de75e5-0b21-4b4a-9112-202a5e7beb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4081"/>
    <o:shapelayout v:ext="edit">
      <o:idmap v:ext="edit" data="1"/>
    </o:shapelayout>
  </w:shapeDefaults>
  <w:decimalSymbol w:val="."/>
  <w:listSeparator w:val=","/>
  <w15:docId w15:val="{31E0F8A5-3486-4F9B-96EF-E6B19B5D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uiPriority w:val="22"/>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line="256" w:lineRule="auto"/>
      <w:ind w:left="720"/>
      <w:contextualSpacing/>
    </w:pPr>
    <w:rPr>
      <w:rFonts w:asciiTheme="minorHAnsi" w:eastAsiaTheme="minorHAnsi" w:hAnsiTheme="minorHAnsi" w:cstheme="minorBidi"/>
      <w:sz w:val="22"/>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46975">
      <w:bodyDiv w:val="1"/>
      <w:marLeft w:val="0"/>
      <w:marRight w:val="0"/>
      <w:marTop w:val="0"/>
      <w:marBottom w:val="0"/>
      <w:divBdr>
        <w:top w:val="none" w:sz="0" w:space="0" w:color="auto"/>
        <w:left w:val="none" w:sz="0" w:space="0" w:color="auto"/>
        <w:bottom w:val="none" w:sz="0" w:space="0" w:color="auto"/>
        <w:right w:val="none" w:sz="0" w:space="0" w:color="auto"/>
      </w:divBdr>
    </w:div>
    <w:div w:id="201478570">
      <w:bodyDiv w:val="1"/>
      <w:marLeft w:val="0"/>
      <w:marRight w:val="0"/>
      <w:marTop w:val="0"/>
      <w:marBottom w:val="0"/>
      <w:divBdr>
        <w:top w:val="none" w:sz="0" w:space="0" w:color="auto"/>
        <w:left w:val="none" w:sz="0" w:space="0" w:color="auto"/>
        <w:bottom w:val="none" w:sz="0" w:space="0" w:color="auto"/>
        <w:right w:val="none" w:sz="0" w:space="0" w:color="auto"/>
      </w:divBdr>
    </w:div>
    <w:div w:id="456067326">
      <w:bodyDiv w:val="1"/>
      <w:marLeft w:val="0"/>
      <w:marRight w:val="0"/>
      <w:marTop w:val="0"/>
      <w:marBottom w:val="0"/>
      <w:divBdr>
        <w:top w:val="none" w:sz="0" w:space="0" w:color="auto"/>
        <w:left w:val="none" w:sz="0" w:space="0" w:color="auto"/>
        <w:bottom w:val="none" w:sz="0" w:space="0" w:color="auto"/>
        <w:right w:val="none" w:sz="0" w:space="0" w:color="auto"/>
      </w:divBdr>
    </w:div>
    <w:div w:id="464928257">
      <w:bodyDiv w:val="1"/>
      <w:marLeft w:val="0"/>
      <w:marRight w:val="0"/>
      <w:marTop w:val="0"/>
      <w:marBottom w:val="0"/>
      <w:divBdr>
        <w:top w:val="none" w:sz="0" w:space="0" w:color="auto"/>
        <w:left w:val="none" w:sz="0" w:space="0" w:color="auto"/>
        <w:bottom w:val="none" w:sz="0" w:space="0" w:color="auto"/>
        <w:right w:val="none" w:sz="0" w:space="0" w:color="auto"/>
      </w:divBdr>
    </w:div>
    <w:div w:id="715854292">
      <w:bodyDiv w:val="1"/>
      <w:marLeft w:val="0"/>
      <w:marRight w:val="0"/>
      <w:marTop w:val="0"/>
      <w:marBottom w:val="0"/>
      <w:divBdr>
        <w:top w:val="none" w:sz="0" w:space="0" w:color="auto"/>
        <w:left w:val="none" w:sz="0" w:space="0" w:color="auto"/>
        <w:bottom w:val="none" w:sz="0" w:space="0" w:color="auto"/>
        <w:right w:val="none" w:sz="0" w:space="0" w:color="auto"/>
      </w:divBdr>
    </w:div>
    <w:div w:id="729116575">
      <w:bodyDiv w:val="1"/>
      <w:marLeft w:val="0"/>
      <w:marRight w:val="0"/>
      <w:marTop w:val="0"/>
      <w:marBottom w:val="0"/>
      <w:divBdr>
        <w:top w:val="none" w:sz="0" w:space="0" w:color="auto"/>
        <w:left w:val="none" w:sz="0" w:space="0" w:color="auto"/>
        <w:bottom w:val="none" w:sz="0" w:space="0" w:color="auto"/>
        <w:right w:val="none" w:sz="0" w:space="0" w:color="auto"/>
      </w:divBdr>
    </w:div>
    <w:div w:id="800923501">
      <w:bodyDiv w:val="1"/>
      <w:marLeft w:val="0"/>
      <w:marRight w:val="0"/>
      <w:marTop w:val="0"/>
      <w:marBottom w:val="0"/>
      <w:divBdr>
        <w:top w:val="none" w:sz="0" w:space="0" w:color="auto"/>
        <w:left w:val="none" w:sz="0" w:space="0" w:color="auto"/>
        <w:bottom w:val="none" w:sz="0" w:space="0" w:color="auto"/>
        <w:right w:val="none" w:sz="0" w:space="0" w:color="auto"/>
      </w:divBdr>
    </w:div>
    <w:div w:id="1135414688">
      <w:bodyDiv w:val="1"/>
      <w:marLeft w:val="0"/>
      <w:marRight w:val="0"/>
      <w:marTop w:val="0"/>
      <w:marBottom w:val="0"/>
      <w:divBdr>
        <w:top w:val="none" w:sz="0" w:space="0" w:color="auto"/>
        <w:left w:val="none" w:sz="0" w:space="0" w:color="auto"/>
        <w:bottom w:val="none" w:sz="0" w:space="0" w:color="auto"/>
        <w:right w:val="none" w:sz="0" w:space="0" w:color="auto"/>
      </w:divBdr>
    </w:div>
    <w:div w:id="1653022678">
      <w:bodyDiv w:val="1"/>
      <w:marLeft w:val="0"/>
      <w:marRight w:val="0"/>
      <w:marTop w:val="0"/>
      <w:marBottom w:val="0"/>
      <w:divBdr>
        <w:top w:val="none" w:sz="0" w:space="0" w:color="auto"/>
        <w:left w:val="none" w:sz="0" w:space="0" w:color="auto"/>
        <w:bottom w:val="none" w:sz="0" w:space="0" w:color="auto"/>
        <w:right w:val="none" w:sz="0" w:space="0" w:color="auto"/>
      </w:divBdr>
    </w:div>
    <w:div w:id="1726904207">
      <w:bodyDiv w:val="1"/>
      <w:marLeft w:val="0"/>
      <w:marRight w:val="0"/>
      <w:marTop w:val="0"/>
      <w:marBottom w:val="0"/>
      <w:divBdr>
        <w:top w:val="none" w:sz="0" w:space="0" w:color="auto"/>
        <w:left w:val="none" w:sz="0" w:space="0" w:color="auto"/>
        <w:bottom w:val="none" w:sz="0" w:space="0" w:color="auto"/>
        <w:right w:val="none" w:sz="0" w:space="0" w:color="auto"/>
      </w:divBdr>
    </w:div>
    <w:div w:id="1752727454">
      <w:bodyDiv w:val="1"/>
      <w:marLeft w:val="0"/>
      <w:marRight w:val="0"/>
      <w:marTop w:val="0"/>
      <w:marBottom w:val="0"/>
      <w:divBdr>
        <w:top w:val="none" w:sz="0" w:space="0" w:color="auto"/>
        <w:left w:val="none" w:sz="0" w:space="0" w:color="auto"/>
        <w:bottom w:val="none" w:sz="0" w:space="0" w:color="auto"/>
        <w:right w:val="none" w:sz="0" w:space="0" w:color="auto"/>
      </w:divBdr>
    </w:div>
    <w:div w:id="1860966591">
      <w:bodyDiv w:val="1"/>
      <w:marLeft w:val="0"/>
      <w:marRight w:val="0"/>
      <w:marTop w:val="0"/>
      <w:marBottom w:val="0"/>
      <w:divBdr>
        <w:top w:val="none" w:sz="0" w:space="0" w:color="auto"/>
        <w:left w:val="none" w:sz="0" w:space="0" w:color="auto"/>
        <w:bottom w:val="none" w:sz="0" w:space="0" w:color="auto"/>
        <w:right w:val="none" w:sz="0" w:space="0" w:color="auto"/>
      </w:divBdr>
    </w:div>
    <w:div w:id="1884369406">
      <w:bodyDiv w:val="1"/>
      <w:marLeft w:val="0"/>
      <w:marRight w:val="0"/>
      <w:marTop w:val="0"/>
      <w:marBottom w:val="0"/>
      <w:divBdr>
        <w:top w:val="none" w:sz="0" w:space="0" w:color="auto"/>
        <w:left w:val="none" w:sz="0" w:space="0" w:color="auto"/>
        <w:bottom w:val="none" w:sz="0" w:space="0" w:color="auto"/>
        <w:right w:val="none" w:sz="0" w:space="0" w:color="auto"/>
      </w:divBdr>
    </w:div>
    <w:div w:id="1893079826">
      <w:bodyDiv w:val="1"/>
      <w:marLeft w:val="0"/>
      <w:marRight w:val="0"/>
      <w:marTop w:val="0"/>
      <w:marBottom w:val="0"/>
      <w:divBdr>
        <w:top w:val="none" w:sz="0" w:space="0" w:color="auto"/>
        <w:left w:val="none" w:sz="0" w:space="0" w:color="auto"/>
        <w:bottom w:val="none" w:sz="0" w:space="0" w:color="auto"/>
        <w:right w:val="none" w:sz="0" w:space="0" w:color="auto"/>
      </w:divBdr>
    </w:div>
    <w:div w:id="1899631322">
      <w:bodyDiv w:val="1"/>
      <w:marLeft w:val="0"/>
      <w:marRight w:val="0"/>
      <w:marTop w:val="0"/>
      <w:marBottom w:val="0"/>
      <w:divBdr>
        <w:top w:val="none" w:sz="0" w:space="0" w:color="auto"/>
        <w:left w:val="none" w:sz="0" w:space="0" w:color="auto"/>
        <w:bottom w:val="none" w:sz="0" w:space="0" w:color="auto"/>
        <w:right w:val="none" w:sz="0" w:space="0" w:color="auto"/>
      </w:divBdr>
    </w:div>
    <w:div w:id="1960600778">
      <w:bodyDiv w:val="1"/>
      <w:marLeft w:val="0"/>
      <w:marRight w:val="0"/>
      <w:marTop w:val="0"/>
      <w:marBottom w:val="0"/>
      <w:divBdr>
        <w:top w:val="none" w:sz="0" w:space="0" w:color="auto"/>
        <w:left w:val="none" w:sz="0" w:space="0" w:color="auto"/>
        <w:bottom w:val="none" w:sz="0" w:space="0" w:color="auto"/>
        <w:right w:val="none" w:sz="0" w:space="0" w:color="auto"/>
      </w:divBdr>
    </w:div>
    <w:div w:id="1966230838">
      <w:bodyDiv w:val="1"/>
      <w:marLeft w:val="0"/>
      <w:marRight w:val="0"/>
      <w:marTop w:val="0"/>
      <w:marBottom w:val="0"/>
      <w:divBdr>
        <w:top w:val="none" w:sz="0" w:space="0" w:color="auto"/>
        <w:left w:val="none" w:sz="0" w:space="0" w:color="auto"/>
        <w:bottom w:val="none" w:sz="0" w:space="0" w:color="auto"/>
        <w:right w:val="none" w:sz="0" w:space="0" w:color="auto"/>
      </w:divBdr>
    </w:div>
    <w:div w:id="2018000237">
      <w:bodyDiv w:val="1"/>
      <w:marLeft w:val="0"/>
      <w:marRight w:val="0"/>
      <w:marTop w:val="0"/>
      <w:marBottom w:val="0"/>
      <w:divBdr>
        <w:top w:val="none" w:sz="0" w:space="0" w:color="auto"/>
        <w:left w:val="none" w:sz="0" w:space="0" w:color="auto"/>
        <w:bottom w:val="none" w:sz="0" w:space="0" w:color="auto"/>
        <w:right w:val="none" w:sz="0" w:space="0" w:color="auto"/>
      </w:divBdr>
      <w:divsChild>
        <w:div w:id="1299989939">
          <w:marLeft w:val="0"/>
          <w:marRight w:val="0"/>
          <w:marTop w:val="0"/>
          <w:marBottom w:val="0"/>
          <w:divBdr>
            <w:top w:val="none" w:sz="0" w:space="0" w:color="auto"/>
            <w:left w:val="none" w:sz="0" w:space="0" w:color="auto"/>
            <w:bottom w:val="none" w:sz="0" w:space="0" w:color="auto"/>
            <w:right w:val="none" w:sz="0" w:space="0" w:color="auto"/>
          </w:divBdr>
        </w:div>
        <w:div w:id="1987975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33D12-EC2F-4CE0-9ED4-FFC987F0F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528</Words>
  <Characters>2527</Characters>
  <Application>Microsoft Office Word</Application>
  <DocSecurity>0</DocSecurity>
  <Lines>120</Lines>
  <Paragraphs>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2971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2024 - 00-a0-00</dc:title>
  <dc:subject/>
  <dc:creator/>
  <cp:keywords/>
  <dc:description/>
  <cp:lastModifiedBy>Master Repository Process</cp:lastModifiedBy>
  <cp:revision>4</cp:revision>
  <cp:lastPrinted>2024-03-08T03:13:00Z</cp:lastPrinted>
  <dcterms:created xsi:type="dcterms:W3CDTF">2025-05-28T05:00:00Z</dcterms:created>
  <dcterms:modified xsi:type="dcterms:W3CDTF">2025-05-28T05:00:00Z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2024</vt:lpwstr>
  </property>
  <property fmtid="{D5CDD505-2E9C-101B-9397-08002B2CF9AE}" pid="3" name="DocumentType">
    <vt:lpwstr>Act</vt:lpwstr>
  </property>
  <property fmtid="{D5CDD505-2E9C-101B-9397-08002B2CF9AE}" pid="4" name="AsAtDate">
    <vt:lpwstr>07 Mar 2024</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20240307</vt:lpwstr>
  </property>
  <property fmtid="{D5CDD505-2E9C-101B-9397-08002B2CF9AE}" pid="8" name="CommencementAsAt">
    <vt:filetime>2024-03-06T16:00:00Z</vt:filetime>
  </property>
  <property fmtid="{D5CDD505-2E9C-101B-9397-08002B2CF9AE}" pid="9" name="CommencementYear">
    <vt:lpwstr>2024</vt:lpwstr>
  </property>
</Properties>
</file>