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(Weymul Restricted Area)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(Weymul Restricted Area)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_Toc161742036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_Toc161742037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_Toc161742038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_Toc161742040 \h </w:instrText>
      </w:r>
      <w:r>
        <w:fldChar w:fldCharType="separate"/>
      </w:r>
      <w:r>
        <w:t>3</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_Toc161742041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Weymul area</w:t>
      </w:r>
      <w:r>
        <w:tab/>
      </w:r>
      <w:r>
        <w:fldChar w:fldCharType="begin"/>
      </w:r>
      <w:r>
        <w:instrText xml:space="preserve"> PAGEREF _Toc161742043 \h </w:instrText>
      </w:r>
      <w:r>
        <w:fldChar w:fldCharType="separate"/>
      </w:r>
      <w:r>
        <w:t>4</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_Toc161742044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_Toc161742046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_Toc161742048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_Toc161742049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(Weymul Restricted Area) Regulations 2024</w:t>
      </w:r>
    </w:p>
    <w:p>
      <w:pPr>
        <w:pStyle w:val="MadeBy"/>
      </w:pPr>
      <w:r>
        <w:t>Made by the Governor in Executive Council.</w:t>
      </w:r>
    </w:p>
    <w:p>
      <w:pPr>
        <w:pStyle w:val="Heading2"/>
        <w:pageBreakBefore w:val="0"/>
        <w:spacing w:before="240"/>
      </w:pPr>
      <w:bookmarkStart w:id="2" w:name="_Toc161314165"/>
      <w:bookmarkStart w:id="3" w:name="_Toc161314252"/>
      <w:bookmarkStart w:id="4" w:name="_Toc161314366"/>
      <w:bookmarkStart w:id="5" w:name="_Toc1617420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1314166"/>
      <w:bookmarkStart w:id="7" w:name="_Toc16174203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Liquor Control (Weymul Restricted Area) Regulations 2024</w:t>
      </w:r>
      <w:r>
        <w:t>.</w:t>
      </w:r>
    </w:p>
    <w:p>
      <w:pPr>
        <w:pStyle w:val="Heading5"/>
        <w:rPr>
          <w:spacing w:val="-2"/>
        </w:rPr>
      </w:pPr>
      <w:bookmarkStart w:id="9" w:name="_Toc161314167"/>
      <w:bookmarkStart w:id="10" w:name="_Toc16174203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pPr>
      <w:bookmarkStart w:id="11" w:name="_Toc161314168"/>
      <w:bookmarkStart w:id="12" w:name="_Toc161742038"/>
      <w:r>
        <w:rPr>
          <w:rStyle w:val="CharSectno"/>
        </w:rPr>
        <w:t>3</w:t>
      </w:r>
      <w:r>
        <w:t>.</w:t>
      </w:r>
      <w:r>
        <w:tab/>
        <w:t>Terms used</w:t>
      </w:r>
      <w:bookmarkEnd w:id="11"/>
      <w:bookmarkEnd w:id="12"/>
    </w:p>
    <w:p>
      <w:pPr>
        <w:pStyle w:val="Subsection"/>
        <w:keepNext/>
      </w:pPr>
      <w:r>
        <w:tab/>
      </w:r>
      <w:r>
        <w:tab/>
        <w:t>In these regulations —</w:t>
      </w:r>
    </w:p>
    <w:p>
      <w:pPr>
        <w:pStyle w:val="Defstart"/>
      </w:pPr>
      <w:r>
        <w:tab/>
      </w:r>
      <w:r>
        <w:rPr>
          <w:rStyle w:val="CharDefText"/>
        </w:rPr>
        <w:t>Weymul access road</w:t>
      </w:r>
      <w:r>
        <w:t xml:space="preserve"> means the portion of Road 156 (also known as Cherratta Road) that —</w:t>
      </w:r>
    </w:p>
    <w:p>
      <w:pPr>
        <w:pStyle w:val="Defpara"/>
      </w:pPr>
      <w:r>
        <w:tab/>
        <w:t>(a)</w:t>
      </w:r>
      <w:r>
        <w:tab/>
        <w:t>provides access to the Weymul community; and</w:t>
      </w:r>
    </w:p>
    <w:p>
      <w:pPr>
        <w:pStyle w:val="Defpara"/>
      </w:pPr>
      <w:r>
        <w:tab/>
        <w:t>(b)</w:t>
      </w:r>
      <w:r>
        <w:tab/>
        <w:t>runs between the land in Certificate of Title Volume 451 Folio 194A and Manuwarra Red Dog Highway;</w:t>
      </w:r>
    </w:p>
    <w:p>
      <w:pPr>
        <w:pStyle w:val="Defstart"/>
        <w:keepNext/>
      </w:pPr>
      <w:r>
        <w:tab/>
      </w:r>
      <w:r>
        <w:rPr>
          <w:rStyle w:val="CharDefText"/>
        </w:rPr>
        <w:t>Weymul area</w:t>
      </w:r>
      <w:r>
        <w:t xml:space="preserve"> means the area comprising —</w:t>
      </w:r>
    </w:p>
    <w:p>
      <w:pPr>
        <w:pStyle w:val="Defpara"/>
      </w:pPr>
      <w:r>
        <w:tab/>
        <w:t>(a)</w:t>
      </w:r>
      <w:r>
        <w:tab/>
        <w:t>the whole of the land in Certificate of Title Volume 451 Folio 194A; and</w:t>
      </w:r>
    </w:p>
    <w:p>
      <w:pPr>
        <w:pStyle w:val="Defpara"/>
      </w:pPr>
      <w:r>
        <w:lastRenderedPageBreak/>
        <w:tab/>
        <w:t>(b)</w:t>
      </w:r>
      <w:r>
        <w:tab/>
        <w:t>the area of land that is within 200 m of the outer boundary of the area of land described in paragraph (a) (which forms part of Lot 265 on Deposited Plan 220920); and</w:t>
      </w:r>
    </w:p>
    <w:p>
      <w:pPr>
        <w:pStyle w:val="Defpara"/>
      </w:pPr>
      <w:r>
        <w:tab/>
        <w:t>(c)</w:t>
      </w:r>
      <w:r>
        <w:tab/>
        <w:t>300 m of the Weymul access road beginning on the outer boundary of the area of land described in paragraph (b).</w:t>
      </w:r>
    </w:p>
    <w:p>
      <w:pPr>
        <w:pStyle w:val="Heading2"/>
      </w:pPr>
      <w:bookmarkStart w:id="13" w:name="_Toc161314169"/>
      <w:bookmarkStart w:id="14" w:name="_Toc161314256"/>
      <w:bookmarkStart w:id="15" w:name="_Toc161314370"/>
      <w:bookmarkStart w:id="16" w:name="_Toc161742039"/>
      <w:r>
        <w:rPr>
          <w:rStyle w:val="CharPartNo"/>
        </w:rPr>
        <w:lastRenderedPageBreak/>
        <w:t>Part 2</w:t>
      </w:r>
      <w:r>
        <w:rPr>
          <w:rStyle w:val="CharDivNo"/>
        </w:rPr>
        <w:t> </w:t>
      </w:r>
      <w:r>
        <w:t>—</w:t>
      </w:r>
      <w:r>
        <w:rPr>
          <w:rStyle w:val="CharDivText"/>
        </w:rPr>
        <w:t> </w:t>
      </w:r>
      <w:r>
        <w:rPr>
          <w:rStyle w:val="CharPartText"/>
        </w:rPr>
        <w:t>Restricted area</w:t>
      </w:r>
      <w:bookmarkEnd w:id="13"/>
      <w:bookmarkEnd w:id="14"/>
      <w:bookmarkEnd w:id="15"/>
      <w:bookmarkEnd w:id="16"/>
    </w:p>
    <w:p>
      <w:pPr>
        <w:pStyle w:val="Heading5"/>
      </w:pPr>
      <w:bookmarkStart w:id="17" w:name="_Toc161314170"/>
      <w:bookmarkStart w:id="18" w:name="_Toc161742040"/>
      <w:r>
        <w:rPr>
          <w:rStyle w:val="CharSectno"/>
        </w:rPr>
        <w:t>4</w:t>
      </w:r>
      <w:r>
        <w:t>.</w:t>
      </w:r>
      <w:r>
        <w:tab/>
        <w:t>Declaration of restricted area</w:t>
      </w:r>
      <w:bookmarkEnd w:id="17"/>
      <w:bookmarkEnd w:id="18"/>
    </w:p>
    <w:p>
      <w:pPr>
        <w:pStyle w:val="Subsection"/>
      </w:pPr>
      <w:r>
        <w:tab/>
      </w:r>
      <w:r>
        <w:tab/>
        <w:t>The Weymul area is declared to be a restricted area for the purposes of section 175(1a) of the Act.</w:t>
      </w:r>
    </w:p>
    <w:p>
      <w:pPr>
        <w:pStyle w:val="Heading5"/>
      </w:pPr>
      <w:bookmarkStart w:id="19" w:name="_Toc161314171"/>
      <w:bookmarkStart w:id="20" w:name="_Toc161742041"/>
      <w:r>
        <w:rPr>
          <w:rStyle w:val="CharSectno"/>
        </w:rPr>
        <w:t>5</w:t>
      </w:r>
      <w:r>
        <w:t>.</w:t>
      </w:r>
      <w:r>
        <w:tab/>
        <w:t>Notice of restricted area</w:t>
      </w:r>
      <w:bookmarkEnd w:id="19"/>
      <w:bookmarkEnd w:id="20"/>
    </w:p>
    <w:p>
      <w:pPr>
        <w:pStyle w:val="Subsection"/>
      </w:pPr>
      <w:r>
        <w:tab/>
        <w:t>(1)</w:t>
      </w:r>
      <w:r>
        <w:tab/>
        <w:t>The Director of Liquor Licensing must take all reasonable steps to cause to be posted, and while the Weymul area continues to be a restricted area by operation of regulation 4 to be kept posted, at each place where a customary access route enters the Weymul area a notice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1" w:name="_Toc161314172"/>
      <w:bookmarkStart w:id="22" w:name="_Toc161314259"/>
      <w:bookmarkStart w:id="23" w:name="_Toc161314373"/>
      <w:bookmarkStart w:id="24" w:name="_Toc161742042"/>
      <w:r>
        <w:rPr>
          <w:rStyle w:val="CharPartNo"/>
        </w:rPr>
        <w:lastRenderedPageBreak/>
        <w:t>Part 3</w:t>
      </w:r>
      <w:r>
        <w:rPr>
          <w:rStyle w:val="CharDivNo"/>
        </w:rPr>
        <w:t> </w:t>
      </w:r>
      <w:r>
        <w:t>—</w:t>
      </w:r>
      <w:r>
        <w:rPr>
          <w:rStyle w:val="CharDivText"/>
        </w:rPr>
        <w:t> </w:t>
      </w:r>
      <w:r>
        <w:rPr>
          <w:rStyle w:val="CharPartText"/>
        </w:rPr>
        <w:t>Prohibitions and related provisions</w:t>
      </w:r>
      <w:bookmarkEnd w:id="21"/>
      <w:bookmarkEnd w:id="22"/>
      <w:bookmarkEnd w:id="23"/>
      <w:bookmarkEnd w:id="24"/>
    </w:p>
    <w:p>
      <w:pPr>
        <w:pStyle w:val="Heading5"/>
      </w:pPr>
      <w:bookmarkStart w:id="25" w:name="_Toc161314173"/>
      <w:bookmarkStart w:id="26" w:name="_Toc161742043"/>
      <w:r>
        <w:rPr>
          <w:rStyle w:val="CharSectno"/>
        </w:rPr>
        <w:t>6</w:t>
      </w:r>
      <w:r>
        <w:t>.</w:t>
      </w:r>
      <w:r>
        <w:tab/>
        <w:t>Prohibitions as to liquor in Weymul area</w:t>
      </w:r>
      <w:bookmarkEnd w:id="25"/>
      <w:bookmarkEnd w:id="26"/>
    </w:p>
    <w:p>
      <w:pPr>
        <w:pStyle w:val="Subsection"/>
      </w:pPr>
      <w:r>
        <w:tab/>
        <w:t>(1)</w:t>
      </w:r>
      <w:r>
        <w:tab/>
        <w:t>A person commits an offence if the person —</w:t>
      </w:r>
    </w:p>
    <w:p>
      <w:pPr>
        <w:pStyle w:val="Indenta"/>
      </w:pPr>
      <w:r>
        <w:tab/>
        <w:t>(a)</w:t>
      </w:r>
      <w:r>
        <w:tab/>
        <w:t>brings liquor into, or causes liquor to be brought into, the Weymul area; or</w:t>
      </w:r>
    </w:p>
    <w:p>
      <w:pPr>
        <w:pStyle w:val="Indenta"/>
      </w:pPr>
      <w:r>
        <w:tab/>
        <w:t>(b)</w:t>
      </w:r>
      <w:r>
        <w:tab/>
        <w:t>possesses liquor in the Weymul area.</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7" w:name="_Toc161314174"/>
      <w:bookmarkStart w:id="28" w:name="_Toc161742044"/>
      <w:r>
        <w:rPr>
          <w:rStyle w:val="CharSectno"/>
        </w:rPr>
        <w:t>7</w:t>
      </w:r>
      <w:r>
        <w:t>.</w:t>
      </w:r>
      <w:r>
        <w:tab/>
        <w:t>Seizure and disposal of containers of liquor</w:t>
      </w:r>
      <w:bookmarkEnd w:id="27"/>
      <w:bookmarkEnd w:id="28"/>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29" w:name="_Toc161314175"/>
      <w:bookmarkStart w:id="30" w:name="_Toc161314262"/>
      <w:bookmarkStart w:id="31" w:name="_Toc161314376"/>
      <w:bookmarkStart w:id="32" w:name="_Toc161742045"/>
      <w:r>
        <w:rPr>
          <w:rStyle w:val="CharPartNo"/>
        </w:rPr>
        <w:lastRenderedPageBreak/>
        <w:t>Part 4</w:t>
      </w:r>
      <w:r>
        <w:rPr>
          <w:rStyle w:val="CharDivNo"/>
        </w:rPr>
        <w:t> </w:t>
      </w:r>
      <w:r>
        <w:t>—</w:t>
      </w:r>
      <w:r>
        <w:rPr>
          <w:rStyle w:val="CharDivText"/>
        </w:rPr>
        <w:t> </w:t>
      </w:r>
      <w:r>
        <w:rPr>
          <w:rStyle w:val="CharPartText"/>
        </w:rPr>
        <w:t>Period of effect</w:t>
      </w:r>
      <w:bookmarkEnd w:id="29"/>
      <w:bookmarkEnd w:id="30"/>
      <w:bookmarkEnd w:id="31"/>
      <w:bookmarkEnd w:id="32"/>
    </w:p>
    <w:p>
      <w:pPr>
        <w:pStyle w:val="Heading5"/>
      </w:pPr>
      <w:bookmarkStart w:id="33" w:name="_Toc161314176"/>
      <w:bookmarkStart w:id="34" w:name="_Toc161742046"/>
      <w:r>
        <w:rPr>
          <w:rStyle w:val="CharSectno"/>
        </w:rPr>
        <w:t>8</w:t>
      </w:r>
      <w:r>
        <w:t>.</w:t>
      </w:r>
      <w:r>
        <w:tab/>
        <w:t>Period during which these regulations have effect</w:t>
      </w:r>
      <w:bookmarkEnd w:id="33"/>
      <w:bookmarkEnd w:id="34"/>
    </w:p>
    <w:p>
      <w:pPr>
        <w:pStyle w:val="Subsection"/>
      </w:pPr>
      <w:r>
        <w:tab/>
      </w:r>
      <w:r>
        <w:tab/>
        <w:t>Unless sooner repealed, these regulations have effect for the period that ends at the close of 19 March 2029.</w:t>
      </w:r>
    </w:p>
    <w:p>
      <w:pPr>
        <w:pStyle w:val="Heading2"/>
        <w:rPr>
          <w:rStyle w:val="CharDivText"/>
        </w:rPr>
      </w:pPr>
      <w:bookmarkStart w:id="35" w:name="_Toc161314177"/>
      <w:bookmarkStart w:id="36" w:name="_Toc161314264"/>
      <w:bookmarkStart w:id="37" w:name="_Toc161314378"/>
      <w:bookmarkStart w:id="38" w:name="_Toc161742047"/>
      <w:r>
        <w:rPr>
          <w:rStyle w:val="CharPartNo"/>
        </w:rPr>
        <w:lastRenderedPageBreak/>
        <w:t>Part 5</w:t>
      </w:r>
      <w:r>
        <w:rPr>
          <w:rStyle w:val="CharDivNo"/>
        </w:rPr>
        <w:t> </w:t>
      </w:r>
      <w:r>
        <w:t>—</w:t>
      </w:r>
      <w:r>
        <w:rPr>
          <w:rStyle w:val="CharDivText"/>
        </w:rPr>
        <w:t xml:space="preserve"> </w:t>
      </w:r>
      <w:r>
        <w:rPr>
          <w:rStyle w:val="CharPartText"/>
          <w:i/>
        </w:rPr>
        <w:t>Liquor Control Regulations 1989</w:t>
      </w:r>
      <w:r>
        <w:rPr>
          <w:rStyle w:val="CharPartText"/>
        </w:rPr>
        <w:t xml:space="preserve"> amended</w:t>
      </w:r>
      <w:bookmarkEnd w:id="35"/>
      <w:bookmarkEnd w:id="36"/>
      <w:bookmarkEnd w:id="37"/>
      <w:bookmarkEnd w:id="38"/>
    </w:p>
    <w:p>
      <w:pPr>
        <w:pStyle w:val="Heading5"/>
      </w:pPr>
      <w:bookmarkStart w:id="39" w:name="_Toc161314178"/>
      <w:bookmarkStart w:id="40" w:name="_Toc161742048"/>
      <w:r>
        <w:rPr>
          <w:rStyle w:val="CharSectno"/>
        </w:rPr>
        <w:t>9</w:t>
      </w:r>
      <w:r>
        <w:t>.</w:t>
      </w:r>
      <w:r>
        <w:tab/>
        <w:t>Regulations amended</w:t>
      </w:r>
      <w:bookmarkEnd w:id="39"/>
      <w:bookmarkEnd w:id="40"/>
    </w:p>
    <w:p>
      <w:pPr>
        <w:pStyle w:val="Subsection"/>
      </w:pPr>
      <w:r>
        <w:tab/>
      </w:r>
      <w:r>
        <w:tab/>
        <w:t xml:space="preserve">This Part amends the </w:t>
      </w:r>
      <w:r>
        <w:rPr>
          <w:i/>
        </w:rPr>
        <w:t>Liquor Control Regulations 1989</w:t>
      </w:r>
      <w:r>
        <w:t>.</w:t>
      </w:r>
    </w:p>
    <w:p>
      <w:pPr>
        <w:pStyle w:val="Heading5"/>
      </w:pPr>
      <w:bookmarkStart w:id="41" w:name="_Toc161314179"/>
      <w:bookmarkStart w:id="42" w:name="_Toc161742049"/>
      <w:r>
        <w:rPr>
          <w:rStyle w:val="CharSectno"/>
        </w:rPr>
        <w:t>10</w:t>
      </w:r>
      <w:r>
        <w:t>.</w:t>
      </w:r>
      <w:r>
        <w:tab/>
        <w:t>Regulation 27 amended</w:t>
      </w:r>
      <w:bookmarkEnd w:id="41"/>
      <w:bookmarkEnd w:id="42"/>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szCs w:val="24"/>
              </w:rPr>
            </w:pPr>
            <w:r>
              <w:rPr>
                <w:i/>
              </w:rPr>
              <w:t>Liquor Control (Weymul Restricted Area) Regulations 2024</w:t>
            </w:r>
            <w:r>
              <w:t xml:space="preserve"> </w:t>
            </w:r>
            <w:r>
              <w:rPr>
                <w:szCs w:val="24"/>
              </w:rPr>
              <w:t>regulation 6(1)</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43" w:name="_Toc161314381"/>
      <w:bookmarkStart w:id="44" w:name="_Toc161742050"/>
      <w:r>
        <w:rPr>
          <w:sz w:val="28"/>
        </w:rPr>
        <w:lastRenderedPageBreak/>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Weymul access road</w:t>
      </w:r>
      <w:r>
        <w:tab/>
        <w:t>3</w:t>
      </w:r>
    </w:p>
    <w:p>
      <w:pPr>
        <w:pStyle w:val="DefinedTerms"/>
      </w:pPr>
      <w:r>
        <w:t>Weymul area</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EE0D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E610EA" w14:textId="5E00CBCD" w:rsidR="00C13B9F" w:rsidRDefault="00C13B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55E3">
                        <w:rPr>
                          <w:sz w:val="16"/>
                        </w:rPr>
                        <w:t>2024</w:t>
                      </w:r>
                      <w:r>
                        <w:rPr>
                          <w:sz w:val="16"/>
                        </w:rPr>
                        <w:fldChar w:fldCharType="end"/>
                      </w:r>
                      <w:r>
                        <w:rPr>
                          <w:sz w:val="16"/>
                        </w:rPr>
                        <w:t>.</w:t>
                      </w:r>
                    </w:p>
                    <w:p w14:paraId="7923A736" w14:textId="77777777" w:rsidR="00C13B9F" w:rsidRDefault="00C13B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D2CA63" w14:textId="130C963D" w:rsidR="00C13B9F" w:rsidRDefault="00C13B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55E3">
                        <w:rPr>
                          <w:sz w:val="16"/>
                        </w:rPr>
                        <w:t>2024</w:t>
                      </w:r>
                      <w:r>
                        <w:rPr>
                          <w:sz w:val="16"/>
                        </w:rPr>
                        <w:fldChar w:fldCharType="end"/>
                      </w:r>
                      <w:r>
                        <w:rPr>
                          <w:sz w:val="16"/>
                        </w:rPr>
                        <w:t>.</w:t>
                      </w:r>
                    </w:p>
                    <w:p w14:paraId="1CAB16E7" w14:textId="77777777" w:rsidR="00C13B9F" w:rsidRDefault="00C13B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45" w:name="DefinedTerms"/>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308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20142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142741_GUID" w:val="ed4945d1-299f-4c12-9396-2d5f717476e7"/>
    <w:docVar w:name="WAFER_20231114123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4123518_GUID" w:val="1b52e516-def8-4b54-8272-5a0030914129"/>
    <w:docVar w:name="WAFER_20240220120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0120559_GUID" w:val="874ef933-3023-4640-8277-325e90f8be8e"/>
    <w:docVar w:name="WAFER_20240314130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30848_GUID" w:val="eedebe6b-7435-4dc8-bc34-7925ae550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B489A89D-B804-470F-A7CB-1F31D1338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A6814-6D88-4E71-99DB-27A7A20C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4046</Characters>
  <Application>Microsoft Office Word</Application>
  <DocSecurity>0</DocSecurity>
  <Lines>144</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(Weymul Restricted Area) Regulations 2024 - 00-00-00</dc:title>
  <dc:subject/>
  <dc:creator/>
  <cp:keywords/>
  <dc:description/>
  <cp:lastModifiedBy>Master Repository Process</cp:lastModifiedBy>
  <cp:revision>4</cp:revision>
  <cp:lastPrinted>2023-04-19T03:45:00Z</cp:lastPrinted>
  <dcterms:created xsi:type="dcterms:W3CDTF">2025-06-17T07:38:00Z</dcterms:created>
  <dcterms:modified xsi:type="dcterms:W3CDTF">2025-06-17T07:38:00Z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54202</vt:lpwstr>
  </property>
  <property fmtid="{D5CDD505-2E9C-101B-9397-08002B2CF9AE}" pid="3" name="DocumentType">
    <vt:lpwstr>Reg</vt:lpwstr>
  </property>
  <property fmtid="{D5CDD505-2E9C-101B-9397-08002B2CF9AE}" pid="4" name="AsAtDate">
    <vt:lpwstr>20 Mar 2024</vt:lpwstr>
  </property>
  <property fmtid="{D5CDD505-2E9C-101B-9397-08002B2CF9AE}" pid="5" name="Suffix">
    <vt:lpwstr>00-00-00</vt:lpwstr>
  </property>
  <property fmtid="{D5CDD505-2E9C-101B-9397-08002B2CF9AE}" pid="6" name="Official">
    <vt:lpwstr/>
  </property>
  <property fmtid="{D5CDD505-2E9C-101B-9397-08002B2CF9AE}" pid="7" name="SLAPId">
    <vt:lpwstr>2024/37</vt:lpwstr>
  </property>
  <property fmtid="{D5CDD505-2E9C-101B-9397-08002B2CF9AE}" pid="8" name="PublishDate">
    <vt:lpwstr>20 Mar 2024</vt:lpwstr>
  </property>
  <property fmtid="{D5CDD505-2E9C-101B-9397-08002B2CF9AE}" pid="9" name="CommencementDate">
    <vt:lpwstr>20240320</vt:lpwstr>
  </property>
  <property fmtid="{D5CDD505-2E9C-101B-9397-08002B2CF9AE}" pid="10" name="CommencementAsAt">
    <vt:filetime>2024-03-19T16:00:00Z</vt:filetime>
  </property>
  <property fmtid="{D5CDD505-2E9C-101B-9397-08002B2CF9AE}" pid="11" name="CommencementYear">
    <vt:lpwstr>2024</vt:lpwstr>
  </property>
</Properties>
</file>