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Evidence Act 1906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_Toc174951576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_Toc174951577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_Toc174951578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_Toc174951579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_Toc174951580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_Toc174951581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_Toc174951582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_Toc174951583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_Toc174951584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_Toc174951585 \h </w:instrText>
      </w:r>
      <w:r>
        <w:fldChar w:fldCharType="separate"/>
      </w:r>
      <w:r>
        <w:t>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_Toc174951586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_Toc174951587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_Toc174951588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_Toc174951589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_Toc174951590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_Toc174951591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_Toc174951592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_Toc174951593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_Toc174951594 \h </w:instrText>
      </w:r>
      <w:r>
        <w:fldChar w:fldCharType="separate"/>
      </w:r>
      <w:r>
        <w:t>13</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_Toc174951595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_Toc174951596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19C.</w:t>
      </w:r>
      <w:r>
        <w:tab/>
        <w:t>Protected communications not to be disclosed in criminal proceedings except with leave of court</w:t>
      </w:r>
      <w:r>
        <w:tab/>
      </w:r>
      <w:r>
        <w:fldChar w:fldCharType="begin"/>
      </w:r>
      <w:r>
        <w:instrText xml:space="preserve"> PAGEREF _Toc174951597 \h </w:instrText>
      </w:r>
      <w:r>
        <w:fldChar w:fldCharType="separate"/>
      </w:r>
      <w:r>
        <w:t>17</w:t>
      </w:r>
      <w:r>
        <w:fldChar w:fldCharType="end"/>
      </w:r>
    </w:p>
    <w:p>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_Toc174951598 \h </w:instrText>
      </w:r>
      <w:r>
        <w:fldChar w:fldCharType="separate"/>
      </w:r>
      <w:r>
        <w:t>18</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_Toc174951599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_Toc174951600 \h </w:instrText>
      </w:r>
      <w:r>
        <w:fldChar w:fldCharType="separate"/>
      </w:r>
      <w:r>
        <w:t>20</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_Toc174951601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_Toc174951602 \h </w:instrText>
      </w:r>
      <w:r>
        <w:fldChar w:fldCharType="separate"/>
      </w:r>
      <w:r>
        <w:t>21</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_Toc174951603 \h </w:instrText>
      </w:r>
      <w:r>
        <w:fldChar w:fldCharType="separate"/>
      </w:r>
      <w:r>
        <w:t>22</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_Toc174951604 \h </w:instrText>
      </w:r>
      <w:r>
        <w:fldChar w:fldCharType="separate"/>
      </w:r>
      <w:r>
        <w:t>22</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_Toc174951605 \h </w:instrText>
      </w:r>
      <w:r>
        <w:fldChar w:fldCharType="separate"/>
      </w:r>
      <w:r>
        <w:t>23</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_Toc174951606 \h </w:instrText>
      </w:r>
      <w:r>
        <w:fldChar w:fldCharType="separate"/>
      </w:r>
      <w:r>
        <w:t>23</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_Toc174951607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_Toc174951608 \h </w:instrText>
      </w:r>
      <w:r>
        <w:fldChar w:fldCharType="separate"/>
      </w:r>
      <w:r>
        <w:t>25</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_Toc174951609 \h </w:instrText>
      </w:r>
      <w:r>
        <w:fldChar w:fldCharType="separate"/>
      </w:r>
      <w:r>
        <w:t>26</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_Toc174951610 \h </w:instrText>
      </w:r>
      <w:r>
        <w:fldChar w:fldCharType="separate"/>
      </w:r>
      <w:r>
        <w:t>27</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_Toc174951611 \h </w:instrText>
      </w:r>
      <w:r>
        <w:fldChar w:fldCharType="separate"/>
      </w:r>
      <w:r>
        <w:t>29</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_Toc174951612 \h </w:instrText>
      </w:r>
      <w:r>
        <w:fldChar w:fldCharType="separate"/>
      </w:r>
      <w:r>
        <w:t>29</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_Toc174951613 \h </w:instrText>
      </w:r>
      <w:r>
        <w:fldChar w:fldCharType="separate"/>
      </w:r>
      <w:r>
        <w:t>30</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_Toc174951614 \h </w:instrText>
      </w:r>
      <w:r>
        <w:fldChar w:fldCharType="separate"/>
      </w:r>
      <w:r>
        <w:t>31</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_Toc174951615 \h </w:instrText>
      </w:r>
      <w:r>
        <w:fldChar w:fldCharType="separate"/>
      </w:r>
      <w:r>
        <w:t>32</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_Toc174951616 \h </w:instrText>
      </w:r>
      <w:r>
        <w:fldChar w:fldCharType="separate"/>
      </w:r>
      <w:r>
        <w:t>32</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_Toc174951617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_Toc174951618 \h </w:instrText>
      </w:r>
      <w:r>
        <w:fldChar w:fldCharType="separate"/>
      </w:r>
      <w:r>
        <w:t>34</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_Toc174951619 \h </w:instrText>
      </w:r>
      <w:r>
        <w:fldChar w:fldCharType="separate"/>
      </w:r>
      <w:r>
        <w:t>37</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_Toc174951620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_Toc174951621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_Toc174951622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_Toc174951623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_Toc174951624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_Toc174951625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_Toc174951626 \h </w:instrText>
      </w:r>
      <w:r>
        <w:fldChar w:fldCharType="separate"/>
      </w:r>
      <w:r>
        <w:t>40</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_Toc174951627 \h </w:instrText>
      </w:r>
      <w:r>
        <w:fldChar w:fldCharType="separate"/>
      </w:r>
      <w:r>
        <w:t>41</w:t>
      </w:r>
      <w:r>
        <w:fldChar w:fldCharType="end"/>
      </w:r>
    </w:p>
    <w:p>
      <w:pPr>
        <w:pStyle w:val="TOC8"/>
        <w:rPr>
          <w:rFonts w:asciiTheme="minorHAnsi" w:eastAsiaTheme="minorEastAsia" w:hAnsiTheme="minorHAnsi" w:cstheme="minorBidi"/>
          <w:szCs w:val="22"/>
        </w:rPr>
      </w:pPr>
      <w:r>
        <w:lastRenderedPageBreak/>
        <w:t>26.</w:t>
      </w:r>
      <w:r>
        <w:tab/>
        <w:t>Improper questions</w:t>
      </w:r>
      <w:r>
        <w:tab/>
      </w:r>
      <w:r>
        <w:fldChar w:fldCharType="begin"/>
      </w:r>
      <w:r>
        <w:instrText xml:space="preserve"> PAGEREF _Toc174951628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_Toc174951629 \h </w:instrText>
      </w:r>
      <w:r>
        <w:fldChar w:fldCharType="separate"/>
      </w:r>
      <w:r>
        <w:t>43</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_Toc174951630 \h </w:instrText>
      </w:r>
      <w:r>
        <w:fldChar w:fldCharType="separate"/>
      </w:r>
      <w:r>
        <w:t>43</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_Toc174951631 \h </w:instrText>
      </w:r>
      <w:r>
        <w:fldChar w:fldCharType="separate"/>
      </w:r>
      <w:r>
        <w:t>44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_Toc174951632 \h </w:instrText>
      </w:r>
      <w:r>
        <w:fldChar w:fldCharType="separate"/>
      </w:r>
      <w:r>
        <w:t>45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_Toc174951633 \h </w:instrText>
      </w:r>
      <w:r>
        <w:fldChar w:fldCharType="separate"/>
      </w:r>
      <w:r>
        <w:t>45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_Toc174951634 \h </w:instrText>
      </w:r>
      <w:r>
        <w:fldChar w:fldCharType="separate"/>
      </w:r>
      <w:r>
        <w:t>45</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_Toc174951635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_Toc174951636 \h </w:instrText>
      </w:r>
      <w:r>
        <w:fldChar w:fldCharType="separate"/>
      </w:r>
      <w:r>
        <w:t>46</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_Toc174951637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_Toc174951638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_Toc174951639 \h </w:instrText>
      </w:r>
      <w:r>
        <w:fldChar w:fldCharType="separate"/>
      </w:r>
      <w:r>
        <w:t>48</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_Toc174951640 \h </w:instrText>
      </w:r>
      <w:r>
        <w:fldChar w:fldCharType="separate"/>
      </w:r>
      <w:r>
        <w:t>48</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_Toc174951641 \h </w:instrText>
      </w:r>
      <w:r>
        <w:fldChar w:fldCharType="separate"/>
      </w:r>
      <w:r>
        <w:t>49</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_Toc174951642 \h </w:instrText>
      </w:r>
      <w:r>
        <w:fldChar w:fldCharType="separate"/>
      </w:r>
      <w:r>
        <w:t>50</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_Toc174951643 \h </w:instrText>
      </w:r>
      <w:r>
        <w:fldChar w:fldCharType="separate"/>
      </w:r>
      <w:r>
        <w:t>50</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_Toc174951644 \h </w:instrText>
      </w:r>
      <w:r>
        <w:fldChar w:fldCharType="separate"/>
      </w:r>
      <w:r>
        <w:t>50</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_Toc174951645 \h </w:instrText>
      </w:r>
      <w:r>
        <w:fldChar w:fldCharType="separate"/>
      </w:r>
      <w:r>
        <w:t>51</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_Toc174951646 \h </w:instrText>
      </w:r>
      <w:r>
        <w:fldChar w:fldCharType="separate"/>
      </w:r>
      <w:r>
        <w:t>52</w:t>
      </w:r>
      <w:r>
        <w:fldChar w:fldCharType="end"/>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_Toc174951647 \h </w:instrText>
      </w:r>
      <w:r>
        <w:fldChar w:fldCharType="separate"/>
      </w:r>
      <w:r>
        <w:t>54</w:t>
      </w:r>
      <w:r>
        <w:fldChar w:fldCharType="end"/>
      </w:r>
    </w:p>
    <w:p>
      <w:pPr>
        <w:pStyle w:val="TOC8"/>
        <w:rPr>
          <w:rFonts w:asciiTheme="minorHAnsi" w:eastAsiaTheme="minorEastAsia" w:hAnsiTheme="minorHAnsi" w:cstheme="minorBidi"/>
          <w:szCs w:val="22"/>
        </w:rPr>
      </w:pPr>
      <w:r>
        <w:t>38.</w:t>
      </w:r>
      <w:r>
        <w:tab/>
        <w:t>What may constitute evidence of family violence</w:t>
      </w:r>
      <w:r>
        <w:tab/>
      </w:r>
      <w:r>
        <w:fldChar w:fldCharType="begin"/>
      </w:r>
      <w:r>
        <w:instrText xml:space="preserve"> PAGEREF _Toc174951648 \h </w:instrText>
      </w:r>
      <w:r>
        <w:fldChar w:fldCharType="separate"/>
      </w:r>
      <w:r>
        <w:t>55</w:t>
      </w:r>
      <w:r>
        <w:fldChar w:fldCharType="end"/>
      </w:r>
    </w:p>
    <w:p>
      <w:pPr>
        <w:pStyle w:val="TOC8"/>
        <w:rPr>
          <w:rFonts w:asciiTheme="minorHAnsi" w:eastAsiaTheme="minorEastAsia" w:hAnsiTheme="minorHAnsi" w:cstheme="minorBidi"/>
          <w:szCs w:val="22"/>
        </w:rPr>
      </w:pPr>
      <w:r>
        <w:t>39.</w:t>
      </w:r>
      <w:r>
        <w:tab/>
        <w:t>Expert evidence of family violence</w:t>
      </w:r>
      <w:r>
        <w:tab/>
      </w:r>
      <w:r>
        <w:fldChar w:fldCharType="begin"/>
      </w:r>
      <w:r>
        <w:instrText xml:space="preserve"> PAGEREF _Toc174951649 \h </w:instrText>
      </w:r>
      <w:r>
        <w:fldChar w:fldCharType="separate"/>
      </w:r>
      <w:r>
        <w:t>56</w:t>
      </w:r>
      <w:r>
        <w:fldChar w:fldCharType="end"/>
      </w:r>
    </w:p>
    <w:p>
      <w:pPr>
        <w:pStyle w:val="TOC8"/>
        <w:rPr>
          <w:rFonts w:asciiTheme="minorHAnsi" w:eastAsiaTheme="minorEastAsia" w:hAnsiTheme="minorHAnsi" w:cstheme="minorBidi"/>
          <w:szCs w:val="22"/>
        </w:rPr>
      </w:pPr>
      <w:r>
        <w:t>39A.</w:t>
      </w:r>
      <w:r>
        <w:tab/>
        <w:t>Evidence of family violence — general provision</w:t>
      </w:r>
      <w:r>
        <w:tab/>
      </w:r>
      <w:r>
        <w:fldChar w:fldCharType="begin"/>
      </w:r>
      <w:r>
        <w:instrText xml:space="preserve"> PAGEREF _Toc174951650 \h </w:instrText>
      </w:r>
      <w:r>
        <w:fldChar w:fldCharType="separate"/>
      </w:r>
      <w:r>
        <w:t>57</w:t>
      </w:r>
      <w:r>
        <w:fldChar w:fldCharType="end"/>
      </w:r>
    </w:p>
    <w:p>
      <w:pPr>
        <w:pStyle w:val="TOC8"/>
        <w:rPr>
          <w:rFonts w:asciiTheme="minorHAnsi" w:eastAsiaTheme="minorEastAsia" w:hAnsiTheme="minorHAnsi" w:cstheme="minorBidi"/>
          <w:szCs w:val="22"/>
        </w:rPr>
      </w:pPr>
      <w:r>
        <w:t>39B.</w:t>
      </w:r>
      <w:r>
        <w:tab/>
        <w:t>Evidence of family violence — self</w:t>
      </w:r>
      <w:r>
        <w:noBreakHyphen/>
        <w:t>defence</w:t>
      </w:r>
      <w:r>
        <w:tab/>
      </w:r>
      <w:r>
        <w:fldChar w:fldCharType="begin"/>
      </w:r>
      <w:r>
        <w:instrText xml:space="preserve"> PAGEREF _Toc174951651 \h </w:instrText>
      </w:r>
      <w:r>
        <w:fldChar w:fldCharType="separate"/>
      </w:r>
      <w:r>
        <w:t>57</w:t>
      </w:r>
      <w:r>
        <w:fldChar w:fldCharType="end"/>
      </w:r>
    </w:p>
    <w:p>
      <w:pPr>
        <w:pStyle w:val="TOC8"/>
        <w:rPr>
          <w:rFonts w:asciiTheme="minorHAnsi" w:eastAsiaTheme="minorEastAsia" w:hAnsiTheme="minorHAnsi" w:cstheme="minorBidi"/>
          <w:szCs w:val="22"/>
        </w:rPr>
      </w:pPr>
      <w:r>
        <w:t>39C.</w:t>
      </w:r>
      <w:r>
        <w:tab/>
        <w:t>Request for direction on family violence — self</w:t>
      </w:r>
      <w:r>
        <w:noBreakHyphen/>
        <w:t>defence</w:t>
      </w:r>
      <w:r>
        <w:tab/>
      </w:r>
      <w:r>
        <w:fldChar w:fldCharType="begin"/>
      </w:r>
      <w:r>
        <w:instrText xml:space="preserve"> PAGEREF _Toc174951652 \h </w:instrText>
      </w:r>
      <w:r>
        <w:fldChar w:fldCharType="separate"/>
      </w:r>
      <w:r>
        <w:t>57</w:t>
      </w:r>
      <w:r>
        <w:fldChar w:fldCharType="end"/>
      </w:r>
    </w:p>
    <w:p>
      <w:pPr>
        <w:pStyle w:val="TOC8"/>
        <w:rPr>
          <w:rFonts w:asciiTheme="minorHAnsi" w:eastAsiaTheme="minorEastAsia" w:hAnsiTheme="minorHAnsi" w:cstheme="minorBidi"/>
          <w:szCs w:val="22"/>
        </w:rPr>
      </w:pPr>
      <w:r>
        <w:t>39D.</w:t>
      </w:r>
      <w:r>
        <w:tab/>
        <w:t>Request for direction on family violence — general provision</w:t>
      </w:r>
      <w:r>
        <w:tab/>
      </w:r>
      <w:r>
        <w:fldChar w:fldCharType="begin"/>
      </w:r>
      <w:r>
        <w:instrText xml:space="preserve"> PAGEREF _Toc174951653 \h </w:instrText>
      </w:r>
      <w:r>
        <w:fldChar w:fldCharType="separate"/>
      </w:r>
      <w:r>
        <w:t>58</w:t>
      </w:r>
      <w:r>
        <w:fldChar w:fldCharType="end"/>
      </w:r>
    </w:p>
    <w:p>
      <w:pPr>
        <w:pStyle w:val="TOC8"/>
        <w:rPr>
          <w:rFonts w:asciiTheme="minorHAnsi" w:eastAsiaTheme="minorEastAsia" w:hAnsiTheme="minorHAnsi" w:cstheme="minorBidi"/>
          <w:szCs w:val="22"/>
        </w:rPr>
      </w:pPr>
      <w:r>
        <w:t>39E.</w:t>
      </w:r>
      <w:r>
        <w:tab/>
        <w:t>Content of direction on family violence</w:t>
      </w:r>
      <w:r>
        <w:tab/>
      </w:r>
      <w:r>
        <w:fldChar w:fldCharType="begin"/>
      </w:r>
      <w:r>
        <w:instrText xml:space="preserve"> PAGEREF _Toc174951654 \h </w:instrText>
      </w:r>
      <w:r>
        <w:fldChar w:fldCharType="separate"/>
      </w:r>
      <w:r>
        <w:t>59</w:t>
      </w:r>
      <w:r>
        <w:fldChar w:fldCharType="end"/>
      </w:r>
    </w:p>
    <w:p>
      <w:pPr>
        <w:pStyle w:val="TOC8"/>
        <w:rPr>
          <w:rFonts w:asciiTheme="minorHAnsi" w:eastAsiaTheme="minorEastAsia" w:hAnsiTheme="minorHAnsi" w:cstheme="minorBidi"/>
          <w:szCs w:val="22"/>
        </w:rPr>
      </w:pPr>
      <w:r>
        <w:t>39F.</w:t>
      </w:r>
      <w:r>
        <w:tab/>
        <w:t>Additional matters for direction on family violence</w:t>
      </w:r>
      <w:r>
        <w:tab/>
      </w:r>
      <w:r>
        <w:fldChar w:fldCharType="begin"/>
      </w:r>
      <w:r>
        <w:instrText xml:space="preserve"> PAGEREF _Toc174951655 \h </w:instrText>
      </w:r>
      <w:r>
        <w:fldChar w:fldCharType="separate"/>
      </w:r>
      <w:r>
        <w:t>59</w:t>
      </w:r>
      <w:r>
        <w:fldChar w:fldCharType="end"/>
      </w:r>
    </w:p>
    <w:p>
      <w:pPr>
        <w:pStyle w:val="TOC8"/>
        <w:rPr>
          <w:rFonts w:asciiTheme="minorHAnsi" w:eastAsiaTheme="minorEastAsia" w:hAnsiTheme="minorHAnsi" w:cstheme="minorBidi"/>
          <w:szCs w:val="22"/>
        </w:rPr>
      </w:pPr>
      <w:r>
        <w:t>39G.</w:t>
      </w:r>
      <w:r>
        <w:tab/>
        <w:t>Application of s. 39E and 39F to criminal proceedings without juries</w:t>
      </w:r>
      <w:r>
        <w:tab/>
      </w:r>
      <w:r>
        <w:fldChar w:fldCharType="begin"/>
      </w:r>
      <w:r>
        <w:instrText xml:space="preserve"> PAGEREF _Toc174951656 \h </w:instrText>
      </w:r>
      <w:r>
        <w:fldChar w:fldCharType="separate"/>
      </w:r>
      <w:r>
        <w:t>62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_Toc174951657 \h </w:instrText>
      </w:r>
      <w:r>
        <w:fldChar w:fldCharType="separate"/>
      </w:r>
      <w:r>
        <w:t>62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_Toc174951658 \h </w:instrText>
      </w:r>
      <w:r>
        <w:fldChar w:fldCharType="separate"/>
      </w:r>
      <w:r>
        <w:t>62</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_Toc174951659 \h </w:instrText>
      </w:r>
      <w:r>
        <w:fldChar w:fldCharType="separate"/>
      </w:r>
      <w:r>
        <w:t>63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_Toc174951660 \h </w:instrText>
      </w:r>
      <w:r>
        <w:fldChar w:fldCharType="separate"/>
      </w:r>
      <w:r>
        <w:t>64</w:t>
      </w:r>
      <w:r>
        <w:fldChar w:fldCharType="end"/>
      </w:r>
    </w:p>
    <w:p>
      <w:pPr>
        <w:pStyle w:val="TOC8"/>
        <w:rPr>
          <w:rFonts w:asciiTheme="minorHAnsi" w:eastAsiaTheme="minorEastAsia" w:hAnsiTheme="minorHAnsi" w:cstheme="minorBidi"/>
          <w:szCs w:val="22"/>
        </w:rPr>
      </w:pPr>
      <w:r>
        <w:lastRenderedPageBreak/>
        <w:t>44</w:t>
      </w:r>
      <w:r>
        <w:rPr>
          <w:snapToGrid w:val="0"/>
        </w:rPr>
        <w:t>.</w:t>
      </w:r>
      <w:r>
        <w:rPr>
          <w:snapToGrid w:val="0"/>
        </w:rPr>
        <w:tab/>
        <w:t>Stealing charges, proof of receipt of money by accused, proof of general deficiency</w:t>
      </w:r>
      <w:r>
        <w:tab/>
      </w:r>
      <w:r>
        <w:fldChar w:fldCharType="begin"/>
      </w:r>
      <w:r>
        <w:instrText xml:space="preserve"> PAGEREF _Toc174951661 \h </w:instrText>
      </w:r>
      <w:r>
        <w:fldChar w:fldCharType="separate"/>
      </w:r>
      <w:r>
        <w:t>64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_Toc174951662 \h </w:instrText>
      </w:r>
      <w:r>
        <w:fldChar w:fldCharType="separate"/>
      </w:r>
      <w:r>
        <w:t>65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_Toc174951663 \h </w:instrText>
      </w:r>
      <w:r>
        <w:fldChar w:fldCharType="separate"/>
      </w:r>
      <w:r>
        <w:t>65</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_Toc174951664 \h </w:instrText>
      </w:r>
      <w:r>
        <w:fldChar w:fldCharType="separate"/>
      </w:r>
      <w:r>
        <w:t>66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_Toc174951665 \h </w:instrText>
      </w:r>
      <w:r>
        <w:fldChar w:fldCharType="separate"/>
      </w:r>
      <w:r>
        <w:t>66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_Toc174951666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_Toc174951667 \h </w:instrText>
      </w:r>
      <w:r>
        <w:fldChar w:fldCharType="separate"/>
      </w:r>
      <w:r>
        <w:t>68</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_Toc174951668 \h </w:instrText>
      </w:r>
      <w:r>
        <w:fldChar w:fldCharType="separate"/>
      </w:r>
      <w:r>
        <w:t>68</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_Toc174951669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_Toc174951670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_Toc174951671 \h </w:instrText>
      </w:r>
      <w:r>
        <w:fldChar w:fldCharType="separate"/>
      </w:r>
      <w:r>
        <w:t>72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_Toc174951672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_Toc174951673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_Toc174951674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_Toc174951675 \h </w:instrText>
      </w:r>
      <w:r>
        <w:fldChar w:fldCharType="separate"/>
      </w:r>
      <w:r>
        <w:t>74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_Toc174951676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_Toc174951677 \h </w:instrText>
      </w:r>
      <w:r>
        <w:fldChar w:fldCharType="separate"/>
      </w:r>
      <w:r>
        <w:t>76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_Toc174951678 \h </w:instrText>
      </w:r>
      <w:r>
        <w:fldChar w:fldCharType="separate"/>
      </w:r>
      <w:r>
        <w:t>78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_Toc174951679 \h </w:instrText>
      </w:r>
      <w:r>
        <w:fldChar w:fldCharType="separate"/>
      </w:r>
      <w:r>
        <w:t>78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_Toc174951680 \h </w:instrText>
      </w:r>
      <w:r>
        <w:fldChar w:fldCharType="separate"/>
      </w:r>
      <w:r>
        <w:t>78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_Toc174951681 \h </w:instrText>
      </w:r>
      <w:r>
        <w:fldChar w:fldCharType="separate"/>
      </w:r>
      <w:r>
        <w:t>79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_Toc174951682 \h </w:instrText>
      </w:r>
      <w:r>
        <w:fldChar w:fldCharType="separate"/>
      </w:r>
      <w:r>
        <w:t>79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_Toc174951683 \h </w:instrText>
      </w:r>
      <w:r>
        <w:fldChar w:fldCharType="separate"/>
      </w:r>
      <w:r>
        <w:t>79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_Toc174951684 \h </w:instrText>
      </w:r>
      <w:r>
        <w:fldChar w:fldCharType="separate"/>
      </w:r>
      <w:r>
        <w:t>80</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_Toc174951685 \h </w:instrText>
      </w:r>
      <w:r>
        <w:fldChar w:fldCharType="separate"/>
      </w:r>
      <w:r>
        <w:t>80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_Toc174951686 \h </w:instrText>
      </w:r>
      <w:r>
        <w:fldChar w:fldCharType="separate"/>
      </w:r>
      <w:r>
        <w:t>81</w:t>
      </w:r>
      <w:r>
        <w:fldChar w:fldCharType="end"/>
      </w:r>
    </w:p>
    <w:p>
      <w:pPr>
        <w:pStyle w:val="TOC8"/>
        <w:rPr>
          <w:rFonts w:asciiTheme="minorHAnsi" w:eastAsiaTheme="minorEastAsia" w:hAnsiTheme="minorHAnsi" w:cstheme="minorBidi"/>
          <w:szCs w:val="22"/>
        </w:rPr>
      </w:pPr>
      <w:r>
        <w:lastRenderedPageBreak/>
        <w:t>67</w:t>
      </w:r>
      <w:r>
        <w:rPr>
          <w:snapToGrid w:val="0"/>
        </w:rPr>
        <w:t>.</w:t>
      </w:r>
      <w:r>
        <w:rPr>
          <w:snapToGrid w:val="0"/>
        </w:rPr>
        <w:tab/>
        <w:t>Certain documents admissible without proof of signature, seal etc.</w:t>
      </w:r>
      <w:r>
        <w:tab/>
      </w:r>
      <w:r>
        <w:fldChar w:fldCharType="begin"/>
      </w:r>
      <w:r>
        <w:instrText xml:space="preserve"> PAGEREF _Toc174951687 \h </w:instrText>
      </w:r>
      <w:r>
        <w:fldChar w:fldCharType="separate"/>
      </w:r>
      <w:r>
        <w:t>81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_Toc174951688 \h </w:instrText>
      </w:r>
      <w:r>
        <w:fldChar w:fldCharType="separate"/>
      </w:r>
      <w:r>
        <w:t>82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_Toc174951689 \h </w:instrText>
      </w:r>
      <w:r>
        <w:fldChar w:fldCharType="separate"/>
      </w:r>
      <w:r>
        <w:t>82</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_Toc174951690 \h </w:instrText>
      </w:r>
      <w:r>
        <w:fldChar w:fldCharType="separate"/>
      </w:r>
      <w:r>
        <w:t>83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_Toc174951691 \h </w:instrText>
      </w:r>
      <w:r>
        <w:fldChar w:fldCharType="separate"/>
      </w:r>
      <w:r>
        <w:t>84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_Toc174951692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_Toc174951693 \h </w:instrText>
      </w:r>
      <w:r>
        <w:fldChar w:fldCharType="separate"/>
      </w:r>
      <w:r>
        <w:t>84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_Toc174951694 \h </w:instrText>
      </w:r>
      <w:r>
        <w:fldChar w:fldCharType="separate"/>
      </w:r>
      <w:r>
        <w:t>84</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_Toc174951695 \h </w:instrText>
      </w:r>
      <w:r>
        <w:fldChar w:fldCharType="separate"/>
      </w:r>
      <w:r>
        <w:t>85</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_Toc174951696 \h </w:instrText>
      </w:r>
      <w:r>
        <w:fldChar w:fldCharType="separate"/>
      </w:r>
      <w:r>
        <w:t>86</w:t>
      </w:r>
      <w:r>
        <w:fldChar w:fldCharType="end"/>
      </w:r>
    </w:p>
    <w:p>
      <w:pPr>
        <w:pStyle w:val="TOC8"/>
        <w:rPr>
          <w:rFonts w:asciiTheme="minorHAnsi" w:eastAsiaTheme="minorEastAsia" w:hAnsiTheme="minorHAnsi" w:cstheme="minorBidi"/>
          <w:szCs w:val="22"/>
        </w:rPr>
      </w:pPr>
      <w:r>
        <w:t>73BA.</w:t>
      </w:r>
      <w:r>
        <w:tab/>
        <w:t>Authenticated copies of certain public documents etc. admissible without further proof</w:t>
      </w:r>
      <w:r>
        <w:tab/>
      </w:r>
      <w:r>
        <w:fldChar w:fldCharType="begin"/>
      </w:r>
      <w:r>
        <w:instrText xml:space="preserve"> PAGEREF _Toc174951697 \h </w:instrText>
      </w:r>
      <w:r>
        <w:fldChar w:fldCharType="separate"/>
      </w:r>
      <w:r>
        <w:t>87</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_Toc174951698 \h </w:instrText>
      </w:r>
      <w:r>
        <w:fldChar w:fldCharType="separate"/>
      </w:r>
      <w:r>
        <w:t>88</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_Toc174951699 \h </w:instrText>
      </w:r>
      <w:r>
        <w:fldChar w:fldCharType="separate"/>
      </w:r>
      <w:r>
        <w:t>88</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_Toc174951700 \h </w:instrText>
      </w:r>
      <w:r>
        <w:fldChar w:fldCharType="separate"/>
      </w:r>
      <w:r>
        <w:t>89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_Toc174951701 \h </w:instrText>
      </w:r>
      <w:r>
        <w:fldChar w:fldCharType="separate"/>
      </w:r>
      <w:r>
        <w:t>90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_Toc174951702 \h </w:instrText>
      </w:r>
      <w:r>
        <w:fldChar w:fldCharType="separate"/>
      </w:r>
      <w:r>
        <w:t>90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_Toc174951703 \h </w:instrText>
      </w:r>
      <w:r>
        <w:fldChar w:fldCharType="separate"/>
      </w:r>
      <w:r>
        <w:t>90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_Toc174951704 \h </w:instrText>
      </w:r>
      <w:r>
        <w:fldChar w:fldCharType="separate"/>
      </w:r>
      <w:r>
        <w:t>91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_Toc174951705 \h </w:instrText>
      </w:r>
      <w:r>
        <w:fldChar w:fldCharType="separate"/>
      </w:r>
      <w:r>
        <w:t>91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_Toc174951706 \h </w:instrText>
      </w:r>
      <w:r>
        <w:fldChar w:fldCharType="separate"/>
      </w:r>
      <w:r>
        <w:t>92</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_Toc174951707 \h </w:instrText>
      </w:r>
      <w:r>
        <w:fldChar w:fldCharType="separate"/>
      </w:r>
      <w:r>
        <w:t>93</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_Toc174951708 \h </w:instrText>
      </w:r>
      <w:r>
        <w:fldChar w:fldCharType="separate"/>
      </w:r>
      <w:r>
        <w:t>93</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_Toc174951709 \h </w:instrText>
      </w:r>
      <w:r>
        <w:fldChar w:fldCharType="separate"/>
      </w:r>
      <w:r>
        <w:t>94</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_Toc174951710 \h </w:instrText>
      </w:r>
      <w:r>
        <w:fldChar w:fldCharType="separate"/>
      </w:r>
      <w:r>
        <w:t>97</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_Toc174951711 \h </w:instrText>
      </w:r>
      <w:r>
        <w:fldChar w:fldCharType="separate"/>
      </w:r>
      <w:r>
        <w:t>98</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_Toc174951712 \h </w:instrText>
      </w:r>
      <w:r>
        <w:fldChar w:fldCharType="separate"/>
      </w:r>
      <w:r>
        <w:t>99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_Toc174951713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Documents properly authenticated to be given faith and credit</w:t>
      </w:r>
      <w:r>
        <w:tab/>
      </w:r>
      <w:r>
        <w:fldChar w:fldCharType="begin"/>
      </w:r>
      <w:r>
        <w:instrText xml:space="preserve"> PAGEREF _Toc174951714 \h </w:instrText>
      </w:r>
      <w:r>
        <w:fldChar w:fldCharType="separate"/>
      </w:r>
      <w:r>
        <w:t>100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_Toc174951715 \h </w:instrText>
      </w:r>
      <w:r>
        <w:fldChar w:fldCharType="separate"/>
      </w:r>
      <w:r>
        <w:t>101</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_Toc174951716 \h </w:instrText>
      </w:r>
      <w:r>
        <w:fldChar w:fldCharType="separate"/>
      </w:r>
      <w:r>
        <w:t>101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_Toc174951717 \h </w:instrText>
      </w:r>
      <w:r>
        <w:fldChar w:fldCharType="separate"/>
      </w:r>
      <w:r>
        <w:t>101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_Toc174951718 \h </w:instrText>
      </w:r>
      <w:r>
        <w:fldChar w:fldCharType="separate"/>
      </w:r>
      <w:r>
        <w:t>101</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_Toc174951719 \h </w:instrText>
      </w:r>
      <w:r>
        <w:fldChar w:fldCharType="separate"/>
      </w:r>
      <w:r>
        <w:t>102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_Toc174951720 \h </w:instrText>
      </w:r>
      <w:r>
        <w:fldChar w:fldCharType="separate"/>
      </w:r>
      <w:r>
        <w:t>102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_Toc174951721 \h </w:instrText>
      </w:r>
      <w:r>
        <w:fldChar w:fldCharType="separate"/>
      </w:r>
      <w:r>
        <w:t>102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_Toc174951722 \h </w:instrText>
      </w:r>
      <w:r>
        <w:fldChar w:fldCharType="separate"/>
      </w:r>
      <w:r>
        <w:t>103</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_Toc174951723 \h </w:instrText>
      </w:r>
      <w:r>
        <w:fldChar w:fldCharType="separate"/>
      </w:r>
      <w:r>
        <w:t>103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_Toc174951724 \h </w:instrText>
      </w:r>
      <w:r>
        <w:fldChar w:fldCharType="separate"/>
      </w:r>
      <w:r>
        <w:t>104</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_Toc174951725 \h </w:instrText>
      </w:r>
      <w:r>
        <w:fldChar w:fldCharType="separate"/>
      </w:r>
      <w:r>
        <w:t>105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_Toc174951726 \h </w:instrText>
      </w:r>
      <w:r>
        <w:fldChar w:fldCharType="separate"/>
      </w:r>
      <w:r>
        <w:t>106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_Toc174951727 \h </w:instrText>
      </w:r>
      <w:r>
        <w:fldChar w:fldCharType="separate"/>
      </w:r>
      <w:r>
        <w:t>107</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_Toc174951728 \h </w:instrText>
      </w:r>
      <w:r>
        <w:fldChar w:fldCharType="separate"/>
      </w:r>
      <w:r>
        <w:t>108</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_Toc174951729 \h </w:instrText>
      </w:r>
      <w:r>
        <w:fldChar w:fldCharType="separate"/>
      </w:r>
      <w:r>
        <w:t>108</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_Toc174951730 \h </w:instrText>
      </w:r>
      <w:r>
        <w:fldChar w:fldCharType="separate"/>
      </w:r>
      <w:r>
        <w:t>109</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_Toc174951731 \h </w:instrText>
      </w:r>
      <w:r>
        <w:fldChar w:fldCharType="separate"/>
      </w:r>
      <w:r>
        <w:t>112</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_Toc174951732 \h </w:instrText>
      </w:r>
      <w:r>
        <w:fldChar w:fldCharType="separate"/>
      </w:r>
      <w:r>
        <w:t>112</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_Toc174951733 \h </w:instrText>
      </w:r>
      <w:r>
        <w:fldChar w:fldCharType="separate"/>
      </w:r>
      <w:r>
        <w:t>112</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_Toc174951734 \h </w:instrText>
      </w:r>
      <w:r>
        <w:fldChar w:fldCharType="separate"/>
      </w:r>
      <w:r>
        <w:t>113</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_Toc174951735 \h </w:instrText>
      </w:r>
      <w:r>
        <w:fldChar w:fldCharType="separate"/>
      </w:r>
      <w:r>
        <w:t>113</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_Toc174951736 \h </w:instrText>
      </w:r>
      <w:r>
        <w:fldChar w:fldCharType="separate"/>
      </w:r>
      <w:r>
        <w:t>114</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_Toc174951737 \h </w:instrText>
      </w:r>
      <w:r>
        <w:fldChar w:fldCharType="separate"/>
      </w:r>
      <w:r>
        <w:t>115</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_Toc174951738 \h </w:instrText>
      </w:r>
      <w:r>
        <w:fldChar w:fldCharType="separate"/>
      </w:r>
      <w:r>
        <w:t>116</w:t>
      </w:r>
      <w:r>
        <w:fldChar w:fldCharType="end"/>
      </w:r>
    </w:p>
    <w:p>
      <w:pPr>
        <w:pStyle w:val="TOC8"/>
        <w:rPr>
          <w:rFonts w:asciiTheme="minorHAnsi" w:eastAsiaTheme="minorEastAsia" w:hAnsiTheme="minorHAnsi" w:cstheme="minorBidi"/>
          <w:szCs w:val="22"/>
        </w:rPr>
      </w:pPr>
      <w:r>
        <w:lastRenderedPageBreak/>
        <w:t>106HB.</w:t>
      </w:r>
      <w:r>
        <w:tab/>
        <w:t>Admissibility in criminal proceedings of visual recording of interview with child or person with mental impairment</w:t>
      </w:r>
      <w:r>
        <w:tab/>
      </w:r>
      <w:r>
        <w:fldChar w:fldCharType="begin"/>
      </w:r>
      <w:r>
        <w:instrText xml:space="preserve"> PAGEREF _Toc174951739 \h </w:instrText>
      </w:r>
      <w:r>
        <w:fldChar w:fldCharType="separate"/>
      </w:r>
      <w:r>
        <w:t>117</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_Toc174951740 \h </w:instrText>
      </w:r>
      <w:r>
        <w:fldChar w:fldCharType="separate"/>
      </w:r>
      <w:r>
        <w:t>119</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_Toc174951741 \h </w:instrText>
      </w:r>
      <w:r>
        <w:fldChar w:fldCharType="separate"/>
      </w:r>
      <w:r>
        <w:t>121</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_Toc174951742 \h </w:instrText>
      </w:r>
      <w:r>
        <w:fldChar w:fldCharType="separate"/>
      </w:r>
      <w:r>
        <w:t>121</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_Toc174951743 \h </w:instrText>
      </w:r>
      <w:r>
        <w:fldChar w:fldCharType="separate"/>
      </w:r>
      <w:r>
        <w:t>122</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_Toc174951744 \h </w:instrText>
      </w:r>
      <w:r>
        <w:fldChar w:fldCharType="separate"/>
      </w:r>
      <w:r>
        <w:t>124</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_Toc174951745 \h </w:instrText>
      </w:r>
      <w:r>
        <w:fldChar w:fldCharType="separate"/>
      </w:r>
      <w:r>
        <w:t>125</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_Toc174951746 \h </w:instrText>
      </w:r>
      <w:r>
        <w:fldChar w:fldCharType="separate"/>
      </w:r>
      <w:r>
        <w:t>125</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_Toc174951747 \h </w:instrText>
      </w:r>
      <w:r>
        <w:fldChar w:fldCharType="separate"/>
      </w:r>
      <w:r>
        <w:t>126</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_Toc174951748 \h </w:instrText>
      </w:r>
      <w:r>
        <w:fldChar w:fldCharType="separate"/>
      </w:r>
      <w:r>
        <w:t>127</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_Toc174951749 \h </w:instrText>
      </w:r>
      <w:r>
        <w:fldChar w:fldCharType="separate"/>
      </w:r>
      <w:r>
        <w:t>128</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_Toc174951750 \h </w:instrText>
      </w:r>
      <w:r>
        <w:fldChar w:fldCharType="separate"/>
      </w:r>
      <w:r>
        <w:t>128</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_Toc174951751 \h </w:instrText>
      </w:r>
      <w:r>
        <w:fldChar w:fldCharType="separate"/>
      </w:r>
      <w:r>
        <w:t>128</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_Toc174951752 \h </w:instrText>
      </w:r>
      <w:r>
        <w:fldChar w:fldCharType="separate"/>
      </w:r>
      <w:r>
        <w:t>131</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_Toc174951753 \h </w:instrText>
      </w:r>
      <w:r>
        <w:fldChar w:fldCharType="separate"/>
      </w:r>
      <w:r>
        <w:t>132</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_Toc174951754 \h </w:instrText>
      </w:r>
      <w:r>
        <w:fldChar w:fldCharType="separate"/>
      </w:r>
      <w:r>
        <w:t>133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_Toc174951755 \h </w:instrText>
      </w:r>
      <w:r>
        <w:fldChar w:fldCharType="separate"/>
      </w:r>
      <w:r>
        <w:t>135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_Toc174951756 \h </w:instrText>
      </w:r>
      <w:r>
        <w:fldChar w:fldCharType="separate"/>
      </w:r>
      <w:r>
        <w:t>135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_Toc174951757 \h </w:instrText>
      </w:r>
      <w:r>
        <w:fldChar w:fldCharType="separate"/>
      </w:r>
      <w:r>
        <w:t>138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_Toc174951758 \h </w:instrText>
      </w:r>
      <w:r>
        <w:fldChar w:fldCharType="separate"/>
      </w:r>
      <w:r>
        <w:t>138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_Toc174951759 \h </w:instrText>
      </w:r>
      <w:r>
        <w:fldChar w:fldCharType="separate"/>
      </w:r>
      <w:r>
        <w:t>139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_Toc174951760 \h </w:instrText>
      </w:r>
      <w:r>
        <w:fldChar w:fldCharType="separate"/>
      </w:r>
      <w:r>
        <w:t>139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_Toc174951761 \h </w:instrText>
      </w:r>
      <w:r>
        <w:fldChar w:fldCharType="separate"/>
      </w:r>
      <w:r>
        <w:t>140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_Toc174951762 \h </w:instrText>
      </w:r>
      <w:r>
        <w:fldChar w:fldCharType="separate"/>
      </w:r>
      <w:r>
        <w:t>140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_Toc174951763 \h </w:instrText>
      </w:r>
      <w:r>
        <w:fldChar w:fldCharType="separate"/>
      </w:r>
      <w:r>
        <w:t>141</w:t>
      </w:r>
      <w:r>
        <w:fldChar w:fldCharType="end"/>
      </w:r>
    </w:p>
    <w:p>
      <w:pPr>
        <w:pStyle w:val="TOC8"/>
        <w:rPr>
          <w:rFonts w:asciiTheme="minorHAnsi" w:eastAsiaTheme="minorEastAsia" w:hAnsiTheme="minorHAnsi" w:cstheme="minorBidi"/>
          <w:szCs w:val="22"/>
        </w:rPr>
      </w:pPr>
      <w:r>
        <w:lastRenderedPageBreak/>
        <w:t>118</w:t>
      </w:r>
      <w:r>
        <w:rPr>
          <w:snapToGrid w:val="0"/>
        </w:rPr>
        <w:t>.</w:t>
      </w:r>
      <w:r>
        <w:rPr>
          <w:snapToGrid w:val="0"/>
        </w:rPr>
        <w:tab/>
        <w:t>Privilege of witnesses</w:t>
      </w:r>
      <w:r>
        <w:tab/>
      </w:r>
      <w:r>
        <w:fldChar w:fldCharType="begin"/>
      </w:r>
      <w:r>
        <w:instrText xml:space="preserve"> PAGEREF _Toc174951764 \h </w:instrText>
      </w:r>
      <w:r>
        <w:fldChar w:fldCharType="separate"/>
      </w:r>
      <w:r>
        <w:t>142</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_Toc174951765 \h </w:instrText>
      </w:r>
      <w:r>
        <w:fldChar w:fldCharType="separate"/>
      </w:r>
      <w:r>
        <w:t>143</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_Toc174951766 \h </w:instrText>
      </w:r>
      <w:r>
        <w:fldChar w:fldCharType="separate"/>
      </w:r>
      <w:r>
        <w:t>144</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_Toc174951767 \h </w:instrText>
      </w:r>
      <w:r>
        <w:fldChar w:fldCharType="separate"/>
      </w:r>
      <w:r>
        <w:t>144</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_Toc174951768 \h </w:instrText>
      </w:r>
      <w:r>
        <w:fldChar w:fldCharType="separate"/>
      </w:r>
      <w:r>
        <w:t>144</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_Toc174951769 \h </w:instrText>
      </w:r>
      <w:r>
        <w:fldChar w:fldCharType="separate"/>
      </w:r>
      <w:r>
        <w:t>147</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_Toc174951770 \h </w:instrText>
      </w:r>
      <w:r>
        <w:fldChar w:fldCharType="separate"/>
      </w:r>
      <w:r>
        <w:t>149</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_Toc174951771 \h </w:instrText>
      </w:r>
      <w:r>
        <w:fldChar w:fldCharType="separate"/>
      </w:r>
      <w:r>
        <w:t>150</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_Toc174951772 \h </w:instrText>
      </w:r>
      <w:r>
        <w:fldChar w:fldCharType="separate"/>
      </w:r>
      <w:r>
        <w:t>150</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_Toc174951773 \h </w:instrText>
      </w:r>
      <w:r>
        <w:fldChar w:fldCharType="separate"/>
      </w:r>
      <w:r>
        <w:t>150</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_Toc174951774 \h </w:instrText>
      </w:r>
      <w:r>
        <w:fldChar w:fldCharType="separate"/>
      </w:r>
      <w:r>
        <w:t>151</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_Toc174951775 \h </w:instrText>
      </w:r>
      <w:r>
        <w:fldChar w:fldCharType="separate"/>
      </w:r>
      <w:r>
        <w:t>151</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_Toc174951776 \h </w:instrText>
      </w:r>
      <w:r>
        <w:fldChar w:fldCharType="separate"/>
      </w:r>
      <w:r>
        <w:t>152</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_Toc174951777 \h </w:instrText>
      </w:r>
      <w:r>
        <w:fldChar w:fldCharType="separate"/>
      </w:r>
      <w:r>
        <w:t>152</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_Toc174951778 \h </w:instrText>
      </w:r>
      <w:r>
        <w:fldChar w:fldCharType="separate"/>
      </w:r>
      <w:r>
        <w:t>153</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_Toc174951779 \h </w:instrText>
      </w:r>
      <w:r>
        <w:fldChar w:fldCharType="separate"/>
      </w:r>
      <w:r>
        <w:t>153</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_Toc174951780 \h </w:instrText>
      </w:r>
      <w:r>
        <w:fldChar w:fldCharType="separate"/>
      </w:r>
      <w:r>
        <w:t>154</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_Toc174951781 \h </w:instrText>
      </w:r>
      <w:r>
        <w:fldChar w:fldCharType="separate"/>
      </w:r>
      <w:r>
        <w:t>154</w:t>
      </w:r>
      <w:r>
        <w:fldChar w:fldCharType="end"/>
      </w:r>
    </w:p>
    <w:p>
      <w:pPr>
        <w:pStyle w:val="TOC8"/>
        <w:rPr>
          <w:rFonts w:asciiTheme="minorHAnsi" w:eastAsiaTheme="minorEastAsia" w:hAnsiTheme="minorHAnsi" w:cstheme="minorBidi"/>
          <w:szCs w:val="22"/>
        </w:rPr>
      </w:pPr>
      <w:r>
        <w:t>133.</w:t>
      </w:r>
      <w:r>
        <w:tab/>
        <w:t xml:space="preserve">Regulations and rules of court for purposes of </w:t>
      </w:r>
      <w:r>
        <w:rPr>
          <w:i/>
        </w:rPr>
        <w:t>Courts and Tribunals (Electronic Processes Facilitation) Act 2013</w:t>
      </w:r>
      <w:r>
        <w:t xml:space="preserve"> Part 2</w:t>
      </w:r>
      <w:r>
        <w:tab/>
      </w:r>
      <w:r>
        <w:fldChar w:fldCharType="begin"/>
      </w:r>
      <w:r>
        <w:instrText xml:space="preserve"> PAGEREF _Toc174951782 \h </w:instrText>
      </w:r>
      <w:r>
        <w:fldChar w:fldCharType="separate"/>
      </w:r>
      <w:r>
        <w:t>155</w:t>
      </w:r>
      <w:r>
        <w:fldChar w:fldCharType="end"/>
      </w:r>
    </w:p>
    <w:p>
      <w:pPr>
        <w:pStyle w:val="TOC8"/>
        <w:rPr>
          <w:rFonts w:asciiTheme="minorHAnsi" w:eastAsiaTheme="minorEastAsia" w:hAnsiTheme="minorHAnsi" w:cstheme="minorBidi"/>
          <w:szCs w:val="22"/>
        </w:rPr>
      </w:pPr>
      <w:r>
        <w:t>134.</w:t>
      </w:r>
      <w:r>
        <w:tab/>
        <w:t xml:space="preserve">Review of amendment made by </w:t>
      </w:r>
      <w:r>
        <w:rPr>
          <w:i/>
          <w:iCs/>
        </w:rPr>
        <w:t>Family Violence Legislation Reform Act 2020</w:t>
      </w:r>
      <w:r>
        <w:tab/>
      </w:r>
      <w:r>
        <w:fldChar w:fldCharType="begin"/>
      </w:r>
      <w:r>
        <w:instrText xml:space="preserve"> PAGEREF _Toc174951783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The Second Schedule</w:t>
      </w:r>
    </w:p>
    <w:p>
      <w:pPr>
        <w:pStyle w:val="TOC2"/>
        <w:tabs>
          <w:tab w:val="right" w:leader="dot" w:pos="7077"/>
        </w:tabs>
        <w:rPr>
          <w:rFonts w:asciiTheme="minorHAnsi" w:eastAsiaTheme="minorEastAsia" w:hAnsiTheme="minorHAnsi" w:cstheme="minorBidi"/>
          <w:b w:val="0"/>
          <w:sz w:val="22"/>
          <w:szCs w:val="22"/>
        </w:rPr>
      </w:pPr>
      <w:r>
        <w:t xml:space="preserve">Part 1 — Offences under </w:t>
      </w:r>
      <w:r>
        <w:rPr>
          <w:i/>
          <w:iCs/>
        </w:rPr>
        <w:t>The Criminal Code</w:t>
      </w:r>
    </w:p>
    <w:p>
      <w:pPr>
        <w:pStyle w:val="TOC2"/>
        <w:tabs>
          <w:tab w:val="right" w:leader="dot" w:pos="7077"/>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tabs>
          <w:tab w:val="right" w:leader="dot" w:pos="7077"/>
        </w:tabs>
        <w:rPr>
          <w:rFonts w:asciiTheme="minorHAnsi" w:eastAsiaTheme="minorEastAsia" w:hAnsiTheme="minorHAnsi" w:cstheme="minorBidi"/>
          <w:b w:val="0"/>
          <w:sz w:val="22"/>
          <w:szCs w:val="22"/>
        </w:rPr>
      </w:pPr>
      <w:r>
        <w:t xml:space="preserve">Part 3 — Offences under the </w:t>
      </w:r>
      <w:r>
        <w:rPr>
          <w:i/>
        </w:rPr>
        <w:t>Western Australian Marine Act 1982</w:t>
      </w:r>
    </w:p>
    <w:p>
      <w:pPr>
        <w:pStyle w:val="TOC2"/>
        <w:tabs>
          <w:tab w:val="right" w:leader="dot" w:pos="7077"/>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pPr>
        <w:pStyle w:val="TOC2"/>
        <w:tabs>
          <w:tab w:val="right" w:leader="dot" w:pos="7077"/>
        </w:tabs>
        <w:rPr>
          <w:rFonts w:asciiTheme="minorHAnsi" w:eastAsiaTheme="minorEastAsia" w:hAnsiTheme="minorHAnsi" w:cstheme="minorBidi"/>
          <w:b w:val="0"/>
          <w:sz w:val="22"/>
          <w:szCs w:val="22"/>
        </w:rPr>
      </w:pPr>
      <w:r>
        <w:t xml:space="preserve">Part 5 — Offences under the </w:t>
      </w:r>
      <w:r>
        <w:rPr>
          <w:i/>
        </w:rPr>
        <w:t>Misuse of Drugs Act 1981</w:t>
      </w:r>
    </w:p>
    <w:p>
      <w:pPr>
        <w:pStyle w:val="TOC2"/>
        <w:tabs>
          <w:tab w:val="right" w:leader="dot" w:pos="7077"/>
        </w:tabs>
        <w:rPr>
          <w:rFonts w:asciiTheme="minorHAnsi" w:eastAsiaTheme="minorEastAsia" w:hAnsiTheme="minorHAnsi" w:cstheme="minorBidi"/>
          <w:b w:val="0"/>
          <w:sz w:val="22"/>
          <w:szCs w:val="22"/>
        </w:rPr>
      </w:pPr>
      <w:r>
        <w:t xml:space="preserve">Part 6 — Offence under the </w:t>
      </w:r>
      <w:r>
        <w:rPr>
          <w:i/>
        </w:rPr>
        <w:t>Public Health Act 2016</w:t>
      </w:r>
    </w:p>
    <w:p>
      <w:pPr>
        <w:pStyle w:val="TOC2"/>
        <w:tabs>
          <w:tab w:val="right" w:leader="dot" w:pos="7077"/>
        </w:tabs>
        <w:rPr>
          <w:rFonts w:asciiTheme="minorHAnsi" w:eastAsiaTheme="minorEastAsia" w:hAnsiTheme="minorHAnsi" w:cstheme="minorBidi"/>
          <w:b w:val="0"/>
          <w:sz w:val="22"/>
          <w:szCs w:val="22"/>
        </w:rPr>
      </w:pPr>
      <w:r>
        <w:t>The Fourth Schedule</w:t>
      </w:r>
    </w:p>
    <w:p>
      <w:pPr>
        <w:pStyle w:val="TOC2"/>
        <w:tabs>
          <w:tab w:val="right" w:leader="dot" w:pos="7077"/>
        </w:tabs>
        <w:rPr>
          <w:rFonts w:asciiTheme="minorHAnsi" w:eastAsiaTheme="minorEastAsia" w:hAnsiTheme="minorHAnsi" w:cstheme="minorBidi"/>
          <w:b w:val="0"/>
          <w:sz w:val="22"/>
          <w:szCs w:val="22"/>
        </w:rPr>
      </w:pPr>
      <w:r>
        <w:t>The Fifth Schedule</w:t>
      </w:r>
    </w:p>
    <w:p>
      <w:pPr>
        <w:pStyle w:val="TOC2"/>
        <w:tabs>
          <w:tab w:val="right" w:leader="dot" w:pos="7077"/>
        </w:tabs>
        <w:rPr>
          <w:rFonts w:asciiTheme="minorHAnsi" w:eastAsiaTheme="minorEastAsia" w:hAnsiTheme="minorHAnsi" w:cstheme="minorBidi"/>
          <w:b w:val="0"/>
          <w:sz w:val="22"/>
          <w:szCs w:val="22"/>
        </w:rPr>
      </w:pPr>
      <w:r>
        <w:t>The Sixth Schedule</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Part A</w:t>
      </w:r>
    </w:p>
    <w:p>
      <w:pPr>
        <w:pStyle w:val="TOC2"/>
        <w:tabs>
          <w:tab w:val="right" w:leader="dot" w:pos="7077"/>
        </w:tabs>
        <w:rPr>
          <w:rFonts w:asciiTheme="minorHAnsi" w:eastAsiaTheme="minorEastAsia" w:hAnsiTheme="minorHAnsi" w:cstheme="minorBidi"/>
          <w:b w:val="0"/>
          <w:sz w:val="22"/>
          <w:szCs w:val="22"/>
        </w:rPr>
      </w:pPr>
      <w:r>
        <w:t>Part B</w:t>
      </w:r>
    </w:p>
    <w:p>
      <w:pPr>
        <w:pStyle w:val="TOC2"/>
        <w:tabs>
          <w:tab w:val="right" w:leader="dot" w:pos="7077"/>
        </w:tabs>
        <w:rPr>
          <w:rFonts w:asciiTheme="minorHAnsi" w:eastAsiaTheme="minorEastAsia" w:hAnsiTheme="minorHAnsi" w:cstheme="minorBidi"/>
          <w:b w:val="0"/>
          <w:sz w:val="22"/>
          <w:szCs w:val="22"/>
        </w:rPr>
      </w:pPr>
      <w:r>
        <w:t>Part 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_Toc174951799 \h </w:instrText>
      </w:r>
      <w:r>
        <w:fldChar w:fldCharType="separate"/>
      </w:r>
      <w:r>
        <w:t>170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_Toc174951800 \h </w:instrText>
      </w:r>
      <w:r>
        <w:fldChar w:fldCharType="separate"/>
      </w:r>
      <w:r>
        <w:t>178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_Toc174951801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2" w:name="_Toc174951576"/>
      <w:r>
        <w:rPr>
          <w:rStyle w:val="CharSectno"/>
        </w:rPr>
        <w:t>1</w:t>
      </w:r>
      <w:r>
        <w:rPr>
          <w:snapToGrid w:val="0"/>
        </w:rPr>
        <w:t>.</w:t>
      </w:r>
      <w:r>
        <w:rPr>
          <w:snapToGrid w:val="0"/>
        </w:rPr>
        <w:tab/>
        <w:t>Short title</w:t>
      </w:r>
      <w:bookmarkEnd w:id="2"/>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3" w:name="_Toc174951577"/>
      <w:r>
        <w:rPr>
          <w:rStyle w:val="CharSectno"/>
        </w:rPr>
        <w:t>3</w:t>
      </w:r>
      <w:r>
        <w:rPr>
          <w:snapToGrid w:val="0"/>
        </w:rPr>
        <w:t>.</w:t>
      </w:r>
      <w:r>
        <w:rPr>
          <w:snapToGrid w:val="0"/>
        </w:rPr>
        <w:tab/>
        <w:t>Terms used</w:t>
      </w:r>
      <w:bookmarkEnd w:id="3"/>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or publishing for the Government of the Commonwealth or of any State or Australasian colony, and any person purporting to be authorised to print or publish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w:t>
      </w:r>
      <w:r>
        <w:lastRenderedPageBreak/>
        <w:t xml:space="preserve">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 No. 13 of 2021 s. 57.]</w:t>
      </w:r>
    </w:p>
    <w:p>
      <w:pPr>
        <w:pStyle w:val="Heading5"/>
        <w:pageBreakBefore/>
        <w:spacing w:before="0"/>
        <w:rPr>
          <w:snapToGrid w:val="0"/>
        </w:rPr>
      </w:pPr>
      <w:bookmarkStart w:id="4" w:name="_Toc174951578"/>
      <w:r>
        <w:rPr>
          <w:rStyle w:val="CharSectno"/>
        </w:rPr>
        <w:lastRenderedPageBreak/>
        <w:t>4</w:t>
      </w:r>
      <w:r>
        <w:rPr>
          <w:snapToGrid w:val="0"/>
        </w:rPr>
        <w:t>.</w:t>
      </w:r>
      <w:r>
        <w:rPr>
          <w:snapToGrid w:val="0"/>
        </w:rPr>
        <w:tab/>
        <w:t>Application of Act</w:t>
      </w:r>
      <w:bookmarkEnd w:id="4"/>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5" w:name="_Toc174951579"/>
      <w:r>
        <w:rPr>
          <w:rStyle w:val="CharSectno"/>
        </w:rPr>
        <w:t>5A</w:t>
      </w:r>
      <w:r>
        <w:t>.</w:t>
      </w:r>
      <w:r>
        <w:tab/>
      </w:r>
      <w:r>
        <w:rPr>
          <w:i/>
        </w:rPr>
        <w:t>Courts and Tribunals (Electronic Processes Facilitation) Act 2013</w:t>
      </w:r>
      <w:r>
        <w:t xml:space="preserve"> Part 2 applies</w:t>
      </w:r>
      <w:bookmarkEnd w:id="5"/>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6" w:name="_Toc174951580"/>
      <w:r>
        <w:rPr>
          <w:rStyle w:val="CharSectno"/>
        </w:rPr>
        <w:t>5</w:t>
      </w:r>
      <w:r>
        <w:rPr>
          <w:snapToGrid w:val="0"/>
        </w:rPr>
        <w:t>.</w:t>
      </w:r>
      <w:r>
        <w:rPr>
          <w:snapToGrid w:val="0"/>
        </w:rPr>
        <w:tab/>
        <w:t>This Act not to derogate from existing powers</w:t>
      </w:r>
      <w:bookmarkEnd w:id="6"/>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7" w:name="_Toc174951581"/>
      <w:r>
        <w:rPr>
          <w:rStyle w:val="CharSectno"/>
        </w:rPr>
        <w:t>6</w:t>
      </w:r>
      <w:r>
        <w:rPr>
          <w:snapToGrid w:val="0"/>
        </w:rPr>
        <w:t>.</w:t>
      </w:r>
      <w:r>
        <w:rPr>
          <w:snapToGrid w:val="0"/>
        </w:rPr>
        <w:tab/>
        <w:t>Witnesses interested or convicted of offence</w:t>
      </w:r>
      <w:bookmarkEnd w:id="7"/>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8" w:name="_Toc174951582"/>
      <w:r>
        <w:rPr>
          <w:rStyle w:val="CharSectno"/>
        </w:rPr>
        <w:t>7</w:t>
      </w:r>
      <w:r>
        <w:rPr>
          <w:snapToGrid w:val="0"/>
        </w:rPr>
        <w:t>.</w:t>
      </w:r>
      <w:r>
        <w:rPr>
          <w:snapToGrid w:val="0"/>
        </w:rPr>
        <w:tab/>
        <w:t>Parties to civil proceedings and spouses and ex</w:t>
      </w:r>
      <w:r>
        <w:rPr>
          <w:snapToGrid w:val="0"/>
        </w:rPr>
        <w:noBreakHyphen/>
        <w:t>spouses of parties</w:t>
      </w:r>
      <w:bookmarkEnd w:id="8"/>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9" w:name="_Toc174951583"/>
      <w:r>
        <w:rPr>
          <w:rStyle w:val="CharSectno"/>
        </w:rPr>
        <w:lastRenderedPageBreak/>
        <w:t>8</w:t>
      </w:r>
      <w:r>
        <w:rPr>
          <w:snapToGrid w:val="0"/>
        </w:rPr>
        <w:t>.</w:t>
      </w:r>
      <w:r>
        <w:rPr>
          <w:snapToGrid w:val="0"/>
        </w:rPr>
        <w:tab/>
        <w:t>Accused persons in criminal cases</w:t>
      </w:r>
      <w:bookmarkEnd w:id="9"/>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 xml:space="preserve">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w:t>
      </w:r>
      <w:r>
        <w:rPr>
          <w:snapToGrid w:val="0"/>
        </w:rPr>
        <w:lastRenderedPageBreak/>
        <w:t>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0" w:name="_Toc174951584"/>
      <w:r>
        <w:rPr>
          <w:rStyle w:val="CharSectno"/>
        </w:rPr>
        <w:t>9</w:t>
      </w:r>
      <w:r>
        <w:rPr>
          <w:snapToGrid w:val="0"/>
        </w:rPr>
        <w:t>.</w:t>
      </w:r>
      <w:r>
        <w:rPr>
          <w:snapToGrid w:val="0"/>
        </w:rPr>
        <w:tab/>
        <w:t>Spouses and ex</w:t>
      </w:r>
      <w:r>
        <w:rPr>
          <w:snapToGrid w:val="0"/>
        </w:rPr>
        <w:noBreakHyphen/>
        <w:t>spouses of accused persons in criminal cases</w:t>
      </w:r>
      <w:bookmarkEnd w:id="10"/>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lastRenderedPageBreak/>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lastRenderedPageBreak/>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11" w:name="_Toc174951585"/>
      <w:r>
        <w:rPr>
          <w:rStyle w:val="CharSectno"/>
        </w:rPr>
        <w:t>11</w:t>
      </w:r>
      <w:r>
        <w:rPr>
          <w:snapToGrid w:val="0"/>
        </w:rPr>
        <w:t>.</w:t>
      </w:r>
      <w:r>
        <w:rPr>
          <w:snapToGrid w:val="0"/>
        </w:rPr>
        <w:tab/>
        <w:t>Court may compel answer to incriminating question</w:t>
      </w:r>
      <w:bookmarkEnd w:id="11"/>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 xml:space="preserve">Where in a proceeding a person is given a certificate under subsection (2) in respect of any evidence, a statement made by him, as part of that evidence, in answer to a question or interrogatory is not admissible in evidence in criminal </w:t>
      </w:r>
      <w:r>
        <w:rPr>
          <w:snapToGrid w:val="0"/>
        </w:rPr>
        <w:lastRenderedPageBreak/>
        <w:t>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12" w:name="_Toc174951586"/>
      <w:r>
        <w:rPr>
          <w:rStyle w:val="CharSectno"/>
        </w:rPr>
        <w:t>11A</w:t>
      </w:r>
      <w:r>
        <w:rPr>
          <w:snapToGrid w:val="0"/>
        </w:rPr>
        <w:t>.</w:t>
      </w:r>
      <w:r>
        <w:rPr>
          <w:snapToGrid w:val="0"/>
        </w:rPr>
        <w:tab/>
        <w:t>Judge may restrict publication of evidence where s. 11 certificate given</w:t>
      </w:r>
      <w:bookmarkEnd w:id="12"/>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13" w:name="_Toc174951587"/>
      <w:r>
        <w:rPr>
          <w:rStyle w:val="CharSectno"/>
        </w:rPr>
        <w:lastRenderedPageBreak/>
        <w:t>12</w:t>
      </w:r>
      <w:r>
        <w:rPr>
          <w:snapToGrid w:val="0"/>
        </w:rPr>
        <w:t>.</w:t>
      </w:r>
      <w:r>
        <w:rPr>
          <w:snapToGrid w:val="0"/>
        </w:rPr>
        <w:tab/>
        <w:t>Witnesses in revenue cases may be compelled to give evidence</w:t>
      </w:r>
      <w:bookmarkEnd w:id="13"/>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14" w:name="_Toc174951588"/>
      <w:r>
        <w:rPr>
          <w:rStyle w:val="CharSectno"/>
        </w:rPr>
        <w:lastRenderedPageBreak/>
        <w:t>13</w:t>
      </w:r>
      <w:r>
        <w:rPr>
          <w:snapToGrid w:val="0"/>
        </w:rPr>
        <w:t>.</w:t>
      </w:r>
      <w:r>
        <w:rPr>
          <w:snapToGrid w:val="0"/>
        </w:rPr>
        <w:tab/>
        <w:t>Certificate under s. 12 may be pleaded in bar to prosecution</w:t>
      </w:r>
      <w:bookmarkEnd w:id="14"/>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15" w:name="_Toc174951589"/>
      <w:r>
        <w:rPr>
          <w:rStyle w:val="CharSectno"/>
        </w:rPr>
        <w:t>14</w:t>
      </w:r>
      <w:r>
        <w:rPr>
          <w:snapToGrid w:val="0"/>
        </w:rPr>
        <w:t>.</w:t>
      </w:r>
      <w:r>
        <w:rPr>
          <w:snapToGrid w:val="0"/>
        </w:rPr>
        <w:tab/>
        <w:t>Customs prosecutions, accused compellable</w:t>
      </w:r>
      <w:bookmarkEnd w:id="15"/>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16" w:name="_Toc174951590"/>
      <w:r>
        <w:rPr>
          <w:rStyle w:val="CharSectno"/>
        </w:rPr>
        <w:t>15</w:t>
      </w:r>
      <w:r>
        <w:rPr>
          <w:snapToGrid w:val="0"/>
        </w:rPr>
        <w:t>.</w:t>
      </w:r>
      <w:r>
        <w:rPr>
          <w:snapToGrid w:val="0"/>
        </w:rPr>
        <w:tab/>
        <w:t>Persons may be examined without subpoena</w:t>
      </w:r>
      <w:bookmarkEnd w:id="16"/>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7" w:name="_Toc174951591"/>
      <w:r>
        <w:rPr>
          <w:rStyle w:val="CharSectno"/>
        </w:rPr>
        <w:t>16</w:t>
      </w:r>
      <w:r>
        <w:rPr>
          <w:snapToGrid w:val="0"/>
        </w:rPr>
        <w:t>.</w:t>
      </w:r>
      <w:r>
        <w:rPr>
          <w:snapToGrid w:val="0"/>
        </w:rPr>
        <w:tab/>
        <w:t>Witnesses failing to attend trial</w:t>
      </w:r>
      <w:bookmarkEnd w:id="17"/>
    </w:p>
    <w:p>
      <w:pPr>
        <w:pStyle w:val="Subsection"/>
        <w:rPr>
          <w:snapToGrid w:val="0"/>
        </w:rPr>
      </w:pPr>
      <w:r>
        <w:rPr>
          <w:snapToGrid w:val="0"/>
        </w:rPr>
        <w:tab/>
        <w:t>(1)</w:t>
      </w:r>
      <w:r>
        <w:rPr>
          <w:snapToGrid w:val="0"/>
        </w:rPr>
        <w:tab/>
        <w:t xml:space="preserve">Where any person duly bound by recognizance or served with a subpoena, summons, or order to attend in any court as a witness at the trial of any case, civil or criminal, fails to appear when </w:t>
      </w:r>
      <w:r>
        <w:rPr>
          <w:snapToGrid w:val="0"/>
        </w:rPr>
        <w:lastRenderedPageBreak/>
        <w:t>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8" w:name="_Toc174951592"/>
      <w:r>
        <w:rPr>
          <w:rStyle w:val="CharSectno"/>
        </w:rPr>
        <w:t>17</w:t>
      </w:r>
      <w:r>
        <w:rPr>
          <w:snapToGrid w:val="0"/>
        </w:rPr>
        <w:t>.</w:t>
      </w:r>
      <w:r>
        <w:rPr>
          <w:snapToGrid w:val="0"/>
        </w:rPr>
        <w:tab/>
        <w:t>Procedure on non</w:t>
      </w:r>
      <w:r>
        <w:rPr>
          <w:snapToGrid w:val="0"/>
        </w:rPr>
        <w:noBreakHyphen/>
        <w:t>appearance of witness</w:t>
      </w:r>
      <w:bookmarkEnd w:id="18"/>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19" w:name="_Toc174951593"/>
      <w:r>
        <w:rPr>
          <w:snapToGrid w:val="0"/>
        </w:rPr>
        <w:t>18.</w:t>
      </w:r>
      <w:r>
        <w:rPr>
          <w:snapToGrid w:val="0"/>
        </w:rPr>
        <w:tab/>
        <w:t>Communications during marriage</w:t>
      </w:r>
      <w:bookmarkEnd w:id="19"/>
    </w:p>
    <w:p>
      <w:pPr>
        <w:pStyle w:val="Subsection"/>
        <w:rPr>
          <w:snapToGrid w:val="0"/>
        </w:rPr>
      </w:pPr>
      <w:r>
        <w:rPr>
          <w:snapToGrid w:val="0"/>
        </w:rPr>
        <w:tab/>
      </w:r>
      <w:r>
        <w:rPr>
          <w:snapToGrid w:val="0"/>
        </w:rPr>
        <w:tab/>
        <w:t xml:space="preserve">Subject to the provisions of section 9, a husband shall not be compellable in any proceeding to disclose any communication made to him by his wife, or by him to his wife, during the marriage, and a wife shall not be compellable in any proceeding </w:t>
      </w:r>
      <w:r>
        <w:rPr>
          <w:snapToGrid w:val="0"/>
        </w:rPr>
        <w:lastRenderedPageBreak/>
        <w:t>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20" w:name="_Toc174951594"/>
      <w:r>
        <w:rPr>
          <w:rStyle w:val="CharSectno"/>
        </w:rPr>
        <w:t>19</w:t>
      </w:r>
      <w:r>
        <w:rPr>
          <w:snapToGrid w:val="0"/>
        </w:rPr>
        <w:t>.</w:t>
      </w:r>
      <w:r>
        <w:rPr>
          <w:snapToGrid w:val="0"/>
        </w:rPr>
        <w:tab/>
        <w:t>Evidence of non</w:t>
      </w:r>
      <w:r>
        <w:rPr>
          <w:snapToGrid w:val="0"/>
        </w:rPr>
        <w:noBreakHyphen/>
        <w:t>access</w:t>
      </w:r>
      <w:bookmarkEnd w:id="20"/>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21" w:name="_Toc174951595"/>
      <w:r>
        <w:rPr>
          <w:rStyle w:val="CharSectno"/>
        </w:rPr>
        <w:t>19A</w:t>
      </w:r>
      <w:r>
        <w:t>.</w:t>
      </w:r>
      <w:r>
        <w:tab/>
        <w:t>Terms used</w:t>
      </w:r>
      <w:bookmarkEnd w:id="21"/>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lastRenderedPageBreak/>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lastRenderedPageBreak/>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lastRenderedPageBreak/>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22" w:name="_Toc174951596"/>
      <w:r>
        <w:rPr>
          <w:rStyle w:val="CharSectno"/>
        </w:rPr>
        <w:t>19B</w:t>
      </w:r>
      <w:r>
        <w:t>.</w:t>
      </w:r>
      <w:r>
        <w:tab/>
        <w:t>Protected communications recorded electronically</w:t>
      </w:r>
      <w:bookmarkEnd w:id="22"/>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23" w:name="_Toc174951597"/>
      <w:r>
        <w:rPr>
          <w:rStyle w:val="CharSectno"/>
        </w:rPr>
        <w:lastRenderedPageBreak/>
        <w:t>19C</w:t>
      </w:r>
      <w:r>
        <w:t>.</w:t>
      </w:r>
      <w:r>
        <w:tab/>
        <w:t>Protected communications not to be disclosed in criminal proceedings except with leave of court</w:t>
      </w:r>
      <w:bookmarkEnd w:id="23"/>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 xml:space="preserve">If the court does not consider that the supporting affidavit establishes a prima facie case that the applicant has a legitimate forensic purpose for having the leave, the court is to notify the </w:t>
      </w:r>
      <w:r>
        <w:lastRenderedPageBreak/>
        <w:t>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24" w:name="_Toc174951598"/>
      <w:r>
        <w:rPr>
          <w:rStyle w:val="CharSectno"/>
        </w:rPr>
        <w:t>19D</w:t>
      </w:r>
      <w:r>
        <w:t>.</w:t>
      </w:r>
      <w:r>
        <w:tab/>
        <w:t>Procedure on hearing of application for leave</w:t>
      </w:r>
      <w:bookmarkEnd w:id="24"/>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25" w:name="_Toc174951599"/>
      <w:r>
        <w:rPr>
          <w:rStyle w:val="CharSectno"/>
        </w:rPr>
        <w:t>19E</w:t>
      </w:r>
      <w:r>
        <w:t>.</w:t>
      </w:r>
      <w:r>
        <w:tab/>
        <w:t>Application for leave to be dismissed if there is no legitimate forensic purpose for it</w:t>
      </w:r>
      <w:bookmarkEnd w:id="25"/>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lastRenderedPageBreak/>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lastRenderedPageBreak/>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26" w:name="_Toc174951600"/>
      <w:r>
        <w:rPr>
          <w:rStyle w:val="CharSectno"/>
        </w:rPr>
        <w:t>19F</w:t>
      </w:r>
      <w:r>
        <w:t>.</w:t>
      </w:r>
      <w:r>
        <w:tab/>
        <w:t>Determination of application</w:t>
      </w:r>
      <w:bookmarkEnd w:id="26"/>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27" w:name="_Toc174951601"/>
      <w:r>
        <w:rPr>
          <w:rStyle w:val="CharSectno"/>
        </w:rPr>
        <w:t>19G</w:t>
      </w:r>
      <w:r>
        <w:t>.</w:t>
      </w:r>
      <w:r>
        <w:tab/>
        <w:t>Public interest test</w:t>
      </w:r>
      <w:bookmarkEnd w:id="27"/>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lastRenderedPageBreak/>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28" w:name="_Toc174951602"/>
      <w:r>
        <w:rPr>
          <w:rStyle w:val="CharSectno"/>
        </w:rPr>
        <w:t>19H</w:t>
      </w:r>
      <w:r>
        <w:t>.</w:t>
      </w:r>
      <w:r>
        <w:tab/>
        <w:t>Effect of consent</w:t>
      </w:r>
      <w:bookmarkEnd w:id="28"/>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29" w:name="_Toc174951603"/>
      <w:r>
        <w:rPr>
          <w:rStyle w:val="CharSectno"/>
        </w:rPr>
        <w:lastRenderedPageBreak/>
        <w:t>19I</w:t>
      </w:r>
      <w:r>
        <w:t>.</w:t>
      </w:r>
      <w:r>
        <w:tab/>
        <w:t>Loss of sexual assault communications privilege: misconduct</w:t>
      </w:r>
      <w:bookmarkEnd w:id="29"/>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30" w:name="_Toc174951604"/>
      <w:r>
        <w:rPr>
          <w:rStyle w:val="CharSectno"/>
        </w:rPr>
        <w:t>19J</w:t>
      </w:r>
      <w:r>
        <w:t>.</w:t>
      </w:r>
      <w:r>
        <w:tab/>
        <w:t>Ancillary orders</w:t>
      </w:r>
      <w:bookmarkEnd w:id="30"/>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lastRenderedPageBreak/>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31" w:name="_Toc174951605"/>
      <w:r>
        <w:rPr>
          <w:rStyle w:val="CharSectno"/>
        </w:rPr>
        <w:t>19K</w:t>
      </w:r>
      <w:r>
        <w:t>.</w:t>
      </w:r>
      <w:r>
        <w:tab/>
        <w:t>Inadmissibility of evidence that must not be adduced or given</w:t>
      </w:r>
      <w:bookmarkEnd w:id="31"/>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32" w:name="_Toc174951606"/>
      <w:r>
        <w:rPr>
          <w:rStyle w:val="CharSectno"/>
        </w:rPr>
        <w:t>19L</w:t>
      </w:r>
      <w:r>
        <w:t>.</w:t>
      </w:r>
      <w:r>
        <w:tab/>
        <w:t>Application of other laws</w:t>
      </w:r>
      <w:bookmarkEnd w:id="32"/>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lastRenderedPageBreak/>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33" w:name="_Toc174951607"/>
      <w:r>
        <w:rPr>
          <w:rStyle w:val="CharSectno"/>
        </w:rPr>
        <w:t>19M</w:t>
      </w:r>
      <w:r>
        <w:t>.</w:t>
      </w:r>
      <w:r>
        <w:tab/>
        <w:t>Regulations as to disclosure of protected communications</w:t>
      </w:r>
      <w:bookmarkEnd w:id="33"/>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lastRenderedPageBreak/>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34" w:name="_Toc174951608"/>
      <w:r>
        <w:rPr>
          <w:rStyle w:val="CharSectno"/>
        </w:rPr>
        <w:t>20A</w:t>
      </w:r>
      <w:r>
        <w:t>.</w:t>
      </w:r>
      <w:r>
        <w:tab/>
        <w:t>Terms used</w:t>
      </w:r>
      <w:bookmarkEnd w:id="34"/>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 xml:space="preserve">For the purposes of the protection provisions (PCR), a communication may be made in confidence even if it is made in </w:t>
      </w:r>
      <w:r>
        <w:lastRenderedPageBreak/>
        <w:t>the presence of a third party if the third party’s presence is necessary to facilitate communication.</w:t>
      </w:r>
    </w:p>
    <w:p>
      <w:pPr>
        <w:pStyle w:val="Footnotesection"/>
      </w:pPr>
      <w:r>
        <w:tab/>
        <w:t>[Section 20A inserted: No. 31 of 2012 s. 5.]</w:t>
      </w:r>
    </w:p>
    <w:p>
      <w:pPr>
        <w:pStyle w:val="Heading5"/>
      </w:pPr>
      <w:bookmarkStart w:id="35" w:name="_Toc174951609"/>
      <w:r>
        <w:rPr>
          <w:rStyle w:val="CharSectno"/>
        </w:rPr>
        <w:t>20B</w:t>
      </w:r>
      <w:r>
        <w:t>.</w:t>
      </w:r>
      <w:r>
        <w:tab/>
        <w:t>Application of protection provisions (PCR)</w:t>
      </w:r>
      <w:bookmarkEnd w:id="35"/>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36" w:name="_Toc174951610"/>
      <w:r>
        <w:rPr>
          <w:rStyle w:val="CharSectno"/>
        </w:rPr>
        <w:lastRenderedPageBreak/>
        <w:t>20C</w:t>
      </w:r>
      <w:r>
        <w:t>.</w:t>
      </w:r>
      <w:r>
        <w:tab/>
        <w:t>Exclusion of evidence of protected confidences</w:t>
      </w:r>
      <w:bookmarkEnd w:id="36"/>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 xml:space="preserve">the likely effect of adducing evidence of the protected confidence or protected identity information, including </w:t>
      </w:r>
      <w:r>
        <w:lastRenderedPageBreak/>
        <w:t>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37" w:name="_Toc174951611"/>
      <w:r>
        <w:rPr>
          <w:rStyle w:val="CharSectno"/>
        </w:rPr>
        <w:lastRenderedPageBreak/>
        <w:t>20D</w:t>
      </w:r>
      <w:r>
        <w:t>.</w:t>
      </w:r>
      <w:r>
        <w:tab/>
        <w:t>Loss of professional confidential relationship protection: consent</w:t>
      </w:r>
      <w:bookmarkEnd w:id="37"/>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38" w:name="_Toc174951612"/>
      <w:r>
        <w:rPr>
          <w:rStyle w:val="CharSectno"/>
        </w:rPr>
        <w:t>20E</w:t>
      </w:r>
      <w:r>
        <w:t>.</w:t>
      </w:r>
      <w:r>
        <w:tab/>
        <w:t>Loss of professional confidential relationship protection: misconduct</w:t>
      </w:r>
      <w:bookmarkEnd w:id="38"/>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lastRenderedPageBreak/>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39" w:name="_Toc174951613"/>
      <w:r>
        <w:rPr>
          <w:rStyle w:val="CharSectno"/>
        </w:rPr>
        <w:t>20F</w:t>
      </w:r>
      <w:r>
        <w:t>.</w:t>
      </w:r>
      <w:r>
        <w:tab/>
        <w:t>Ancillary orders</w:t>
      </w:r>
      <w:bookmarkEnd w:id="39"/>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keepNext/>
      </w:pPr>
      <w:r>
        <w:tab/>
        <w:t>(b)</w:t>
      </w:r>
      <w:r>
        <w:tab/>
        <w:t xml:space="preserve">make such orders relating to the suppression of publication of all or part of the evidence given before the court as, in its opinion, are necessary to protect the </w:t>
      </w:r>
      <w:r>
        <w:lastRenderedPageBreak/>
        <w:t>safety and welfare of the protected confider and are in the interests of justice.</w:t>
      </w:r>
    </w:p>
    <w:p>
      <w:pPr>
        <w:pStyle w:val="Footnotesection"/>
      </w:pPr>
      <w:r>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40" w:name="_Toc174951614"/>
      <w:r>
        <w:rPr>
          <w:rStyle w:val="CharSectno"/>
        </w:rPr>
        <w:t>20G</w:t>
      </w:r>
      <w:r>
        <w:t>.</w:t>
      </w:r>
      <w:r>
        <w:tab/>
        <w:t>Terms used</w:t>
      </w:r>
      <w:bookmarkEnd w:id="40"/>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keepNext/>
      </w:pPr>
      <w:r>
        <w:lastRenderedPageBreak/>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41" w:name="_Toc174951615"/>
      <w:r>
        <w:rPr>
          <w:rStyle w:val="CharSectno"/>
        </w:rPr>
        <w:t>20H</w:t>
      </w:r>
      <w:r>
        <w:t>.</w:t>
      </w:r>
      <w:r>
        <w:tab/>
        <w:t>Application of protection provisions (journalists)</w:t>
      </w:r>
      <w:bookmarkEnd w:id="41"/>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42" w:name="_Toc174951616"/>
      <w:r>
        <w:rPr>
          <w:rStyle w:val="CharSectno"/>
        </w:rPr>
        <w:t>20I</w:t>
      </w:r>
      <w:r>
        <w:t>.</w:t>
      </w:r>
      <w:r>
        <w:tab/>
        <w:t>Protection of identity of informants</w:t>
      </w:r>
      <w:bookmarkEnd w:id="42"/>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43" w:name="_Toc174951617"/>
      <w:r>
        <w:rPr>
          <w:rStyle w:val="CharSectno"/>
        </w:rPr>
        <w:t>20J</w:t>
      </w:r>
      <w:r>
        <w:t>.</w:t>
      </w:r>
      <w:r>
        <w:tab/>
        <w:t>Direction to give identifying evidence</w:t>
      </w:r>
      <w:bookmarkEnd w:id="43"/>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lastRenderedPageBreak/>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keepNext/>
      </w:pPr>
      <w:r>
        <w:lastRenderedPageBreak/>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44" w:name="_Toc174951618"/>
      <w:r>
        <w:rPr>
          <w:rStyle w:val="CharSectno"/>
        </w:rPr>
        <w:t>20K</w:t>
      </w:r>
      <w:r>
        <w:t>.</w:t>
      </w:r>
      <w:r>
        <w:tab/>
        <w:t>Effect of misconduct as to directions</w:t>
      </w:r>
      <w:bookmarkEnd w:id="44"/>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lastRenderedPageBreak/>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w:t>
      </w:r>
      <w:r>
        <w:lastRenderedPageBreak/>
        <w:t xml:space="preserve">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lastRenderedPageBreak/>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45" w:name="_Toc174951619"/>
      <w:r>
        <w:rPr>
          <w:rStyle w:val="CharSectno"/>
        </w:rPr>
        <w:t>20L</w:t>
      </w:r>
      <w:r>
        <w:t>.</w:t>
      </w:r>
      <w:r>
        <w:tab/>
        <w:t>Identifying informant with consent</w:t>
      </w:r>
      <w:bookmarkEnd w:id="45"/>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46" w:name="_Toc174951620"/>
      <w:r>
        <w:rPr>
          <w:rStyle w:val="CharSectno"/>
        </w:rPr>
        <w:t>20M</w:t>
      </w:r>
      <w:r>
        <w:t>.</w:t>
      </w:r>
      <w:r>
        <w:tab/>
        <w:t>Ancillary orders</w:t>
      </w:r>
      <w:bookmarkEnd w:id="46"/>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lastRenderedPageBreak/>
        <w:t>Impeaching credit of witnesses</w:t>
      </w:r>
    </w:p>
    <w:p>
      <w:pPr>
        <w:pStyle w:val="Heading5"/>
        <w:spacing w:before="180"/>
        <w:rPr>
          <w:snapToGrid w:val="0"/>
        </w:rPr>
      </w:pPr>
      <w:bookmarkStart w:id="47" w:name="_Toc174951621"/>
      <w:r>
        <w:rPr>
          <w:rStyle w:val="CharSectno"/>
        </w:rPr>
        <w:t>20</w:t>
      </w:r>
      <w:r>
        <w:rPr>
          <w:snapToGrid w:val="0"/>
        </w:rPr>
        <w:t>.</w:t>
      </w:r>
      <w:r>
        <w:rPr>
          <w:snapToGrid w:val="0"/>
        </w:rPr>
        <w:tab/>
        <w:t>How far a party may discredit his own witness</w:t>
      </w:r>
      <w:bookmarkEnd w:id="47"/>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48" w:name="_Toc174951622"/>
      <w:r>
        <w:rPr>
          <w:rStyle w:val="CharSectno"/>
        </w:rPr>
        <w:t>21</w:t>
      </w:r>
      <w:r>
        <w:rPr>
          <w:snapToGrid w:val="0"/>
        </w:rPr>
        <w:t>.</w:t>
      </w:r>
      <w:r>
        <w:rPr>
          <w:snapToGrid w:val="0"/>
        </w:rPr>
        <w:tab/>
        <w:t>Cross</w:t>
      </w:r>
      <w:r>
        <w:rPr>
          <w:snapToGrid w:val="0"/>
        </w:rPr>
        <w:noBreakHyphen/>
        <w:t>examination as to and proof of prior inconsistent statement</w:t>
      </w:r>
      <w:bookmarkEnd w:id="48"/>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49" w:name="_Toc174951623"/>
      <w:r>
        <w:rPr>
          <w:rStyle w:val="CharSectno"/>
        </w:rPr>
        <w:t>22</w:t>
      </w:r>
      <w:r>
        <w:rPr>
          <w:snapToGrid w:val="0"/>
        </w:rPr>
        <w:t>.</w:t>
      </w:r>
      <w:r>
        <w:rPr>
          <w:snapToGrid w:val="0"/>
        </w:rPr>
        <w:tab/>
        <w:t>Procedure for purposes of s. 21</w:t>
      </w:r>
      <w:bookmarkEnd w:id="49"/>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lastRenderedPageBreak/>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50" w:name="_Toc174951624"/>
      <w:r>
        <w:rPr>
          <w:rStyle w:val="CharSectno"/>
        </w:rPr>
        <w:t>23</w:t>
      </w:r>
      <w:r>
        <w:rPr>
          <w:snapToGrid w:val="0"/>
        </w:rPr>
        <w:t>.</w:t>
      </w:r>
      <w:r>
        <w:rPr>
          <w:snapToGrid w:val="0"/>
        </w:rPr>
        <w:tab/>
        <w:t>Cross</w:t>
      </w:r>
      <w:r>
        <w:rPr>
          <w:snapToGrid w:val="0"/>
        </w:rPr>
        <w:noBreakHyphen/>
        <w:t>examination as to and proof of previous conviction</w:t>
      </w:r>
      <w:bookmarkEnd w:id="5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lastRenderedPageBreak/>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51" w:name="_Toc174951625"/>
      <w:r>
        <w:rPr>
          <w:rStyle w:val="CharSectno"/>
        </w:rPr>
        <w:t>24</w:t>
      </w:r>
      <w:r>
        <w:rPr>
          <w:snapToGrid w:val="0"/>
        </w:rPr>
        <w:t>.</w:t>
      </w:r>
      <w:r>
        <w:rPr>
          <w:snapToGrid w:val="0"/>
        </w:rPr>
        <w:tab/>
        <w:t>Questions tending to criminate</w:t>
      </w:r>
      <w:bookmarkEnd w:id="51"/>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52" w:name="_Toc174951626"/>
      <w:r>
        <w:rPr>
          <w:rStyle w:val="CharSectno"/>
        </w:rPr>
        <w:t>25</w:t>
      </w:r>
      <w:r>
        <w:rPr>
          <w:snapToGrid w:val="0"/>
        </w:rPr>
        <w:t>.</w:t>
      </w:r>
      <w:r>
        <w:rPr>
          <w:snapToGrid w:val="0"/>
        </w:rPr>
        <w:tab/>
        <w:t>Cross</w:t>
      </w:r>
      <w:r>
        <w:rPr>
          <w:snapToGrid w:val="0"/>
        </w:rPr>
        <w:noBreakHyphen/>
        <w:t>examination as to credit</w:t>
      </w:r>
      <w:bookmarkEnd w:id="52"/>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lastRenderedPageBreak/>
        <w:tab/>
        <w:t>(3)</w:t>
      </w:r>
      <w:r>
        <w:rPr>
          <w:snapToGrid w:val="0"/>
        </w:rPr>
        <w:tab/>
        <w:t>Nothing herein shall be deemed to make any witness compellable to give evidence upon any matter he is now by law privileged from disclosing.</w:t>
      </w:r>
    </w:p>
    <w:p>
      <w:pPr>
        <w:pStyle w:val="Heading5"/>
      </w:pPr>
      <w:bookmarkStart w:id="53" w:name="_Toc174951627"/>
      <w:r>
        <w:rPr>
          <w:rStyle w:val="CharSectno"/>
        </w:rPr>
        <w:t>25A</w:t>
      </w:r>
      <w:r>
        <w:t>.</w:t>
      </w:r>
      <w:r>
        <w:tab/>
        <w:t>Cross</w:t>
      </w:r>
      <w:r>
        <w:noBreakHyphen/>
        <w:t>examination by accused in person</w:t>
      </w:r>
      <w:bookmarkEnd w:id="53"/>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 xml:space="preserve">whether or not an order is made under paragraph (a) or (b), make an order that forbids the accused person from putting a question to the witness directly and requires the question, having been first stated by the accused person to the judge or a person approved by the </w:t>
      </w:r>
      <w:r>
        <w:lastRenderedPageBreak/>
        <w:t>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54" w:name="_Toc174951628"/>
      <w:r>
        <w:rPr>
          <w:rStyle w:val="CharSectno"/>
        </w:rPr>
        <w:t>26</w:t>
      </w:r>
      <w:r>
        <w:t>.</w:t>
      </w:r>
      <w:r>
        <w:tab/>
        <w:t>Improper questions</w:t>
      </w:r>
      <w:bookmarkEnd w:id="54"/>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keepNext/>
        <w:spacing w:before="120"/>
      </w:pPr>
      <w:r>
        <w:lastRenderedPageBreak/>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55" w:name="_Toc174951629"/>
      <w:r>
        <w:rPr>
          <w:rStyle w:val="CharSectno"/>
        </w:rPr>
        <w:t>27</w:t>
      </w:r>
      <w:r>
        <w:rPr>
          <w:snapToGrid w:val="0"/>
        </w:rPr>
        <w:t>.</w:t>
      </w:r>
      <w:r>
        <w:rPr>
          <w:snapToGrid w:val="0"/>
        </w:rPr>
        <w:tab/>
        <w:t>Prohibited questions not to be published</w:t>
      </w:r>
      <w:bookmarkEnd w:id="55"/>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56" w:name="_Toc174951630"/>
      <w:r>
        <w:rPr>
          <w:rStyle w:val="CharSectno"/>
        </w:rPr>
        <w:t>27A</w:t>
      </w:r>
      <w:r>
        <w:t>.</w:t>
      </w:r>
      <w:r>
        <w:tab/>
        <w:t>Form of evidence</w:t>
      </w:r>
      <w:bookmarkEnd w:id="56"/>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keepNext/>
        <w:spacing w:before="140"/>
      </w:pPr>
      <w:r>
        <w:lastRenderedPageBreak/>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57" w:name="_Toc174951631"/>
      <w:r>
        <w:rPr>
          <w:rStyle w:val="CharSectno"/>
        </w:rPr>
        <w:t>27B</w:t>
      </w:r>
      <w:r>
        <w:t>.</w:t>
      </w:r>
      <w:r>
        <w:tab/>
        <w:t>Manner of giving voluminous or complex evidence</w:t>
      </w:r>
      <w:bookmarkEnd w:id="57"/>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58" w:name="_Toc174951632"/>
      <w:r>
        <w:rPr>
          <w:rStyle w:val="CharSectno"/>
        </w:rPr>
        <w:lastRenderedPageBreak/>
        <w:t>29</w:t>
      </w:r>
      <w:r>
        <w:rPr>
          <w:snapToGrid w:val="0"/>
        </w:rPr>
        <w:t>.</w:t>
      </w:r>
      <w:r>
        <w:rPr>
          <w:snapToGrid w:val="0"/>
        </w:rPr>
        <w:tab/>
        <w:t>Intention to defraud, proof of</w:t>
      </w:r>
      <w:bookmarkEnd w:id="58"/>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59" w:name="_Toc174951633"/>
      <w:r>
        <w:rPr>
          <w:rStyle w:val="CharSectno"/>
        </w:rPr>
        <w:t>30</w:t>
      </w:r>
      <w:r>
        <w:rPr>
          <w:snapToGrid w:val="0"/>
        </w:rPr>
        <w:t>.</w:t>
      </w:r>
      <w:r>
        <w:rPr>
          <w:snapToGrid w:val="0"/>
        </w:rPr>
        <w:tab/>
        <w:t>Proof by attesting witness unnecessary in certain cases</w:t>
      </w:r>
      <w:bookmarkEnd w:id="59"/>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60" w:name="_Toc174951634"/>
      <w:r>
        <w:rPr>
          <w:rStyle w:val="CharSectno"/>
        </w:rPr>
        <w:t>31</w:t>
      </w:r>
      <w:r>
        <w:rPr>
          <w:snapToGrid w:val="0"/>
        </w:rPr>
        <w:t>.</w:t>
      </w:r>
      <w:r>
        <w:rPr>
          <w:snapToGrid w:val="0"/>
        </w:rPr>
        <w:tab/>
        <w:t>Comparison of disputed hand</w:t>
      </w:r>
      <w:r>
        <w:rPr>
          <w:snapToGrid w:val="0"/>
        </w:rPr>
        <w:noBreakHyphen/>
        <w:t>writing</w:t>
      </w:r>
      <w:bookmarkEnd w:id="60"/>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61" w:name="_Toc174951635"/>
      <w:r>
        <w:rPr>
          <w:rStyle w:val="CharSectno"/>
        </w:rPr>
        <w:t>31A</w:t>
      </w:r>
      <w:r>
        <w:t>.</w:t>
      </w:r>
      <w:r>
        <w:tab/>
        <w:t>Propensity and relationship evidence</w:t>
      </w:r>
      <w:bookmarkEnd w:id="61"/>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lastRenderedPageBreak/>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62" w:name="_Toc174951636"/>
      <w:r>
        <w:rPr>
          <w:rStyle w:val="CharSectno"/>
        </w:rPr>
        <w:t>32</w:t>
      </w:r>
      <w:r>
        <w:rPr>
          <w:snapToGrid w:val="0"/>
        </w:rPr>
        <w:t>.</w:t>
      </w:r>
      <w:r>
        <w:rPr>
          <w:snapToGrid w:val="0"/>
        </w:rPr>
        <w:tab/>
        <w:t>Admissions by accused persons in criminal cases</w:t>
      </w:r>
      <w:bookmarkEnd w:id="62"/>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63" w:name="_Toc174951637"/>
      <w:r>
        <w:rPr>
          <w:rStyle w:val="CharSectno"/>
        </w:rPr>
        <w:t>32A</w:t>
      </w:r>
      <w:r>
        <w:rPr>
          <w:snapToGrid w:val="0"/>
        </w:rPr>
        <w:t>.</w:t>
      </w:r>
      <w:r>
        <w:rPr>
          <w:snapToGrid w:val="0"/>
        </w:rPr>
        <w:tab/>
        <w:t>Derogation of privilege in civil proceedings</w:t>
      </w:r>
      <w:bookmarkEnd w:id="63"/>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w:t>
      </w:r>
      <w:r>
        <w:lastRenderedPageBreak/>
        <w:t>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64" w:name="_Toc174951638"/>
      <w:r>
        <w:rPr>
          <w:rStyle w:val="CharSectno"/>
        </w:rPr>
        <w:t>35</w:t>
      </w:r>
      <w:r>
        <w:rPr>
          <w:snapToGrid w:val="0"/>
        </w:rPr>
        <w:t>.</w:t>
      </w:r>
      <w:r>
        <w:rPr>
          <w:snapToGrid w:val="0"/>
        </w:rPr>
        <w:tab/>
        <w:t>Perjury charge, corroboration not required</w:t>
      </w:r>
      <w:bookmarkEnd w:id="64"/>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keepNext/>
        <w:spacing w:before="120"/>
      </w:pPr>
      <w:r>
        <w:lastRenderedPageBreak/>
        <w:tab/>
        <w:t>[(2)</w:t>
      </w:r>
      <w:r>
        <w:tab/>
        <w:t>deleted]</w:t>
      </w:r>
    </w:p>
    <w:p>
      <w:pPr>
        <w:pStyle w:val="Footnotesection"/>
      </w:pPr>
      <w:r>
        <w:tab/>
        <w:t>[Section 35 inserted: No. 70 of 1988 s. 37; amended: No. 36 of 1992 s. 4.]</w:t>
      </w:r>
    </w:p>
    <w:p>
      <w:pPr>
        <w:pStyle w:val="Heading5"/>
        <w:spacing w:before="160"/>
        <w:rPr>
          <w:snapToGrid w:val="0"/>
        </w:rPr>
      </w:pPr>
      <w:bookmarkStart w:id="65" w:name="_Toc174951639"/>
      <w:r>
        <w:rPr>
          <w:rStyle w:val="CharSectno"/>
        </w:rPr>
        <w:t>36</w:t>
      </w:r>
      <w:r>
        <w:rPr>
          <w:snapToGrid w:val="0"/>
        </w:rPr>
        <w:t>.</w:t>
      </w:r>
      <w:r>
        <w:rPr>
          <w:snapToGrid w:val="0"/>
        </w:rPr>
        <w:tab/>
        <w:t>Perjury charge, proof of trial etc.</w:t>
      </w:r>
      <w:bookmarkEnd w:id="65"/>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66" w:name="_Toc174951640"/>
      <w:r>
        <w:rPr>
          <w:rStyle w:val="CharSectno"/>
        </w:rPr>
        <w:t>36A</w:t>
      </w:r>
      <w:r>
        <w:rPr>
          <w:snapToGrid w:val="0"/>
        </w:rPr>
        <w:t>.</w:t>
      </w:r>
      <w:r>
        <w:rPr>
          <w:snapToGrid w:val="0"/>
        </w:rPr>
        <w:tab/>
        <w:t>Terms used</w:t>
      </w:r>
      <w:bookmarkEnd w:id="66"/>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lastRenderedPageBreak/>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67" w:name="_Toc174951641"/>
      <w:r>
        <w:rPr>
          <w:rStyle w:val="CharSectno"/>
        </w:rPr>
        <w:t>36B</w:t>
      </w:r>
      <w:r>
        <w:rPr>
          <w:snapToGrid w:val="0"/>
        </w:rPr>
        <w:t>.</w:t>
      </w:r>
      <w:r>
        <w:rPr>
          <w:snapToGrid w:val="0"/>
        </w:rPr>
        <w:tab/>
        <w:t>Sexual reputation of complainant, evidence of</w:t>
      </w:r>
      <w:bookmarkEnd w:id="67"/>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68" w:name="_Toc174951642"/>
      <w:r>
        <w:rPr>
          <w:rStyle w:val="CharSectno"/>
        </w:rPr>
        <w:lastRenderedPageBreak/>
        <w:t>36BA</w:t>
      </w:r>
      <w:r>
        <w:rPr>
          <w:snapToGrid w:val="0"/>
        </w:rPr>
        <w:t>.</w:t>
      </w:r>
      <w:r>
        <w:rPr>
          <w:snapToGrid w:val="0"/>
        </w:rPr>
        <w:tab/>
        <w:t>Sexual disposition of complainant, evidence of</w:t>
      </w:r>
      <w:bookmarkEnd w:id="68"/>
    </w:p>
    <w:p>
      <w:pPr>
        <w:pStyle w:val="Subsection"/>
        <w:keepNext/>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69" w:name="_Toc174951643"/>
      <w:r>
        <w:rPr>
          <w:rStyle w:val="CharSectno"/>
        </w:rPr>
        <w:t>36BC</w:t>
      </w:r>
      <w:r>
        <w:rPr>
          <w:snapToGrid w:val="0"/>
        </w:rPr>
        <w:t>.</w:t>
      </w:r>
      <w:r>
        <w:rPr>
          <w:snapToGrid w:val="0"/>
        </w:rPr>
        <w:tab/>
        <w:t>Sexual experience of complainant, evidence of</w:t>
      </w:r>
      <w:bookmarkEnd w:id="69"/>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70" w:name="_Toc174951644"/>
      <w:r>
        <w:rPr>
          <w:rStyle w:val="CharSectno"/>
        </w:rPr>
        <w:t>36BD</w:t>
      </w:r>
      <w:r>
        <w:rPr>
          <w:snapToGrid w:val="0"/>
        </w:rPr>
        <w:t>.</w:t>
      </w:r>
      <w:r>
        <w:rPr>
          <w:snapToGrid w:val="0"/>
        </w:rPr>
        <w:tab/>
        <w:t>Lack of complaint, jury warning about</w:t>
      </w:r>
      <w:bookmarkEnd w:id="70"/>
    </w:p>
    <w:p>
      <w:pPr>
        <w:pStyle w:val="Subsection"/>
        <w:keepNext/>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w:t>
      </w:r>
      <w:r>
        <w:rPr>
          <w:snapToGrid w:val="0"/>
        </w:rPr>
        <w:lastRenderedPageBreak/>
        <w:t>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71" w:name="_Toc174951645"/>
      <w:r>
        <w:rPr>
          <w:rStyle w:val="CharSectno"/>
        </w:rPr>
        <w:t>36BE</w:t>
      </w:r>
      <w:r>
        <w:t>.</w:t>
      </w:r>
      <w:r>
        <w:tab/>
        <w:t>Expert evidence of child behaviour</w:t>
      </w:r>
      <w:bookmarkEnd w:id="71"/>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keepNext/>
        <w:rPr>
          <w:szCs w:val="22"/>
        </w:rPr>
      </w:pPr>
      <w:r>
        <w:rPr>
          <w:szCs w:val="22"/>
        </w:rPr>
        <w:tab/>
        <w:t>(3)</w:t>
      </w:r>
      <w:r>
        <w:rPr>
          <w:szCs w:val="22"/>
        </w:rPr>
        <w:tab/>
        <w:t xml:space="preserve">If evidence described in subsection (2) is admitted in a trial by jury, this section does not affect any duty of the trial judge to warn the jury about any matter relating to the complainant’s </w:t>
      </w:r>
      <w:r>
        <w:rPr>
          <w:szCs w:val="22"/>
        </w:rPr>
        <w:lastRenderedPageBreak/>
        <w:t>evidence; but any such warning must be consistent with that evidence.</w:t>
      </w:r>
    </w:p>
    <w:p>
      <w:pPr>
        <w:pStyle w:val="Footnotesection"/>
      </w:pPr>
      <w:r>
        <w:tab/>
        <w:t>[Section 36BE inserted: No. 2 of 2008 s. 42(1).]</w:t>
      </w:r>
    </w:p>
    <w:p>
      <w:pPr>
        <w:pStyle w:val="Heading5"/>
        <w:rPr>
          <w:snapToGrid w:val="0"/>
        </w:rPr>
      </w:pPr>
      <w:bookmarkStart w:id="72" w:name="_Toc174951646"/>
      <w:r>
        <w:rPr>
          <w:rStyle w:val="CharSectno"/>
        </w:rPr>
        <w:t>36C</w:t>
      </w:r>
      <w:r>
        <w:rPr>
          <w:snapToGrid w:val="0"/>
        </w:rPr>
        <w:t>.</w:t>
      </w:r>
      <w:r>
        <w:rPr>
          <w:snapToGrid w:val="0"/>
        </w:rPr>
        <w:tab/>
        <w:t>Names of complainants not to be published</w:t>
      </w:r>
      <w:bookmarkEnd w:id="72"/>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lastRenderedPageBreak/>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keepNext/>
        <w:spacing w:before="120"/>
      </w:pPr>
      <w:r>
        <w:rPr>
          <w:snapToGrid w:val="0"/>
        </w:rPr>
        <w:lastRenderedPageBreak/>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Heading5"/>
      </w:pPr>
      <w:bookmarkStart w:id="73" w:name="_Toc174951647"/>
      <w:r>
        <w:rPr>
          <w:rStyle w:val="CharSectno"/>
        </w:rPr>
        <w:t>37</w:t>
      </w:r>
      <w:r>
        <w:t>.</w:t>
      </w:r>
      <w:r>
        <w:tab/>
        <w:t>Terms used</w:t>
      </w:r>
      <w:bookmarkEnd w:id="73"/>
    </w:p>
    <w:p>
      <w:pPr>
        <w:pStyle w:val="Subsection"/>
      </w:pPr>
      <w:r>
        <w:tab/>
      </w:r>
      <w:r>
        <w:tab/>
        <w:t>In sections 38 to 39G —</w:t>
      </w:r>
    </w:p>
    <w:p>
      <w:pPr>
        <w:pStyle w:val="Defstart"/>
      </w:pPr>
      <w:r>
        <w:tab/>
      </w:r>
      <w:r>
        <w:rPr>
          <w:rStyle w:val="CharDefText"/>
        </w:rPr>
        <w:t>family member</w:t>
      </w:r>
      <w:r>
        <w:t xml:space="preserve"> has the meaning given in the </w:t>
      </w:r>
      <w:r>
        <w:rPr>
          <w:i/>
        </w:rPr>
        <w:t xml:space="preserve">Restraining Orders Act 1997 </w:t>
      </w:r>
      <w:r>
        <w:t>section 4(3);</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pPr>
        <w:pStyle w:val="Defstart"/>
      </w:pPr>
      <w:r>
        <w:tab/>
      </w:r>
      <w:r>
        <w:rPr>
          <w:rStyle w:val="CharDefText"/>
        </w:rPr>
        <w:t>safety option</w:t>
      </w:r>
      <w:r>
        <w:t xml:space="preserve">, in relation to an accused person who is (or may be) a victim of family violence, means an act that may have stopped the violence, other than an act which constitutes (or </w:t>
      </w:r>
      <w:r>
        <w:lastRenderedPageBreak/>
        <w:t>allegedly constitutes) an offence with which the person is charged.</w:t>
      </w:r>
    </w:p>
    <w:p>
      <w:pPr>
        <w:pStyle w:val="Footnotesection"/>
      </w:pPr>
      <w:r>
        <w:tab/>
        <w:t>[Section 37 inserted: No. 30 of 2020 s. 94.]</w:t>
      </w:r>
    </w:p>
    <w:p>
      <w:pPr>
        <w:pStyle w:val="Heading5"/>
      </w:pPr>
      <w:bookmarkStart w:id="74" w:name="_Toc174951648"/>
      <w:r>
        <w:rPr>
          <w:rStyle w:val="CharSectno"/>
        </w:rPr>
        <w:t>38</w:t>
      </w:r>
      <w:r>
        <w:t>.</w:t>
      </w:r>
      <w:r>
        <w:tab/>
        <w:t>What may constitute evidence of family violence</w:t>
      </w:r>
      <w:bookmarkEnd w:id="74"/>
    </w:p>
    <w:p>
      <w:pPr>
        <w:pStyle w:val="Subsection"/>
      </w:pPr>
      <w:r>
        <w:tab/>
        <w:t>(1)</w:t>
      </w:r>
      <w:r>
        <w:tab/>
        <w:t xml:space="preserve">For the purposes of sections 39 to 39G, evidence of family violence, in relation to a person, includes (but is not limited to) evidence of any of the following — </w:t>
      </w:r>
    </w:p>
    <w:p>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pPr>
        <w:pStyle w:val="Indenta"/>
      </w:pPr>
      <w:r>
        <w:tab/>
        <w:t>(b)</w:t>
      </w:r>
      <w:r>
        <w:tab/>
        <w:t>the cumulative effect of family violence, including the psychological effect, on the person or a family member affected by that violence;</w:t>
      </w:r>
    </w:p>
    <w:p>
      <w:pPr>
        <w:pStyle w:val="Indenta"/>
      </w:pPr>
      <w:r>
        <w:tab/>
        <w:t>(c)</w:t>
      </w:r>
      <w:r>
        <w:tab/>
        <w:t xml:space="preserve">social, cultural or economic factors that impact on the person or a family member who has been affected by family violence; </w:t>
      </w:r>
    </w:p>
    <w:p>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pPr>
        <w:pStyle w:val="Indenta"/>
      </w:pPr>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pPr>
        <w:pStyle w:val="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pPr>
        <w:pStyle w:val="Indenta"/>
      </w:pPr>
      <w:r>
        <w:lastRenderedPageBreak/>
        <w:tab/>
        <w:t>(g)</w:t>
      </w:r>
      <w:r>
        <w:tab/>
        <w:t>the general nature and dynamics of relationships affected by family violence, including the possible consequences of separation from a person who commits family violence;</w:t>
      </w:r>
    </w:p>
    <w:p>
      <w:pPr>
        <w:pStyle w:val="Indenta"/>
      </w:pPr>
      <w:r>
        <w:tab/>
        <w:t>(h)</w:t>
      </w:r>
      <w:r>
        <w:tab/>
        <w:t xml:space="preserve">the psychological effect of family violence on people who are or have been in a relationship affected by family violence; </w:t>
      </w:r>
    </w:p>
    <w:p>
      <w:pPr>
        <w:pStyle w:val="Indenta"/>
      </w:pPr>
      <w:r>
        <w:tab/>
        <w:t>(i)</w:t>
      </w:r>
      <w:r>
        <w:tab/>
        <w:t>social or economic factors that impact on people who are or have been in a relationship affected by family violence.</w:t>
      </w:r>
    </w:p>
    <w:p>
      <w:pPr>
        <w:pStyle w:val="Subsection"/>
      </w:pPr>
      <w:r>
        <w:tab/>
        <w:t>(2)</w:t>
      </w:r>
      <w:r>
        <w:tab/>
        <w:t xml:space="preserve">Subsection (1) does not limit the operation of the </w:t>
      </w:r>
      <w:r>
        <w:rPr>
          <w:i/>
        </w:rPr>
        <w:t xml:space="preserve">Restraining Orders Act 1997 </w:t>
      </w:r>
      <w:r>
        <w:t>section 5A(2).</w:t>
      </w:r>
    </w:p>
    <w:p>
      <w:pPr>
        <w:pStyle w:val="Footnotesection"/>
      </w:pPr>
      <w:r>
        <w:tab/>
        <w:t>[Section 38 inserted: No. 30 of 2020 s. 94.]</w:t>
      </w:r>
    </w:p>
    <w:p>
      <w:pPr>
        <w:pStyle w:val="Heading5"/>
      </w:pPr>
      <w:bookmarkStart w:id="75" w:name="_Toc174951649"/>
      <w:r>
        <w:rPr>
          <w:rStyle w:val="CharSectno"/>
        </w:rPr>
        <w:t>39</w:t>
      </w:r>
      <w:r>
        <w:t>.</w:t>
      </w:r>
      <w:r>
        <w:tab/>
        <w:t>Expert evidence of family violence</w:t>
      </w:r>
      <w:bookmarkEnd w:id="75"/>
    </w:p>
    <w:p>
      <w:pPr>
        <w:pStyle w:val="Subsection"/>
      </w:pPr>
      <w:r>
        <w:tab/>
        <w:t>(1)</w:t>
      </w:r>
      <w:r>
        <w:tab/>
        <w:t>This section applies to any criminal proceedings where evidence of family violence is relevant to a fact in issue.</w:t>
      </w:r>
    </w:p>
    <w:p>
      <w:pPr>
        <w:pStyle w:val="Subsection"/>
      </w:pPr>
      <w:r>
        <w:tab/>
        <w:t>(2)</w:t>
      </w:r>
      <w:r>
        <w:tab/>
        <w:t>The evidence of an expert on the subject of family violence is admissible in relation to any matter that may constitute evidence of family violence.</w:t>
      </w:r>
    </w:p>
    <w:p>
      <w:pPr>
        <w:pStyle w:val="Subsection"/>
      </w:pPr>
      <w:r>
        <w:tab/>
        <w:t>(3)</w:t>
      </w:r>
      <w:r>
        <w:tab/>
        <w:t xml:space="preserve">Evidence given by the expert may include — </w:t>
      </w:r>
    </w:p>
    <w:p>
      <w:pPr>
        <w:pStyle w:val="Indenta"/>
      </w:pPr>
      <w:r>
        <w:tab/>
        <w:t>(a)</w:t>
      </w:r>
      <w:r>
        <w:tab/>
        <w:t>evidence about the nature and effects of family violence on any person; and</w:t>
      </w:r>
    </w:p>
    <w:p>
      <w:pPr>
        <w:pStyle w:val="Indenta"/>
      </w:pPr>
      <w:r>
        <w:tab/>
        <w:t>(b)</w:t>
      </w:r>
      <w:r>
        <w:tab/>
        <w:t>evidence about the effect of family violence on a particular person who has been the subject of family violence.</w:t>
      </w:r>
    </w:p>
    <w:p>
      <w:pPr>
        <w:pStyle w:val="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pPr>
        <w:pStyle w:val="Footnotesection"/>
      </w:pPr>
      <w:r>
        <w:tab/>
        <w:t>[Section 39 inserted: No. 30 of 2020 s. 94.]</w:t>
      </w:r>
    </w:p>
    <w:p>
      <w:pPr>
        <w:pStyle w:val="Heading5"/>
      </w:pPr>
      <w:bookmarkStart w:id="76" w:name="_Toc174951650"/>
      <w:r>
        <w:rPr>
          <w:rStyle w:val="CharSectno"/>
        </w:rPr>
        <w:lastRenderedPageBreak/>
        <w:t>39A</w:t>
      </w:r>
      <w:r>
        <w:t>.</w:t>
      </w:r>
      <w:r>
        <w:tab/>
        <w:t>Evidence of family violence — general provision</w:t>
      </w:r>
      <w:bookmarkEnd w:id="76"/>
    </w:p>
    <w:p>
      <w:pPr>
        <w:pStyle w:val="Subsection"/>
      </w:pPr>
      <w:r>
        <w:tab/>
      </w:r>
      <w:r>
        <w:tab/>
        <w:t>In proceedings for an offence, evidence of family violence is admissible if family violence is relevant to a fact in issue.</w:t>
      </w:r>
    </w:p>
    <w:p>
      <w:pPr>
        <w:pStyle w:val="Footnotesection"/>
      </w:pPr>
      <w:r>
        <w:tab/>
        <w:t>[Section 39A inserted: No. 30 of 2020 s. 94.]</w:t>
      </w:r>
    </w:p>
    <w:p>
      <w:pPr>
        <w:pStyle w:val="Heading5"/>
      </w:pPr>
      <w:bookmarkStart w:id="77" w:name="_Toc174951651"/>
      <w:r>
        <w:rPr>
          <w:rStyle w:val="CharSectno"/>
        </w:rPr>
        <w:t>39B</w:t>
      </w:r>
      <w:r>
        <w:t>.</w:t>
      </w:r>
      <w:r>
        <w:tab/>
        <w:t>Evidence of family violence — self</w:t>
      </w:r>
      <w:r>
        <w:noBreakHyphen/>
        <w:t>defence</w:t>
      </w:r>
      <w:bookmarkEnd w:id="77"/>
    </w:p>
    <w:p>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pPr>
        <w:pStyle w:val="Indenta"/>
      </w:pPr>
      <w:r>
        <w:tab/>
        <w:t>(a)</w:t>
      </w:r>
      <w:r>
        <w:tab/>
        <w:t>a person has a belief that an act was necessary to defend the person or another person from a harmful act, including a harmful act that was not imminent; or</w:t>
      </w:r>
    </w:p>
    <w:p>
      <w:pPr>
        <w:pStyle w:val="Indenta"/>
      </w:pPr>
      <w:r>
        <w:tab/>
        <w:t>(b)</w:t>
      </w:r>
      <w:r>
        <w:tab/>
        <w:t>a person’s act was a reasonable response by the person in the circumstances as the person believed them to be; or</w:t>
      </w:r>
    </w:p>
    <w:p>
      <w:pPr>
        <w:pStyle w:val="Indenta"/>
      </w:pPr>
      <w:r>
        <w:tab/>
        <w:t>(c)</w:t>
      </w:r>
      <w:r>
        <w:tab/>
        <w:t>there are reasonable grounds for a particular belief by a person.</w:t>
      </w:r>
    </w:p>
    <w:p>
      <w:pPr>
        <w:pStyle w:val="Footnotesection"/>
      </w:pPr>
      <w:r>
        <w:tab/>
        <w:t>[Section 39B inserted: No. 30 of 2020 s. 94.]</w:t>
      </w:r>
    </w:p>
    <w:p>
      <w:pPr>
        <w:pStyle w:val="Heading5"/>
      </w:pPr>
      <w:bookmarkStart w:id="78" w:name="_Toc174951652"/>
      <w:r>
        <w:rPr>
          <w:rStyle w:val="CharSectno"/>
        </w:rPr>
        <w:t>39C</w:t>
      </w:r>
      <w:r>
        <w:t>.</w:t>
      </w:r>
      <w:r>
        <w:tab/>
        <w:t>Request for direction on family violence — self</w:t>
      </w:r>
      <w:r>
        <w:noBreakHyphen/>
        <w:t>defence</w:t>
      </w:r>
      <w:bookmarkEnd w:id="78"/>
    </w:p>
    <w:p>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lastRenderedPageBreak/>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sections 39E and 39F, do not limit what the trial judge may include in any other direction to the jury, including in relation to evidence given by an expert witness.</w:t>
      </w:r>
    </w:p>
    <w:p>
      <w:pPr>
        <w:pStyle w:val="Footnotesection"/>
      </w:pPr>
      <w:r>
        <w:tab/>
        <w:t>[Section 39C inserted: No. 30 of 2020 s. 94.]</w:t>
      </w:r>
    </w:p>
    <w:p>
      <w:pPr>
        <w:pStyle w:val="Heading5"/>
      </w:pPr>
      <w:bookmarkStart w:id="79" w:name="_Toc174951653"/>
      <w:r>
        <w:rPr>
          <w:rStyle w:val="CharSectno"/>
        </w:rPr>
        <w:t>39D</w:t>
      </w:r>
      <w:r>
        <w:t>.</w:t>
      </w:r>
      <w:r>
        <w:tab/>
        <w:t>Request for direction on family violence — general provision</w:t>
      </w:r>
      <w:bookmarkEnd w:id="79"/>
    </w:p>
    <w:p>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lastRenderedPageBreak/>
        <w:tab/>
        <w:t>(6)</w:t>
      </w:r>
      <w:r>
        <w:tab/>
        <w:t>This section, and section 39F, do not limit what the trial judge may include in any other direction to the jury, including in relation to evidence given by an expert witness.</w:t>
      </w:r>
    </w:p>
    <w:p>
      <w:pPr>
        <w:pStyle w:val="Footnotesection"/>
      </w:pPr>
      <w:r>
        <w:tab/>
        <w:t>[Section 39D inserted: No. 30 of 2020 s. 94.]</w:t>
      </w:r>
    </w:p>
    <w:p>
      <w:pPr>
        <w:pStyle w:val="Heading5"/>
      </w:pPr>
      <w:bookmarkStart w:id="80" w:name="_Toc174951654"/>
      <w:r>
        <w:rPr>
          <w:rStyle w:val="CharSectno"/>
        </w:rPr>
        <w:t>39E</w:t>
      </w:r>
      <w:r>
        <w:t>.</w:t>
      </w:r>
      <w:r>
        <w:tab/>
        <w:t>Content of direction on family violence</w:t>
      </w:r>
      <w:bookmarkEnd w:id="80"/>
    </w:p>
    <w:p>
      <w:pPr>
        <w:pStyle w:val="Subsection"/>
      </w:pPr>
      <w:r>
        <w:tab/>
      </w:r>
      <w:r>
        <w:tab/>
        <w:t>In giving a direction under section 39C, the trial judge must inform the jury that —</w:t>
      </w:r>
    </w:p>
    <w:p>
      <w:pPr>
        <w:pStyle w:val="Indenta"/>
      </w:pPr>
      <w:r>
        <w:tab/>
        <w:t>(a)</w:t>
      </w:r>
      <w:r>
        <w:tab/>
        <w:t>self</w:t>
      </w:r>
      <w:r>
        <w:noBreakHyphen/>
        <w:t>defence is, or is likely to be, an issue in the trial; and</w:t>
      </w:r>
    </w:p>
    <w:p>
      <w:pPr>
        <w:pStyle w:val="Indenta"/>
      </w:pPr>
      <w:r>
        <w:tab/>
        <w:t>(b)</w:t>
      </w:r>
      <w:r>
        <w:tab/>
        <w:t>as a matter of law, evidence of family violence may be relevant to determining whether the accused acted in self</w:t>
      </w:r>
      <w:r>
        <w:noBreakHyphen/>
        <w:t>defence; and</w:t>
      </w:r>
    </w:p>
    <w:p>
      <w:pPr>
        <w:pStyle w:val="Indenta"/>
      </w:pPr>
      <w:r>
        <w:tab/>
        <w:t>(c)</w:t>
      </w:r>
      <w:r>
        <w:tab/>
        <w:t>evidence in the trial is likely to include evidence of family violence committed by the victim against the accused or another person whom the accused was defending.</w:t>
      </w:r>
    </w:p>
    <w:p>
      <w:pPr>
        <w:pStyle w:val="Footnotesection"/>
      </w:pPr>
      <w:r>
        <w:tab/>
        <w:t>[Section 39E inserted: No. 30 of 2020 s. 94.]</w:t>
      </w:r>
    </w:p>
    <w:p>
      <w:pPr>
        <w:pStyle w:val="Heading5"/>
      </w:pPr>
      <w:bookmarkStart w:id="81" w:name="_Toc174951655"/>
      <w:r>
        <w:rPr>
          <w:rStyle w:val="CharSectno"/>
        </w:rPr>
        <w:t>39F</w:t>
      </w:r>
      <w:r>
        <w:t>.</w:t>
      </w:r>
      <w:r>
        <w:tab/>
        <w:t>Additional matters for direction on family violence</w:t>
      </w:r>
      <w:bookmarkEnd w:id="81"/>
    </w:p>
    <w:p>
      <w:pPr>
        <w:pStyle w:val="Subsection"/>
      </w:pPr>
      <w:r>
        <w:tab/>
        <w:t>(1)</w:t>
      </w:r>
      <w:r>
        <w:tab/>
        <w:t>In giving a direction requested under section 39C or 39D, the trial judge may include any of the following matters in the direction —</w:t>
      </w:r>
    </w:p>
    <w:p>
      <w:pPr>
        <w:pStyle w:val="Indenta"/>
      </w:pPr>
      <w:r>
        <w:tab/>
        <w:t>(a)</w:t>
      </w:r>
      <w:r>
        <w:tab/>
        <w:t>that family violence —</w:t>
      </w:r>
    </w:p>
    <w:p>
      <w:pPr>
        <w:pStyle w:val="Indenti"/>
      </w:pPr>
      <w:r>
        <w:tab/>
        <w:t>(i)</w:t>
      </w:r>
      <w:r>
        <w:tab/>
        <w:t>is not limited to physical abuse and may, for example, include sexual abuse, psychological abuse or financial abuse;</w:t>
      </w:r>
    </w:p>
    <w:p>
      <w:pPr>
        <w:pStyle w:val="Indenti"/>
      </w:pPr>
      <w:r>
        <w:tab/>
        <w:t>(ii)</w:t>
      </w:r>
      <w:r>
        <w:tab/>
        <w:t>may amount to violence against a person even though it is immediately directed at another person;</w:t>
      </w:r>
    </w:p>
    <w:p>
      <w:pPr>
        <w:pStyle w:val="Indenti"/>
      </w:pPr>
      <w:r>
        <w:tab/>
        <w:t>(iii)</w:t>
      </w:r>
      <w:r>
        <w:tab/>
        <w:t>may consist of a single act;</w:t>
      </w:r>
    </w:p>
    <w:p>
      <w:pPr>
        <w:pStyle w:val="Indenti"/>
      </w:pPr>
      <w:r>
        <w:tab/>
        <w:t>(iv)</w:t>
      </w:r>
      <w:r>
        <w:tab/>
        <w:t xml:space="preserve">may consist of separate acts that form part of a pattern of behaviour which can amount to abuse </w:t>
      </w:r>
      <w:r>
        <w:lastRenderedPageBreak/>
        <w:t>even though some or all of those acts may, when viewed in isolation, appear to be minor or trivial;</w:t>
      </w:r>
    </w:p>
    <w:p>
      <w:pPr>
        <w:pStyle w:val="Indenta"/>
      </w:pPr>
      <w:r>
        <w:tab/>
        <w:t>(b)</w:t>
      </w:r>
      <w:r>
        <w:tab/>
        <w:t>if relevant, that experience shows that —</w:t>
      </w:r>
    </w:p>
    <w:p>
      <w:pPr>
        <w:pStyle w:val="Indenti"/>
      </w:pPr>
      <w:r>
        <w:tab/>
        <w:t>(i)</w:t>
      </w:r>
      <w:r>
        <w:tab/>
        <w:t>people may react differently to family violence and there is no typical, proper or normal response to family violence;</w:t>
      </w:r>
    </w:p>
    <w:p>
      <w:pPr>
        <w:pStyle w:val="Indenti"/>
      </w:pPr>
      <w:r>
        <w:tab/>
        <w:t>(ii)</w:t>
      </w:r>
      <w:r>
        <w:tab/>
        <w:t>it is not uncommon for a person who has been subjected to family violence to stay with an abusive partner after the onset of family violence, or to leave and then return to the partner;</w:t>
      </w:r>
    </w:p>
    <w:p>
      <w:pPr>
        <w:pStyle w:val="Indenti"/>
      </w:pPr>
      <w:r>
        <w:tab/>
        <w:t>(iii)</w:t>
      </w:r>
      <w:r>
        <w:tab/>
        <w:t>it is not uncommon for a person who has been subjected to family violence not to report family violence to police or seek assistance to stop family violence;</w:t>
      </w:r>
    </w:p>
    <w:p>
      <w:pPr>
        <w:pStyle w:val="Indenti"/>
      </w:pPr>
      <w:r>
        <w:tab/>
        <w:t>(iv)</w:t>
      </w:r>
      <w:r>
        <w:tab/>
        <w:t>decisions made by a person subjected to family violence about how to address, respond to or avoid family violence may be influenced by a variety of factors;</w:t>
      </w:r>
    </w:p>
    <w:p>
      <w:pPr>
        <w:pStyle w:val="Indenti"/>
      </w:pPr>
      <w:r>
        <w:tab/>
        <w:t>(v)</w:t>
      </w:r>
      <w:r>
        <w:tab/>
        <w:t>it is not uncommon for a decision to leave an abusive partner, or to seek assistance, to increase apprehension about, or the actual risk of, harm;</w:t>
      </w:r>
    </w:p>
    <w:p>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pPr>
        <w:pStyle w:val="Subsection"/>
      </w:pPr>
      <w:r>
        <w:tab/>
        <w:t>(2)</w:t>
      </w:r>
      <w:r>
        <w:tab/>
        <w:t>In making a direction under subsection (1), the trial judge may also indicate that behaviour, or patterns of behaviour, that may constitute family violence may include (but are not limited to) —</w:t>
      </w:r>
    </w:p>
    <w:p>
      <w:pPr>
        <w:pStyle w:val="Indenta"/>
      </w:pPr>
      <w:r>
        <w:tab/>
        <w:t>(a)</w:t>
      </w:r>
      <w:r>
        <w:tab/>
        <w:t>placing or keeping a person in a dependent or subordinate relationship;</w:t>
      </w:r>
    </w:p>
    <w:p>
      <w:pPr>
        <w:pStyle w:val="Indenta"/>
      </w:pPr>
      <w:r>
        <w:lastRenderedPageBreak/>
        <w:tab/>
        <w:t>(b)</w:t>
      </w:r>
      <w:r>
        <w:tab/>
        <w:t>isolating a person from family, friends or other sources of support;</w:t>
      </w:r>
    </w:p>
    <w:p>
      <w:pPr>
        <w:pStyle w:val="Indenta"/>
      </w:pPr>
      <w:r>
        <w:tab/>
        <w:t>(c)</w:t>
      </w:r>
      <w:r>
        <w:tab/>
        <w:t>controlling, regulating or monitoring a person’s day</w:t>
      </w:r>
      <w:r>
        <w:noBreakHyphen/>
        <w:t>to</w:t>
      </w:r>
      <w:r>
        <w:noBreakHyphen/>
        <w:t>day activities;</w:t>
      </w:r>
    </w:p>
    <w:p>
      <w:pPr>
        <w:pStyle w:val="Indenta"/>
      </w:pPr>
      <w:r>
        <w:tab/>
        <w:t>(d)</w:t>
      </w:r>
      <w:r>
        <w:tab/>
        <w:t>depriving or restricting a person’s freedom of movement or action;</w:t>
      </w:r>
    </w:p>
    <w:p>
      <w:pPr>
        <w:pStyle w:val="Indenta"/>
      </w:pPr>
      <w:r>
        <w:tab/>
        <w:t>(e)</w:t>
      </w:r>
      <w:r>
        <w:tab/>
        <w:t>restricting a person’s ability to resist violence;</w:t>
      </w:r>
    </w:p>
    <w:p>
      <w:pPr>
        <w:pStyle w:val="Indenta"/>
      </w:pPr>
      <w:r>
        <w:tab/>
        <w:t>(f)</w:t>
      </w:r>
      <w:r>
        <w:tab/>
        <w:t>frightening, humiliating, degrading or punishing a person, including punishing a person for resisting violence;</w:t>
      </w:r>
    </w:p>
    <w:p>
      <w:pPr>
        <w:pStyle w:val="Indenta"/>
      </w:pPr>
      <w:r>
        <w:tab/>
        <w:t>(g)</w:t>
      </w:r>
      <w:r>
        <w:tab/>
        <w:t>compelling a person to engage in unlawful or harmful conduct.</w:t>
      </w:r>
    </w:p>
    <w:p>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pPr>
        <w:pStyle w:val="Indenta"/>
      </w:pPr>
      <w:r>
        <w:tab/>
        <w:t>(a)</w:t>
      </w:r>
      <w:r>
        <w:tab/>
        <w:t>the family violence itself;</w:t>
      </w:r>
    </w:p>
    <w:p>
      <w:pPr>
        <w:pStyle w:val="Indenta"/>
      </w:pPr>
      <w:r>
        <w:tab/>
        <w:t>(b)</w:t>
      </w:r>
      <w:r>
        <w:tab/>
        <w:t xml:space="preserve">social, cultural, economic or personal factors, or inequities experienced by the person, including inequities associated with (but not limited to) race, poverty, gender, disability or age; </w:t>
      </w:r>
    </w:p>
    <w:p>
      <w:pPr>
        <w:pStyle w:val="Indenta"/>
      </w:pPr>
      <w:r>
        <w:tab/>
        <w:t>(c)</w:t>
      </w:r>
      <w:r>
        <w:tab/>
        <w:t>responses by family, community or agencies to the family violence or to any help</w:t>
      </w:r>
      <w:r>
        <w:noBreakHyphen/>
        <w:t>seeking behaviour or use of safety options by the person;</w:t>
      </w:r>
    </w:p>
    <w:p>
      <w:pPr>
        <w:pStyle w:val="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pPr>
        <w:pStyle w:val="Indenta"/>
        <w:keepNext/>
      </w:pPr>
      <w:r>
        <w:tab/>
        <w:t>(e)</w:t>
      </w:r>
      <w:r>
        <w:tab/>
        <w:t xml:space="preserve">further violence, or the threat of further violence, used by a family member to prevent, or in retaliation to, any </w:t>
      </w:r>
      <w:r>
        <w:lastRenderedPageBreak/>
        <w:t>help</w:t>
      </w:r>
      <w:r>
        <w:noBreakHyphen/>
        <w:t>seeking behaviour or use of safety options by the person.</w:t>
      </w:r>
    </w:p>
    <w:p>
      <w:pPr>
        <w:pStyle w:val="Footnotesection"/>
      </w:pPr>
      <w:r>
        <w:tab/>
        <w:t>[Section 39F inserted: No. 30 of 2020 s. 94.]</w:t>
      </w:r>
    </w:p>
    <w:p>
      <w:pPr>
        <w:pStyle w:val="Heading5"/>
      </w:pPr>
      <w:bookmarkStart w:id="82" w:name="_Toc174951656"/>
      <w:r>
        <w:rPr>
          <w:rStyle w:val="CharSectno"/>
        </w:rPr>
        <w:t>39G</w:t>
      </w:r>
      <w:r>
        <w:t>.</w:t>
      </w:r>
      <w:r>
        <w:tab/>
        <w:t>Application of s. 39E and 39F to criminal proceedings without juries</w:t>
      </w:r>
      <w:bookmarkEnd w:id="82"/>
    </w:p>
    <w:p>
      <w:pPr>
        <w:pStyle w:val="Subsection"/>
      </w:pPr>
      <w:r>
        <w:tab/>
      </w:r>
      <w:r>
        <w:tab/>
        <w:t>If a court is sitting without a jury, the court’s reasoning with respect to any matter in relation to which sections 39E and 39F make provision must, to such extent as the court thinks fit, be consistent with how a jury would be directed in accordance with those sections in the particular case.</w:t>
      </w:r>
    </w:p>
    <w:p>
      <w:pPr>
        <w:pStyle w:val="Footnotesection"/>
      </w:pPr>
      <w:r>
        <w:tab/>
        <w:t>[Section 39G inserted: No. 30 of 2020 s. 94.]</w:t>
      </w:r>
    </w:p>
    <w:p>
      <w:pPr>
        <w:pStyle w:val="Heading5"/>
        <w:keepNext w:val="0"/>
        <w:keepLines w:val="0"/>
        <w:spacing w:before="180"/>
        <w:rPr>
          <w:snapToGrid w:val="0"/>
        </w:rPr>
      </w:pPr>
      <w:bookmarkStart w:id="83" w:name="_Toc174951657"/>
      <w:r>
        <w:rPr>
          <w:rStyle w:val="CharSectno"/>
        </w:rPr>
        <w:t>40</w:t>
      </w:r>
      <w:r>
        <w:rPr>
          <w:snapToGrid w:val="0"/>
        </w:rPr>
        <w:t>.</w:t>
      </w:r>
      <w:r>
        <w:rPr>
          <w:snapToGrid w:val="0"/>
        </w:rPr>
        <w:tab/>
        <w:t>Customs prosecutions, effect of averments in</w:t>
      </w:r>
      <w:bookmarkEnd w:id="83"/>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84" w:name="_Toc174951658"/>
      <w:r>
        <w:rPr>
          <w:rStyle w:val="CharSectno"/>
        </w:rPr>
        <w:t>41</w:t>
      </w:r>
      <w:r>
        <w:rPr>
          <w:snapToGrid w:val="0"/>
        </w:rPr>
        <w:t>.</w:t>
      </w:r>
      <w:r>
        <w:rPr>
          <w:snapToGrid w:val="0"/>
        </w:rPr>
        <w:tab/>
        <w:t>Customs prosecutions, proof of appointment of officers</w:t>
      </w:r>
      <w:bookmarkEnd w:id="84"/>
    </w:p>
    <w:p>
      <w:pPr>
        <w:pStyle w:val="Subsection"/>
        <w:keepNext/>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w:t>
      </w:r>
      <w:r>
        <w:rPr>
          <w:snapToGrid w:val="0"/>
        </w:rPr>
        <w:lastRenderedPageBreak/>
        <w:t>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85" w:name="_Toc174951659"/>
      <w:r>
        <w:rPr>
          <w:rStyle w:val="CharSectno"/>
        </w:rPr>
        <w:t>41A</w:t>
      </w:r>
      <w:r>
        <w:rPr>
          <w:snapToGrid w:val="0"/>
        </w:rPr>
        <w:t>.</w:t>
      </w:r>
      <w:r>
        <w:rPr>
          <w:snapToGrid w:val="0"/>
        </w:rPr>
        <w:tab/>
        <w:t>Stealing and receiving charges, evidence of ownership of property stolen from ships, wharves etc.</w:t>
      </w:r>
      <w:bookmarkEnd w:id="85"/>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 xml:space="preserve">In deciding whether any property described as aforesaid may be reasonably assumed to be the same as the property the subject of </w:t>
      </w:r>
      <w:r>
        <w:rPr>
          <w:snapToGrid w:val="0"/>
        </w:rPr>
        <w:lastRenderedPageBreak/>
        <w:t>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86" w:name="_Toc174951660"/>
      <w:r>
        <w:rPr>
          <w:rStyle w:val="CharSectno"/>
        </w:rPr>
        <w:t>42</w:t>
      </w:r>
      <w:r>
        <w:rPr>
          <w:snapToGrid w:val="0"/>
        </w:rPr>
        <w:t>.</w:t>
      </w:r>
      <w:r>
        <w:rPr>
          <w:snapToGrid w:val="0"/>
        </w:rPr>
        <w:tab/>
        <w:t>Evidence on trial for defamation</w:t>
      </w:r>
      <w:bookmarkEnd w:id="86"/>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87" w:name="_Toc174951661"/>
      <w:r>
        <w:rPr>
          <w:rStyle w:val="CharSectno"/>
        </w:rPr>
        <w:t>44</w:t>
      </w:r>
      <w:r>
        <w:rPr>
          <w:snapToGrid w:val="0"/>
        </w:rPr>
        <w:t>.</w:t>
      </w:r>
      <w:r>
        <w:rPr>
          <w:snapToGrid w:val="0"/>
        </w:rPr>
        <w:tab/>
        <w:t>Stealing charges, proof of receipt of money by accused, proof of general deficiency</w:t>
      </w:r>
      <w:bookmarkEnd w:id="87"/>
    </w:p>
    <w:p>
      <w:pPr>
        <w:pStyle w:val="Subsection"/>
        <w:spacing w:before="140"/>
        <w:rPr>
          <w:snapToGrid w:val="0"/>
        </w:rPr>
      </w:pPr>
      <w:r>
        <w:rPr>
          <w:snapToGrid w:val="0"/>
        </w:rPr>
        <w:tab/>
        <w:t>(1)</w:t>
      </w:r>
      <w:r>
        <w:rPr>
          <w:snapToGrid w:val="0"/>
        </w:rPr>
        <w:tab/>
        <w:t xml:space="preserve">On the trial of a person charged with stealing money, an entry in any book of account shown to be kept by the accused person, or kept in, under, or subject to his charge or supervision, purporting to be an entry of the receipt of any money, shall be </w:t>
      </w:r>
      <w:r>
        <w:rPr>
          <w:snapToGrid w:val="0"/>
        </w:rPr>
        <w:lastRenderedPageBreak/>
        <w:t>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88" w:name="_Toc174951662"/>
      <w:r>
        <w:rPr>
          <w:rStyle w:val="CharSectno"/>
        </w:rPr>
        <w:t>45</w:t>
      </w:r>
      <w:r>
        <w:rPr>
          <w:snapToGrid w:val="0"/>
        </w:rPr>
        <w:t>.</w:t>
      </w:r>
      <w:r>
        <w:rPr>
          <w:snapToGrid w:val="0"/>
        </w:rPr>
        <w:tab/>
        <w:t>Seals and stamps for the revenue or post office, proof of</w:t>
      </w:r>
      <w:bookmarkEnd w:id="88"/>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89" w:name="_Toc174951663"/>
      <w:r>
        <w:rPr>
          <w:rStyle w:val="CharSectno"/>
        </w:rPr>
        <w:t>46</w:t>
      </w:r>
      <w:r>
        <w:rPr>
          <w:snapToGrid w:val="0"/>
        </w:rPr>
        <w:t>.</w:t>
      </w:r>
      <w:r>
        <w:rPr>
          <w:snapToGrid w:val="0"/>
        </w:rPr>
        <w:tab/>
        <w:t>Receiving charges, proof of knowledge that goods were stolen</w:t>
      </w:r>
      <w:bookmarkEnd w:id="89"/>
    </w:p>
    <w:p>
      <w:pPr>
        <w:pStyle w:val="Subsection"/>
        <w:spacing w:before="140"/>
        <w:rPr>
          <w:snapToGrid w:val="0"/>
        </w:rPr>
      </w:pPr>
      <w:r>
        <w:rPr>
          <w:snapToGrid w:val="0"/>
        </w:rPr>
        <w:tab/>
      </w:r>
      <w:r>
        <w:rPr>
          <w:snapToGrid w:val="0"/>
        </w:rPr>
        <w:tab/>
        <w:t xml:space="preserve">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w:t>
      </w:r>
      <w:r>
        <w:rPr>
          <w:snapToGrid w:val="0"/>
        </w:rPr>
        <w:lastRenderedPageBreak/>
        <w:t>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90" w:name="_Toc174951664"/>
      <w:r>
        <w:rPr>
          <w:rStyle w:val="CharSectno"/>
        </w:rPr>
        <w:t>46A</w:t>
      </w:r>
      <w:r>
        <w:rPr>
          <w:snapToGrid w:val="0"/>
        </w:rPr>
        <w:t>.</w:t>
      </w:r>
      <w:r>
        <w:rPr>
          <w:snapToGrid w:val="0"/>
        </w:rPr>
        <w:tab/>
        <w:t>Sunrise and sunset, proof of</w:t>
      </w:r>
      <w:bookmarkEnd w:id="90"/>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91" w:name="_Toc174951665"/>
      <w:r>
        <w:rPr>
          <w:rStyle w:val="CharSectno"/>
        </w:rPr>
        <w:t>47</w:t>
      </w:r>
      <w:r>
        <w:rPr>
          <w:snapToGrid w:val="0"/>
        </w:rPr>
        <w:t>.</w:t>
      </w:r>
      <w:r>
        <w:rPr>
          <w:snapToGrid w:val="0"/>
        </w:rPr>
        <w:tab/>
        <w:t>Conviction, acquittal and identity, proof of</w:t>
      </w:r>
      <w:bookmarkEnd w:id="91"/>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 xml:space="preserve">is the person, who, in any document exhibited to the affidavit and purporting to be a record or abstract or </w:t>
      </w:r>
      <w:r>
        <w:rPr>
          <w:snapToGrid w:val="0"/>
        </w:rPr>
        <w:lastRenderedPageBreak/>
        <w:t>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lastRenderedPageBreak/>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92" w:name="_Toc174951666"/>
      <w:r>
        <w:rPr>
          <w:rStyle w:val="CharSectno"/>
        </w:rPr>
        <w:t>49</w:t>
      </w:r>
      <w:r>
        <w:rPr>
          <w:snapToGrid w:val="0"/>
        </w:rPr>
        <w:t>.</w:t>
      </w:r>
      <w:r>
        <w:rPr>
          <w:snapToGrid w:val="0"/>
        </w:rPr>
        <w:tab/>
        <w:t>Actions for seduction</w:t>
      </w:r>
      <w:bookmarkEnd w:id="92"/>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93" w:name="_Toc174951667"/>
      <w:r>
        <w:rPr>
          <w:rStyle w:val="CharSectno"/>
        </w:rPr>
        <w:t>50</w:t>
      </w:r>
      <w:r>
        <w:rPr>
          <w:snapToGrid w:val="0"/>
        </w:rPr>
        <w:t>.</w:t>
      </w:r>
      <w:r>
        <w:rPr>
          <w:snapToGrid w:val="0"/>
        </w:rPr>
        <w:tab/>
        <w:t>Corroboration warnings not generally required</w:t>
      </w:r>
      <w:bookmarkEnd w:id="93"/>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94" w:name="_Toc174951668"/>
      <w:r>
        <w:rPr>
          <w:rStyle w:val="CharSectno"/>
        </w:rPr>
        <w:t>50A</w:t>
      </w:r>
      <w:r>
        <w:t>.</w:t>
      </w:r>
      <w:r>
        <w:tab/>
        <w:t>Transcripts, proof of</w:t>
      </w:r>
      <w:bookmarkEnd w:id="94"/>
    </w:p>
    <w:p>
      <w:pPr>
        <w:pStyle w:val="Subsection"/>
        <w:spacing w:before="140"/>
      </w:pPr>
      <w:r>
        <w:tab/>
        <w:t>(1)</w:t>
      </w:r>
      <w:r>
        <w:tab/>
        <w:t xml:space="preserve">A document consisting of a transcript of a recording that is admitted in evidence in any proceedings is admissible in those proceedings as evidence of the contents of the recording if the transcript bears a certificate that purports to be signed by the </w:t>
      </w:r>
      <w:r>
        <w:lastRenderedPageBreak/>
        <w:t>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95" w:name="_Toc174951669"/>
      <w:r>
        <w:rPr>
          <w:rStyle w:val="CharSectno"/>
        </w:rPr>
        <w:t>50B</w:t>
      </w:r>
      <w:r>
        <w:t>.</w:t>
      </w:r>
      <w:r>
        <w:tab/>
        <w:t>DNA evidentiary certificate</w:t>
      </w:r>
      <w:bookmarkEnd w:id="95"/>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lastRenderedPageBreak/>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 xml:space="preserve">If the authorised officer receives a written request from a party for a copy of the laboratory’s records relating to the receipt, storage and examination of the thing, the authorised officer </w:t>
      </w:r>
      <w:r>
        <w:lastRenderedPageBreak/>
        <w:t>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lastRenderedPageBreak/>
        <w:t>Evidence of witnesses in prison</w:t>
      </w:r>
    </w:p>
    <w:p>
      <w:pPr>
        <w:pStyle w:val="Heading5"/>
        <w:spacing w:before="200"/>
        <w:rPr>
          <w:snapToGrid w:val="0"/>
        </w:rPr>
      </w:pPr>
      <w:bookmarkStart w:id="96" w:name="_Toc174951670"/>
      <w:r>
        <w:rPr>
          <w:rStyle w:val="CharSectno"/>
        </w:rPr>
        <w:t>51</w:t>
      </w:r>
      <w:r>
        <w:rPr>
          <w:snapToGrid w:val="0"/>
        </w:rPr>
        <w:t>.</w:t>
      </w:r>
      <w:r>
        <w:rPr>
          <w:snapToGrid w:val="0"/>
        </w:rPr>
        <w:tab/>
        <w:t>Prisoner required to give evidence may be brought up on order</w:t>
      </w:r>
      <w:bookmarkEnd w:id="96"/>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97" w:name="_Toc174951671"/>
      <w:r>
        <w:rPr>
          <w:rStyle w:val="CharSectno"/>
        </w:rPr>
        <w:t>52</w:t>
      </w:r>
      <w:r>
        <w:rPr>
          <w:snapToGrid w:val="0"/>
        </w:rPr>
        <w:t>.</w:t>
      </w:r>
      <w:r>
        <w:rPr>
          <w:snapToGrid w:val="0"/>
        </w:rPr>
        <w:tab/>
        <w:t>Expense of bringing up prisoner</w:t>
      </w:r>
      <w:bookmarkEnd w:id="97"/>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98" w:name="_Toc174951672"/>
      <w:r>
        <w:rPr>
          <w:rStyle w:val="CharSectno"/>
        </w:rPr>
        <w:t>53</w:t>
      </w:r>
      <w:r>
        <w:rPr>
          <w:snapToGrid w:val="0"/>
        </w:rPr>
        <w:t>.</w:t>
      </w:r>
      <w:r>
        <w:rPr>
          <w:snapToGrid w:val="0"/>
        </w:rPr>
        <w:tab/>
        <w:t>Commonwealth and States etc., and their Acts to be judicially noticed</w:t>
      </w:r>
      <w:bookmarkEnd w:id="98"/>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lastRenderedPageBreak/>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w:t>
      </w:r>
      <w:r>
        <w:t>document (whether in printed or electronic form) 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w:t>
      </w:r>
      <w:r>
        <w:t>or published</w:t>
      </w:r>
      <w:r>
        <w:rPr>
          <w:snapToGrid w:val="0"/>
        </w:rPr>
        <w:t xml:space="preserve">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Footnotesection"/>
        <w:spacing w:before="160"/>
        <w:ind w:left="890" w:hanging="890"/>
      </w:pPr>
      <w:r>
        <w:tab/>
        <w:t>[Section 53 amended: No. 13 of 2021 s. 58.]</w:t>
      </w:r>
    </w:p>
    <w:p>
      <w:pPr>
        <w:pStyle w:val="Heading5"/>
        <w:rPr>
          <w:snapToGrid w:val="0"/>
        </w:rPr>
      </w:pPr>
      <w:bookmarkStart w:id="99" w:name="_Toc174951673"/>
      <w:r>
        <w:rPr>
          <w:rStyle w:val="CharSectno"/>
        </w:rPr>
        <w:t>54</w:t>
      </w:r>
      <w:r>
        <w:rPr>
          <w:snapToGrid w:val="0"/>
        </w:rPr>
        <w:t>.</w:t>
      </w:r>
      <w:r>
        <w:rPr>
          <w:snapToGrid w:val="0"/>
        </w:rPr>
        <w:tab/>
        <w:t>Seals of the Commonwealth and States to be judicially noticed</w:t>
      </w:r>
      <w:bookmarkEnd w:id="99"/>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00" w:name="_Toc174951674"/>
      <w:r>
        <w:rPr>
          <w:rStyle w:val="CharSectno"/>
        </w:rPr>
        <w:t>55</w:t>
      </w:r>
      <w:r>
        <w:rPr>
          <w:snapToGrid w:val="0"/>
        </w:rPr>
        <w:t>.</w:t>
      </w:r>
      <w:r>
        <w:rPr>
          <w:snapToGrid w:val="0"/>
        </w:rPr>
        <w:tab/>
        <w:t>Official seals to be judicially noticed</w:t>
      </w:r>
      <w:bookmarkEnd w:id="100"/>
    </w:p>
    <w:p>
      <w:pPr>
        <w:pStyle w:val="Subsection"/>
        <w:keepNext/>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w:t>
      </w:r>
      <w:r>
        <w:rPr>
          <w:snapToGrid w:val="0"/>
        </w:rPr>
        <w:lastRenderedPageBreak/>
        <w:t>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101" w:name="_Toc174951675"/>
      <w:r>
        <w:rPr>
          <w:rStyle w:val="CharSectno"/>
        </w:rPr>
        <w:t>56</w:t>
      </w:r>
      <w:r>
        <w:rPr>
          <w:snapToGrid w:val="0"/>
        </w:rPr>
        <w:t>.</w:t>
      </w:r>
      <w:r>
        <w:rPr>
          <w:snapToGrid w:val="0"/>
        </w:rPr>
        <w:tab/>
        <w:t>Certain signatures to be judicially noticed</w:t>
      </w:r>
      <w:bookmarkEnd w:id="101"/>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w:t>
      </w:r>
      <w:r>
        <w:rPr>
          <w:snapToGrid w:val="0"/>
          <w:spacing w:val="-2"/>
        </w:rPr>
        <w:lastRenderedPageBreak/>
        <w:t xml:space="preserve">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102" w:name="_Toc174951676"/>
      <w:r>
        <w:rPr>
          <w:rStyle w:val="CharSectno"/>
        </w:rPr>
        <w:t>57</w:t>
      </w:r>
      <w:r>
        <w:rPr>
          <w:snapToGrid w:val="0"/>
        </w:rPr>
        <w:t>.</w:t>
      </w:r>
      <w:r>
        <w:rPr>
          <w:snapToGrid w:val="0"/>
        </w:rPr>
        <w:tab/>
        <w:t>United Kingdom proclamations, regulations etc., proof of</w:t>
      </w:r>
      <w:bookmarkEnd w:id="102"/>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w:t>
      </w:r>
      <w:r>
        <w:rPr>
          <w:snapToGrid w:val="0"/>
        </w:rPr>
        <w:lastRenderedPageBreak/>
        <w:t>Proclamation, Order of the Privy Council, order, regulation, despatch, or other instrument;</w:t>
      </w:r>
    </w:p>
    <w:p>
      <w:pPr>
        <w:pStyle w:val="Indenta"/>
        <w:rPr>
          <w:snapToGrid w:val="0"/>
        </w:rPr>
      </w:pPr>
      <w:r>
        <w:rPr>
          <w:snapToGrid w:val="0"/>
        </w:rPr>
        <w:tab/>
        <w:t>(b)</w:t>
      </w:r>
      <w:r>
        <w:rPr>
          <w:snapToGrid w:val="0"/>
        </w:rPr>
        <w:tab/>
        <w:t xml:space="preserve">by the production of a copy of such proclamation purporting to be printed </w:t>
      </w:r>
      <w:r>
        <w:t>or published</w:t>
      </w:r>
      <w:r>
        <w:rPr>
          <w:snapToGrid w:val="0"/>
        </w:rPr>
        <w:t xml:space="preserve">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 No. 13 of 2021 s. 59.]</w:t>
      </w:r>
    </w:p>
    <w:p>
      <w:pPr>
        <w:pStyle w:val="Heading5"/>
        <w:rPr>
          <w:snapToGrid w:val="0"/>
        </w:rPr>
      </w:pPr>
      <w:bookmarkStart w:id="103" w:name="_Toc174951677"/>
      <w:r>
        <w:rPr>
          <w:rStyle w:val="CharSectno"/>
        </w:rPr>
        <w:t>58</w:t>
      </w:r>
      <w:r>
        <w:rPr>
          <w:snapToGrid w:val="0"/>
        </w:rPr>
        <w:t>.</w:t>
      </w:r>
      <w:r>
        <w:rPr>
          <w:snapToGrid w:val="0"/>
        </w:rPr>
        <w:tab/>
        <w:t>Australasian proclamations, regulations etc., proof of</w:t>
      </w:r>
      <w:bookmarkEnd w:id="103"/>
    </w:p>
    <w:p>
      <w:pPr>
        <w:pStyle w:val="Subsection"/>
        <w:rPr>
          <w:snapToGrid w:val="0"/>
        </w:rPr>
      </w:pPr>
      <w:r>
        <w:rPr>
          <w:snapToGrid w:val="0"/>
        </w:rPr>
        <w:tab/>
        <w:t>(1)</w:t>
      </w:r>
      <w:r>
        <w:rPr>
          <w:snapToGrid w:val="0"/>
        </w:rPr>
        <w:tab/>
        <w:t xml:space="preserve">Evidence of any </w:t>
      </w:r>
      <w:r>
        <w:t>proclamation</w:t>
      </w:r>
      <w:r>
        <w:rPr>
          <w:snapToGrid w:val="0"/>
        </w:rPr>
        <w:t xml:space="preserve">, order in council, commission, order, regulation, or other instrument whatsoever made or </w:t>
      </w:r>
      <w:r>
        <w:rPr>
          <w:snapToGrid w:val="0"/>
        </w:rPr>
        <w:lastRenderedPageBreak/>
        <w:t>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 xml:space="preserve">by the production of a document purporting to be a copy thereof, and purporting to be printed </w:t>
      </w:r>
      <w:r>
        <w:t>or published</w:t>
      </w:r>
      <w:r>
        <w:rPr>
          <w:snapToGrid w:val="0"/>
        </w:rPr>
        <w:t xml:space="preserve">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keepNext/>
        <w:rPr>
          <w:snapToGrid w:val="0"/>
        </w:rPr>
      </w:pPr>
      <w:r>
        <w:rPr>
          <w:snapToGrid w:val="0"/>
        </w:rPr>
        <w:lastRenderedPageBreak/>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Footnotesection"/>
        <w:spacing w:before="160"/>
        <w:ind w:left="890" w:hanging="890"/>
      </w:pPr>
      <w:r>
        <w:tab/>
        <w:t>[Section 58 amended: No. 13 of 2021 s. 60.]</w:t>
      </w:r>
    </w:p>
    <w:p>
      <w:pPr>
        <w:pStyle w:val="Heading5"/>
        <w:rPr>
          <w:snapToGrid w:val="0"/>
        </w:rPr>
      </w:pPr>
      <w:bookmarkStart w:id="104" w:name="_Toc174951678"/>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04"/>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05" w:name="_Toc174951679"/>
      <w:r>
        <w:rPr>
          <w:rStyle w:val="CharSectno"/>
        </w:rPr>
        <w:t>60</w:t>
      </w:r>
      <w:r>
        <w:rPr>
          <w:snapToGrid w:val="0"/>
        </w:rPr>
        <w:t>.</w:t>
      </w:r>
      <w:r>
        <w:rPr>
          <w:snapToGrid w:val="0"/>
        </w:rPr>
        <w:tab/>
        <w:t>Australian States’ proclamations and acts of State, proof of</w:t>
      </w:r>
      <w:bookmarkEnd w:id="105"/>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106" w:name="_Toc174951680"/>
      <w:r>
        <w:rPr>
          <w:rStyle w:val="CharSectno"/>
        </w:rPr>
        <w:t>61</w:t>
      </w:r>
      <w:r>
        <w:rPr>
          <w:snapToGrid w:val="0"/>
        </w:rPr>
        <w:t>.</w:t>
      </w:r>
      <w:r>
        <w:rPr>
          <w:snapToGrid w:val="0"/>
        </w:rPr>
        <w:tab/>
        <w:t>WA proclamations, regulations etc., proof of</w:t>
      </w:r>
      <w:bookmarkEnd w:id="106"/>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w:t>
      </w:r>
      <w:r>
        <w:rPr>
          <w:snapToGrid w:val="0"/>
        </w:rPr>
        <w:lastRenderedPageBreak/>
        <w:t xml:space="preserve">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107" w:name="_Toc174951681"/>
      <w:r>
        <w:rPr>
          <w:rStyle w:val="CharSectno"/>
        </w:rPr>
        <w:t>62</w:t>
      </w:r>
      <w:r>
        <w:rPr>
          <w:snapToGrid w:val="0"/>
        </w:rPr>
        <w:t>.</w:t>
      </w:r>
      <w:r>
        <w:rPr>
          <w:snapToGrid w:val="0"/>
        </w:rPr>
        <w:tab/>
        <w:t>Documents admissible in United Kingdom etc. to be admissible in WA</w:t>
      </w:r>
      <w:bookmarkEnd w:id="107"/>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108" w:name="_Toc174951682"/>
      <w:r>
        <w:rPr>
          <w:rStyle w:val="CharSectno"/>
        </w:rPr>
        <w:t>63</w:t>
      </w:r>
      <w:r>
        <w:rPr>
          <w:snapToGrid w:val="0"/>
        </w:rPr>
        <w:t>.</w:t>
      </w:r>
      <w:r>
        <w:rPr>
          <w:snapToGrid w:val="0"/>
        </w:rPr>
        <w:tab/>
        <w:t>Foreign States’ proclamations, acts of State etc., proof of</w:t>
      </w:r>
      <w:bookmarkEnd w:id="108"/>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keepNext w:val="0"/>
        <w:rPr>
          <w:snapToGrid w:val="0"/>
        </w:rPr>
      </w:pPr>
      <w:bookmarkStart w:id="109" w:name="_Toc174951683"/>
      <w:r>
        <w:rPr>
          <w:rStyle w:val="CharSectno"/>
        </w:rPr>
        <w:t>64</w:t>
      </w:r>
      <w:r>
        <w:rPr>
          <w:snapToGrid w:val="0"/>
        </w:rPr>
        <w:t>.</w:t>
      </w:r>
      <w:r>
        <w:rPr>
          <w:snapToGrid w:val="0"/>
        </w:rPr>
        <w:tab/>
        <w:t>Foreign States’ proclamations etc. admissible even if not sealed</w:t>
      </w:r>
      <w:bookmarkEnd w:id="109"/>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10" w:name="_Toc174951684"/>
      <w:r>
        <w:rPr>
          <w:rStyle w:val="CharSectno"/>
        </w:rPr>
        <w:lastRenderedPageBreak/>
        <w:t>65</w:t>
      </w:r>
      <w:r>
        <w:rPr>
          <w:snapToGrid w:val="0"/>
        </w:rPr>
        <w:t>.</w:t>
      </w:r>
      <w:r>
        <w:rPr>
          <w:snapToGrid w:val="0"/>
        </w:rPr>
        <w:tab/>
        <w:t>Copies of public documents admissible in some cases</w:t>
      </w:r>
      <w:bookmarkEnd w:id="110"/>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111" w:name="_Toc174951685"/>
      <w:r>
        <w:rPr>
          <w:rStyle w:val="CharSectno"/>
        </w:rPr>
        <w:t>65A</w:t>
      </w:r>
      <w:r>
        <w:rPr>
          <w:snapToGrid w:val="0"/>
        </w:rPr>
        <w:t>.</w:t>
      </w:r>
      <w:r>
        <w:rPr>
          <w:snapToGrid w:val="0"/>
        </w:rPr>
        <w:tab/>
        <w:t>Certified photographs from library admissible</w:t>
      </w:r>
      <w:bookmarkEnd w:id="111"/>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112" w:name="_Toc174951686"/>
      <w:r>
        <w:rPr>
          <w:rStyle w:val="CharSectno"/>
        </w:rPr>
        <w:lastRenderedPageBreak/>
        <w:t>66</w:t>
      </w:r>
      <w:r>
        <w:rPr>
          <w:snapToGrid w:val="0"/>
        </w:rPr>
        <w:t>.</w:t>
      </w:r>
      <w:r>
        <w:rPr>
          <w:snapToGrid w:val="0"/>
        </w:rPr>
        <w:tab/>
        <w:t>Parliamentary proceedings in Australasia, proof of</w:t>
      </w:r>
      <w:bookmarkEnd w:id="112"/>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113" w:name="_Toc174951687"/>
      <w:r>
        <w:rPr>
          <w:rStyle w:val="CharSectno"/>
        </w:rPr>
        <w:t>67</w:t>
      </w:r>
      <w:r>
        <w:rPr>
          <w:snapToGrid w:val="0"/>
        </w:rPr>
        <w:t>.</w:t>
      </w:r>
      <w:r>
        <w:rPr>
          <w:snapToGrid w:val="0"/>
        </w:rPr>
        <w:tab/>
        <w:t>Certain documents admissible without proof of signature, seal etc.</w:t>
      </w:r>
      <w:bookmarkEnd w:id="113"/>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lastRenderedPageBreak/>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114" w:name="_Toc174951688"/>
      <w:r>
        <w:rPr>
          <w:rStyle w:val="CharSectno"/>
        </w:rPr>
        <w:t>68</w:t>
      </w:r>
      <w:r>
        <w:rPr>
          <w:snapToGrid w:val="0"/>
        </w:rPr>
        <w:t>.</w:t>
      </w:r>
      <w:r>
        <w:rPr>
          <w:snapToGrid w:val="0"/>
        </w:rPr>
        <w:tab/>
        <w:t>Register of British vessels etc., proof of</w:t>
      </w:r>
      <w:bookmarkEnd w:id="114"/>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115" w:name="_Toc174951689"/>
      <w:r>
        <w:rPr>
          <w:rStyle w:val="CharSectno"/>
        </w:rPr>
        <w:t>69</w:t>
      </w:r>
      <w:r>
        <w:rPr>
          <w:snapToGrid w:val="0"/>
        </w:rPr>
        <w:t>.</w:t>
      </w:r>
      <w:r>
        <w:rPr>
          <w:snapToGrid w:val="0"/>
        </w:rPr>
        <w:tab/>
        <w:t>Newspaper proprietors, proof of register of</w:t>
      </w:r>
      <w:bookmarkEnd w:id="115"/>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xml:space="preserve">, purporting to be certified by the Registrar of the Supreme Court or his deputy for the time being, </w:t>
      </w:r>
      <w:r>
        <w:rPr>
          <w:snapToGrid w:val="0"/>
        </w:rPr>
        <w:lastRenderedPageBreak/>
        <w:t>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116" w:name="_Toc174951690"/>
      <w:r>
        <w:rPr>
          <w:rStyle w:val="CharSectno"/>
        </w:rPr>
        <w:t>69A</w:t>
      </w:r>
      <w:r>
        <w:rPr>
          <w:snapToGrid w:val="0"/>
        </w:rPr>
        <w:t>.</w:t>
      </w:r>
      <w:r>
        <w:rPr>
          <w:snapToGrid w:val="0"/>
        </w:rPr>
        <w:tab/>
        <w:t>WA registers, proof of</w:t>
      </w:r>
      <w:bookmarkEnd w:id="116"/>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 xml:space="preserve">any document purporting to be a copy of the register and to be printed </w:t>
      </w:r>
      <w:r>
        <w:t>or published</w:t>
      </w:r>
      <w:r>
        <w:rPr>
          <w:snapToGrid w:val="0"/>
        </w:rPr>
        <w:t xml:space="preserve">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w:t>
      </w:r>
      <w:r>
        <w:t>printed, published</w:t>
      </w:r>
      <w:r>
        <w:rPr>
          <w:snapToGrid w:val="0"/>
        </w:rPr>
        <w:t xml:space="preserve">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 amended: No. 13 of 2021 s. 61.]</w:t>
      </w:r>
    </w:p>
    <w:p>
      <w:pPr>
        <w:pStyle w:val="Heading5"/>
        <w:rPr>
          <w:snapToGrid w:val="0"/>
        </w:rPr>
      </w:pPr>
      <w:bookmarkStart w:id="117" w:name="_Toc174951691"/>
      <w:r>
        <w:rPr>
          <w:rStyle w:val="CharSectno"/>
        </w:rPr>
        <w:lastRenderedPageBreak/>
        <w:t>70</w:t>
      </w:r>
      <w:r>
        <w:rPr>
          <w:snapToGrid w:val="0"/>
        </w:rPr>
        <w:t>.</w:t>
      </w:r>
      <w:r>
        <w:rPr>
          <w:snapToGrid w:val="0"/>
        </w:rPr>
        <w:tab/>
        <w:t>Statutes etc. of any country, proof of</w:t>
      </w:r>
      <w:bookmarkEnd w:id="117"/>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18" w:name="_Toc174951692"/>
      <w:r>
        <w:rPr>
          <w:rStyle w:val="CharSectno"/>
        </w:rPr>
        <w:t>71</w:t>
      </w:r>
      <w:r>
        <w:rPr>
          <w:snapToGrid w:val="0"/>
        </w:rPr>
        <w:t>.</w:t>
      </w:r>
      <w:r>
        <w:rPr>
          <w:snapToGrid w:val="0"/>
        </w:rPr>
        <w:tab/>
        <w:t>Certain law reports and texts may be referred to as evidence of laws</w:t>
      </w:r>
      <w:bookmarkEnd w:id="118"/>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19" w:name="_Toc174951693"/>
      <w:r>
        <w:rPr>
          <w:rStyle w:val="CharSectno"/>
        </w:rPr>
        <w:t>72</w:t>
      </w:r>
      <w:r>
        <w:rPr>
          <w:snapToGrid w:val="0"/>
        </w:rPr>
        <w:t>.</w:t>
      </w:r>
      <w:r>
        <w:rPr>
          <w:snapToGrid w:val="0"/>
        </w:rPr>
        <w:tab/>
        <w:t>Authoritative texts on history, science etc., reference to</w:t>
      </w:r>
      <w:bookmarkEnd w:id="119"/>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20" w:name="_Toc174951694"/>
      <w:r>
        <w:rPr>
          <w:rStyle w:val="CharSectno"/>
        </w:rPr>
        <w:t>73</w:t>
      </w:r>
      <w:r>
        <w:rPr>
          <w:snapToGrid w:val="0"/>
        </w:rPr>
        <w:t>.</w:t>
      </w:r>
      <w:r>
        <w:rPr>
          <w:snapToGrid w:val="0"/>
        </w:rPr>
        <w:tab/>
        <w:t>Documents admitted into evidence may be impounded</w:t>
      </w:r>
      <w:bookmarkEnd w:id="120"/>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lastRenderedPageBreak/>
        <w:t>Reproduction of documents</w:t>
      </w:r>
    </w:p>
    <w:p>
      <w:pPr>
        <w:pStyle w:val="Footnoteheading"/>
        <w:keepNext/>
        <w:rPr>
          <w:snapToGrid w:val="0"/>
        </w:rPr>
      </w:pPr>
      <w:r>
        <w:rPr>
          <w:snapToGrid w:val="0"/>
        </w:rPr>
        <w:tab/>
        <w:t>[Heading inserted: No. 20 of 1966 s. 3.]</w:t>
      </w:r>
    </w:p>
    <w:p>
      <w:pPr>
        <w:pStyle w:val="Heading5"/>
        <w:spacing w:before="200"/>
      </w:pPr>
      <w:bookmarkStart w:id="121" w:name="_Toc174951695"/>
      <w:r>
        <w:rPr>
          <w:rStyle w:val="CharSectno"/>
        </w:rPr>
        <w:t>73A</w:t>
      </w:r>
      <w:r>
        <w:t>.</w:t>
      </w:r>
      <w:r>
        <w:tab/>
        <w:t>Reproductions admissible (best evidence rule modified)</w:t>
      </w:r>
      <w:bookmarkEnd w:id="121"/>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lastRenderedPageBreak/>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122" w:name="_Toc174951696"/>
      <w:r>
        <w:rPr>
          <w:rStyle w:val="CharSectno"/>
        </w:rPr>
        <w:t>73B</w:t>
      </w:r>
      <w:r>
        <w:rPr>
          <w:snapToGrid w:val="0"/>
        </w:rPr>
        <w:t>.</w:t>
      </w:r>
      <w:r>
        <w:rPr>
          <w:snapToGrid w:val="0"/>
        </w:rPr>
        <w:tab/>
        <w:t>Certified reproductions of certain public documents etc., admissible without further proof</w:t>
      </w:r>
      <w:bookmarkEnd w:id="122"/>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 xml:space="preserve">If a reproduction of a document that is at any time filed in a court or of the official record of any proceedings in a court bears a certificate purporting to be signed by the registrar, clerk or other proper officer of that court certifying that it is a </w:t>
      </w:r>
      <w:r>
        <w:rPr>
          <w:snapToGrid w:val="0"/>
        </w:rPr>
        <w:lastRenderedPageBreak/>
        <w:t>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123" w:name="_Toc174951697"/>
      <w:r>
        <w:rPr>
          <w:rStyle w:val="CharSectno"/>
        </w:rPr>
        <w:t>73BA</w:t>
      </w:r>
      <w:r>
        <w:t>.</w:t>
      </w:r>
      <w:r>
        <w:tab/>
        <w:t>Authenticated copies of certain public documents etc. admissible without further proof</w:t>
      </w:r>
      <w:bookmarkEnd w:id="123"/>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 xml:space="preserve">An authenticated copy of a document or official record to which this section applies is admissible in evidence without further </w:t>
      </w:r>
      <w:r>
        <w:lastRenderedPageBreak/>
        <w:t>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124" w:name="_Toc174951698"/>
      <w:r>
        <w:rPr>
          <w:rStyle w:val="CharSectno"/>
        </w:rPr>
        <w:t>73N</w:t>
      </w:r>
      <w:r>
        <w:rPr>
          <w:snapToGrid w:val="0"/>
        </w:rPr>
        <w:t>.</w:t>
      </w:r>
      <w:r>
        <w:rPr>
          <w:snapToGrid w:val="0"/>
        </w:rPr>
        <w:tab/>
        <w:t>Reproductions of documents over 30 years old, presumptions as to</w:t>
      </w:r>
      <w:bookmarkEnd w:id="124"/>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125" w:name="_Toc174951699"/>
      <w:r>
        <w:rPr>
          <w:rStyle w:val="CharSectno"/>
        </w:rPr>
        <w:t>73Q</w:t>
      </w:r>
      <w:r>
        <w:rPr>
          <w:snapToGrid w:val="0"/>
        </w:rPr>
        <w:t>.</w:t>
      </w:r>
      <w:r>
        <w:rPr>
          <w:snapToGrid w:val="0"/>
        </w:rPr>
        <w:tab/>
        <w:t>Reproduced official seals and signatures to be judicially noticed</w:t>
      </w:r>
      <w:bookmarkEnd w:id="125"/>
    </w:p>
    <w:p>
      <w:pPr>
        <w:pStyle w:val="Subsection"/>
        <w:rPr>
          <w:snapToGrid w:val="0"/>
        </w:rPr>
      </w:pPr>
      <w:r>
        <w:rPr>
          <w:snapToGrid w:val="0"/>
        </w:rPr>
        <w:tab/>
      </w:r>
      <w:r>
        <w:rPr>
          <w:snapToGrid w:val="0"/>
        </w:rPr>
        <w:tab/>
        <w:t xml:space="preserve">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w:t>
      </w:r>
      <w:r>
        <w:rPr>
          <w:snapToGrid w:val="0"/>
        </w:rPr>
        <w:lastRenderedPageBreak/>
        <w:t>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126" w:name="_Toc174951700"/>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26"/>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lastRenderedPageBreak/>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127" w:name="_Toc174951701"/>
      <w:r>
        <w:rPr>
          <w:rStyle w:val="CharSectno"/>
        </w:rPr>
        <w:t>74</w:t>
      </w:r>
      <w:r>
        <w:rPr>
          <w:snapToGrid w:val="0"/>
        </w:rPr>
        <w:t>.</w:t>
      </w:r>
      <w:r>
        <w:rPr>
          <w:snapToGrid w:val="0"/>
        </w:rPr>
        <w:tab/>
        <w:t>Gazettes of certain places, proof of</w:t>
      </w:r>
      <w:bookmarkEnd w:id="127"/>
    </w:p>
    <w:p>
      <w:pPr>
        <w:pStyle w:val="Subsection"/>
        <w:rPr>
          <w:snapToGrid w:val="0"/>
        </w:rPr>
      </w:pPr>
      <w:r>
        <w:rPr>
          <w:snapToGrid w:val="0"/>
        </w:rPr>
        <w:tab/>
      </w:r>
      <w:r>
        <w:rPr>
          <w:snapToGrid w:val="0"/>
        </w:rPr>
        <w:tab/>
        <w:t xml:space="preserve">The mere production of a </w:t>
      </w:r>
      <w:r>
        <w:t>document</w:t>
      </w:r>
      <w:r>
        <w:rPr>
          <w:snapToGrid w:val="0"/>
        </w:rPr>
        <w:t xml:space="preserve">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w:t>
      </w:r>
      <w:r>
        <w:t>document</w:t>
      </w:r>
      <w:r>
        <w:rPr>
          <w:snapToGrid w:val="0"/>
        </w:rPr>
        <w:t xml:space="preserve"> is such </w:t>
      </w:r>
      <w:r>
        <w:rPr>
          <w:i/>
          <w:snapToGrid w:val="0"/>
        </w:rPr>
        <w:t>Gazette</w:t>
      </w:r>
      <w:r>
        <w:rPr>
          <w:snapToGrid w:val="0"/>
        </w:rPr>
        <w:t>, and was published on the day on which it bears date.</w:t>
      </w:r>
    </w:p>
    <w:p>
      <w:pPr>
        <w:pStyle w:val="Footnotesection"/>
        <w:spacing w:before="160"/>
        <w:ind w:left="890" w:hanging="890"/>
      </w:pPr>
      <w:r>
        <w:tab/>
        <w:t>[Section 74 amended: No. 13 of 2021 s. 62.]</w:t>
      </w:r>
    </w:p>
    <w:p>
      <w:pPr>
        <w:pStyle w:val="Heading5"/>
        <w:rPr>
          <w:snapToGrid w:val="0"/>
        </w:rPr>
      </w:pPr>
      <w:bookmarkStart w:id="128" w:name="_Toc174951702"/>
      <w:r>
        <w:rPr>
          <w:rStyle w:val="CharSectno"/>
        </w:rPr>
        <w:t>75</w:t>
      </w:r>
      <w:r>
        <w:rPr>
          <w:snapToGrid w:val="0"/>
        </w:rPr>
        <w:t>.</w:t>
      </w:r>
      <w:r>
        <w:rPr>
          <w:snapToGrid w:val="0"/>
        </w:rPr>
        <w:tab/>
        <w:t>Government Printers’ publications, proof of</w:t>
      </w:r>
      <w:bookmarkEnd w:id="128"/>
    </w:p>
    <w:p>
      <w:pPr>
        <w:pStyle w:val="Subsection"/>
        <w:rPr>
          <w:snapToGrid w:val="0"/>
        </w:rPr>
      </w:pPr>
      <w:r>
        <w:rPr>
          <w:snapToGrid w:val="0"/>
        </w:rPr>
        <w:tab/>
      </w:r>
      <w:r>
        <w:rPr>
          <w:snapToGrid w:val="0"/>
        </w:rPr>
        <w:tab/>
        <w:t xml:space="preserve">The mere production of a </w:t>
      </w:r>
      <w:r>
        <w:t>document purporting to be printed or published</w:t>
      </w:r>
      <w:r>
        <w:rPr>
          <w:snapToGrid w:val="0"/>
        </w:rPr>
        <w:t xml:space="preserve"> by the Government Printer, or by the authority of the Imperial Government or the Government of the Commonwealth, or of any State, or of any Australasian colony, shall, before all courts and persons acting judicially, be evidence that the </w:t>
      </w:r>
      <w:r>
        <w:t>document was printed or published</w:t>
      </w:r>
      <w:r>
        <w:rPr>
          <w:snapToGrid w:val="0"/>
        </w:rPr>
        <w:t xml:space="preserve"> by the Government Printer or by such authority.</w:t>
      </w:r>
    </w:p>
    <w:p>
      <w:pPr>
        <w:pStyle w:val="Footnotesection"/>
        <w:spacing w:before="160"/>
        <w:ind w:left="890" w:hanging="890"/>
      </w:pPr>
      <w:r>
        <w:tab/>
        <w:t>[Section 75 amended: No. 13 of 2021 s. 63.]</w:t>
      </w:r>
    </w:p>
    <w:p>
      <w:pPr>
        <w:pStyle w:val="Heading5"/>
        <w:rPr>
          <w:snapToGrid w:val="0"/>
        </w:rPr>
      </w:pPr>
      <w:bookmarkStart w:id="129" w:name="_Toc174951703"/>
      <w:r>
        <w:rPr>
          <w:rStyle w:val="CharSectno"/>
        </w:rPr>
        <w:t>76</w:t>
      </w:r>
      <w:r>
        <w:rPr>
          <w:snapToGrid w:val="0"/>
        </w:rPr>
        <w:t>.</w:t>
      </w:r>
      <w:r>
        <w:rPr>
          <w:snapToGrid w:val="0"/>
        </w:rPr>
        <w:tab/>
        <w:t>Her Majesty’s Stationery Office publications, status of</w:t>
      </w:r>
      <w:bookmarkEnd w:id="129"/>
    </w:p>
    <w:p>
      <w:pPr>
        <w:pStyle w:val="Subsection"/>
        <w:rPr>
          <w:snapToGrid w:val="0"/>
        </w:rPr>
      </w:pPr>
      <w:r>
        <w:rPr>
          <w:snapToGrid w:val="0"/>
        </w:rPr>
        <w:tab/>
      </w:r>
      <w:r>
        <w:rPr>
          <w:snapToGrid w:val="0"/>
        </w:rPr>
        <w:tab/>
        <w:t xml:space="preserve">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w:t>
      </w:r>
      <w:r>
        <w:rPr>
          <w:snapToGrid w:val="0"/>
        </w:rPr>
        <w:lastRenderedPageBreak/>
        <w:t>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30" w:name="_Toc174951704"/>
      <w:r>
        <w:rPr>
          <w:rStyle w:val="CharSectno"/>
        </w:rPr>
        <w:t>77</w:t>
      </w:r>
      <w:r>
        <w:rPr>
          <w:snapToGrid w:val="0"/>
        </w:rPr>
        <w:t>.</w:t>
      </w:r>
      <w:r>
        <w:rPr>
          <w:snapToGrid w:val="0"/>
        </w:rPr>
        <w:tab/>
        <w:t>Acts of governors and ministers of States, proof of</w:t>
      </w:r>
      <w:bookmarkEnd w:id="130"/>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31" w:name="_Toc174951705"/>
      <w:r>
        <w:rPr>
          <w:rStyle w:val="CharSectno"/>
        </w:rPr>
        <w:t>78</w:t>
      </w:r>
      <w:r>
        <w:rPr>
          <w:snapToGrid w:val="0"/>
        </w:rPr>
        <w:t>.</w:t>
      </w:r>
      <w:r>
        <w:rPr>
          <w:snapToGrid w:val="0"/>
        </w:rPr>
        <w:tab/>
        <w:t>Local laws, by</w:t>
      </w:r>
      <w:r>
        <w:rPr>
          <w:snapToGrid w:val="0"/>
        </w:rPr>
        <w:noBreakHyphen/>
        <w:t>laws and regulations, proof of</w:t>
      </w:r>
      <w:bookmarkEnd w:id="131"/>
    </w:p>
    <w:p>
      <w:pPr>
        <w:pStyle w:val="Subsection"/>
        <w:rPr>
          <w:snapToGrid w:val="0"/>
        </w:rPr>
      </w:pPr>
      <w:r>
        <w:rPr>
          <w:snapToGrid w:val="0"/>
        </w:rPr>
        <w:tab/>
      </w:r>
      <w:r>
        <w:rPr>
          <w:snapToGrid w:val="0"/>
        </w:rPr>
        <w:tab/>
        <w:t>Where by any Act of the Commonwealth or of any State, power to make local laws, by</w:t>
      </w:r>
      <w:r>
        <w:rPr>
          <w:snapToGrid w:val="0"/>
        </w:rPr>
        <w:noBreakHyphen/>
        <w:t xml:space="preserve">laws or regulations is conferred upon any person or body, any </w:t>
      </w:r>
      <w:r>
        <w:t>document</w:t>
      </w:r>
      <w:r>
        <w:rPr>
          <w:snapToGrid w:val="0"/>
        </w:rPr>
        <w:t xml:space="preserve"> purporting to be such local laws, by</w:t>
      </w:r>
      <w:r>
        <w:rPr>
          <w:snapToGrid w:val="0"/>
        </w:rPr>
        <w:noBreakHyphen/>
        <w:t xml:space="preserve">laws or regulations, and to be printed </w:t>
      </w:r>
      <w:r>
        <w:t>or published</w:t>
      </w:r>
      <w:r>
        <w:rPr>
          <w:snapToGrid w:val="0"/>
        </w:rPr>
        <w:t xml:space="preserve">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 xml:space="preserve">laws or regulations in the words </w:t>
      </w:r>
      <w:r>
        <w:t>set out in the document</w:t>
      </w:r>
      <w:r>
        <w:rPr>
          <w:snapToGrid w:val="0"/>
        </w:rPr>
        <w:t xml:space="preserve">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 xml:space="preserve">General or the Governor of the State, if they appear </w:t>
      </w:r>
      <w:r>
        <w:t>from the document</w:t>
      </w:r>
      <w:r>
        <w:rPr>
          <w:snapToGrid w:val="0"/>
        </w:rPr>
        <w:t xml:space="preserve"> to have been so approved or confirmed.</w:t>
      </w:r>
    </w:p>
    <w:p>
      <w:pPr>
        <w:pStyle w:val="Footnotesection"/>
      </w:pPr>
      <w:r>
        <w:tab/>
        <w:t>[Section 78 amended: No. 14 of 1996 s. 4; No. 13 of 2021 s. 64.]</w:t>
      </w:r>
    </w:p>
    <w:p>
      <w:pPr>
        <w:pStyle w:val="Heading5"/>
        <w:rPr>
          <w:snapToGrid w:val="0"/>
        </w:rPr>
      </w:pPr>
      <w:bookmarkStart w:id="132" w:name="_Toc174951706"/>
      <w:r>
        <w:rPr>
          <w:rStyle w:val="CharSectno"/>
        </w:rPr>
        <w:lastRenderedPageBreak/>
        <w:t>79</w:t>
      </w:r>
      <w:r>
        <w:rPr>
          <w:snapToGrid w:val="0"/>
        </w:rPr>
        <w:t>.</w:t>
      </w:r>
      <w:r>
        <w:rPr>
          <w:snapToGrid w:val="0"/>
        </w:rPr>
        <w:tab/>
        <w:t>Incorporation of a company, proof of</w:t>
      </w:r>
      <w:bookmarkEnd w:id="132"/>
    </w:p>
    <w:p>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keepNext/>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w:t>
      </w:r>
      <w:r>
        <w:rPr>
          <w:snapToGrid w:val="0"/>
        </w:rPr>
        <w:lastRenderedPageBreak/>
        <w:t xml:space="preserve">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133" w:name="_Toc174951707"/>
      <w:r>
        <w:rPr>
          <w:rStyle w:val="CharSectno"/>
        </w:rPr>
        <w:t>79A</w:t>
      </w:r>
      <w:r>
        <w:rPr>
          <w:snapToGrid w:val="0"/>
        </w:rPr>
        <w:t>.</w:t>
      </w:r>
      <w:r>
        <w:rPr>
          <w:snapToGrid w:val="0"/>
        </w:rPr>
        <w:tab/>
        <w:t>Document requiring attestation, proof of</w:t>
      </w:r>
      <w:bookmarkEnd w:id="133"/>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134" w:name="_Toc174951708"/>
      <w:r>
        <w:rPr>
          <w:rStyle w:val="CharSectno"/>
        </w:rPr>
        <w:t>79B</w:t>
      </w:r>
      <w:r>
        <w:rPr>
          <w:snapToGrid w:val="0"/>
        </w:rPr>
        <w:t>.</w:t>
      </w:r>
      <w:r>
        <w:rPr>
          <w:snapToGrid w:val="0"/>
        </w:rPr>
        <w:tab/>
        <w:t>Terms used</w:t>
      </w:r>
      <w:bookmarkEnd w:id="134"/>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keepLines/>
      </w:pPr>
      <w:r>
        <w:lastRenderedPageBreak/>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135" w:name="_Toc174951709"/>
      <w:r>
        <w:rPr>
          <w:rStyle w:val="CharSectno"/>
        </w:rPr>
        <w:t>79C</w:t>
      </w:r>
      <w:r>
        <w:rPr>
          <w:snapToGrid w:val="0"/>
        </w:rPr>
        <w:t>.</w:t>
      </w:r>
      <w:r>
        <w:rPr>
          <w:snapToGrid w:val="0"/>
        </w:rPr>
        <w:tab/>
        <w:t>Documentary evidence, admissibility of</w:t>
      </w:r>
      <w:bookmarkEnd w:id="135"/>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 xml:space="preserve">information from one or more devices designed for, and used for the purpose of, recording, </w:t>
      </w:r>
      <w:r>
        <w:rPr>
          <w:snapToGrid w:val="0"/>
        </w:rPr>
        <w:lastRenderedPageBreak/>
        <w:t>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lastRenderedPageBreak/>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lastRenderedPageBreak/>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136" w:name="_Toc174951710"/>
      <w:r>
        <w:rPr>
          <w:rStyle w:val="CharSectno"/>
        </w:rPr>
        <w:t>79D</w:t>
      </w:r>
      <w:r>
        <w:rPr>
          <w:snapToGrid w:val="0"/>
        </w:rPr>
        <w:t>.</w:t>
      </w:r>
      <w:r>
        <w:rPr>
          <w:snapToGrid w:val="0"/>
        </w:rPr>
        <w:tab/>
        <w:t>Evidence admitted under s. 79C, weight and effect of</w:t>
      </w:r>
      <w:bookmarkEnd w:id="136"/>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lastRenderedPageBreak/>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137" w:name="_Toc174951711"/>
      <w:r>
        <w:rPr>
          <w:rStyle w:val="CharSectno"/>
        </w:rPr>
        <w:t>79E</w:t>
      </w:r>
      <w:r>
        <w:rPr>
          <w:snapToGrid w:val="0"/>
        </w:rPr>
        <w:t>.</w:t>
      </w:r>
      <w:r>
        <w:rPr>
          <w:snapToGrid w:val="0"/>
        </w:rPr>
        <w:tab/>
        <w:t>Qualified person, evidence as to credibility of</w:t>
      </w:r>
      <w:bookmarkEnd w:id="137"/>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 xml:space="preserve">tending to prove that, whether before or after that person made that statement, he made another statement (whether orally or in a document or otherwise) inconsistent therewith shall be </w:t>
      </w:r>
      <w:r>
        <w:rPr>
          <w:snapToGrid w:val="0"/>
        </w:rPr>
        <w:lastRenderedPageBreak/>
        <w:t>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138" w:name="_Toc174951712"/>
      <w:r>
        <w:rPr>
          <w:rStyle w:val="CharSectno"/>
        </w:rPr>
        <w:t>79F</w:t>
      </w:r>
      <w:r>
        <w:rPr>
          <w:snapToGrid w:val="0"/>
        </w:rPr>
        <w:t>.</w:t>
      </w:r>
      <w:r>
        <w:rPr>
          <w:snapToGrid w:val="0"/>
        </w:rPr>
        <w:tab/>
        <w:t>Dispute as to happening of event</w:t>
      </w:r>
      <w:bookmarkEnd w:id="138"/>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 xml:space="preserve">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w:t>
      </w:r>
      <w:r>
        <w:rPr>
          <w:snapToGrid w:val="0"/>
        </w:rPr>
        <w:lastRenderedPageBreak/>
        <w:t>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t>Proof of judicial proceedings</w:t>
      </w:r>
    </w:p>
    <w:p>
      <w:pPr>
        <w:pStyle w:val="Heading5"/>
        <w:rPr>
          <w:snapToGrid w:val="0"/>
        </w:rPr>
      </w:pPr>
      <w:bookmarkStart w:id="139" w:name="_Toc174951713"/>
      <w:r>
        <w:rPr>
          <w:rStyle w:val="CharSectno"/>
        </w:rPr>
        <w:t>80</w:t>
      </w:r>
      <w:r>
        <w:rPr>
          <w:snapToGrid w:val="0"/>
        </w:rPr>
        <w:t>.</w:t>
      </w:r>
      <w:r>
        <w:rPr>
          <w:snapToGrid w:val="0"/>
        </w:rPr>
        <w:tab/>
        <w:t>Judgments, orders etc., proof of</w:t>
      </w:r>
      <w:bookmarkEnd w:id="139"/>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140" w:name="_Toc174951714"/>
      <w:r>
        <w:rPr>
          <w:rStyle w:val="CharSectno"/>
        </w:rPr>
        <w:t>81</w:t>
      </w:r>
      <w:r>
        <w:rPr>
          <w:snapToGrid w:val="0"/>
        </w:rPr>
        <w:t>.</w:t>
      </w:r>
      <w:r>
        <w:rPr>
          <w:snapToGrid w:val="0"/>
        </w:rPr>
        <w:tab/>
        <w:t>Documents properly authenticated to be given faith and credit</w:t>
      </w:r>
      <w:bookmarkEnd w:id="140"/>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lastRenderedPageBreak/>
        <w:t>[</w:t>
      </w:r>
      <w:r>
        <w:rPr>
          <w:b/>
        </w:rPr>
        <w:t>82</w:t>
      </w:r>
      <w:r>
        <w:rPr>
          <w:b/>
        </w:rPr>
        <w:noBreakHyphen/>
        <w:t>88.</w:t>
      </w:r>
      <w:r>
        <w:tab/>
        <w:t>Deleted: No. 20 of 2013 s. 70(2).]</w:t>
      </w:r>
    </w:p>
    <w:p>
      <w:pPr>
        <w:pStyle w:val="MiscellaneousHeading"/>
        <w:rPr>
          <w:i/>
        </w:rPr>
      </w:pPr>
      <w:r>
        <w:rPr>
          <w:i/>
        </w:rPr>
        <w:t>Bankers’ books</w:t>
      </w:r>
    </w:p>
    <w:p>
      <w:pPr>
        <w:pStyle w:val="Heading5"/>
        <w:rPr>
          <w:snapToGrid w:val="0"/>
        </w:rPr>
      </w:pPr>
      <w:bookmarkStart w:id="141" w:name="_Toc174951715"/>
      <w:r>
        <w:rPr>
          <w:rStyle w:val="CharSectno"/>
        </w:rPr>
        <w:t>89</w:t>
      </w:r>
      <w:r>
        <w:rPr>
          <w:snapToGrid w:val="0"/>
        </w:rPr>
        <w:t>.</w:t>
      </w:r>
      <w:r>
        <w:rPr>
          <w:snapToGrid w:val="0"/>
        </w:rPr>
        <w:tab/>
        <w:t>Banker’s book entries are evidence of transactions etc.</w:t>
      </w:r>
      <w:bookmarkEnd w:id="141"/>
    </w:p>
    <w:p>
      <w:pPr>
        <w:pStyle w:val="Subsection"/>
        <w:keepNext/>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142" w:name="_Toc174951716"/>
      <w:r>
        <w:rPr>
          <w:snapToGrid w:val="0"/>
        </w:rPr>
        <w:t>90.</w:t>
      </w:r>
      <w:r>
        <w:rPr>
          <w:snapToGrid w:val="0"/>
        </w:rPr>
        <w:tab/>
        <w:t>Banker’s books, proof of</w:t>
      </w:r>
      <w:bookmarkEnd w:id="142"/>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143" w:name="_Toc174951717"/>
      <w:r>
        <w:rPr>
          <w:rStyle w:val="CharSectno"/>
        </w:rPr>
        <w:t>91</w:t>
      </w:r>
      <w:r>
        <w:rPr>
          <w:snapToGrid w:val="0"/>
        </w:rPr>
        <w:t>.</w:t>
      </w:r>
      <w:r>
        <w:rPr>
          <w:snapToGrid w:val="0"/>
        </w:rPr>
        <w:tab/>
        <w:t>Banker’s books, copies to be certified</w:t>
      </w:r>
      <w:bookmarkEnd w:id="143"/>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144" w:name="_Toc174951718"/>
      <w:r>
        <w:rPr>
          <w:rStyle w:val="CharSectno"/>
        </w:rPr>
        <w:t>92</w:t>
      </w:r>
      <w:r>
        <w:rPr>
          <w:snapToGrid w:val="0"/>
        </w:rPr>
        <w:t>.</w:t>
      </w:r>
      <w:r>
        <w:rPr>
          <w:snapToGrid w:val="0"/>
        </w:rPr>
        <w:tab/>
        <w:t>Bank accounts, bank officer may give evidence about</w:t>
      </w:r>
      <w:bookmarkEnd w:id="144"/>
    </w:p>
    <w:p>
      <w:pPr>
        <w:pStyle w:val="Subsection"/>
        <w:keepNext/>
        <w:rPr>
          <w:snapToGrid w:val="0"/>
        </w:rPr>
      </w:pPr>
      <w:r>
        <w:rPr>
          <w:snapToGrid w:val="0"/>
        </w:rPr>
        <w:lastRenderedPageBreak/>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145" w:name="_Toc174951719"/>
      <w:r>
        <w:rPr>
          <w:rStyle w:val="CharSectno"/>
        </w:rPr>
        <w:t>92A</w:t>
      </w:r>
      <w:r>
        <w:rPr>
          <w:snapToGrid w:val="0"/>
        </w:rPr>
        <w:t>.</w:t>
      </w:r>
      <w:r>
        <w:rPr>
          <w:snapToGrid w:val="0"/>
        </w:rPr>
        <w:tab/>
        <w:t>Australian and foreign banks, application to of s. 89 to 92</w:t>
      </w:r>
      <w:bookmarkEnd w:id="145"/>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146" w:name="_Toc174951720"/>
      <w:r>
        <w:rPr>
          <w:rStyle w:val="CharSectno"/>
        </w:rPr>
        <w:t>93</w:t>
      </w:r>
      <w:r>
        <w:rPr>
          <w:snapToGrid w:val="0"/>
        </w:rPr>
        <w:t>.</w:t>
      </w:r>
      <w:r>
        <w:rPr>
          <w:snapToGrid w:val="0"/>
        </w:rPr>
        <w:tab/>
        <w:t>Bank officers not compellable in some cases</w:t>
      </w:r>
      <w:bookmarkEnd w:id="146"/>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147" w:name="_Toc174951721"/>
      <w:r>
        <w:rPr>
          <w:rStyle w:val="CharSectno"/>
        </w:rPr>
        <w:t>94</w:t>
      </w:r>
      <w:r>
        <w:rPr>
          <w:snapToGrid w:val="0"/>
        </w:rPr>
        <w:t>.</w:t>
      </w:r>
      <w:r>
        <w:rPr>
          <w:snapToGrid w:val="0"/>
        </w:rPr>
        <w:tab/>
        <w:t>Banker’s books, Supreme Court may order inspection of</w:t>
      </w:r>
      <w:bookmarkEnd w:id="147"/>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lastRenderedPageBreak/>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48" w:name="_Toc174951722"/>
      <w:r>
        <w:rPr>
          <w:rStyle w:val="CharSectno"/>
        </w:rPr>
        <w:t>95</w:t>
      </w:r>
      <w:r>
        <w:rPr>
          <w:snapToGrid w:val="0"/>
        </w:rPr>
        <w:t>.</w:t>
      </w:r>
      <w:r>
        <w:rPr>
          <w:snapToGrid w:val="0"/>
        </w:rPr>
        <w:tab/>
        <w:t>Costs under s. 93 and 94</w:t>
      </w:r>
      <w:bookmarkEnd w:id="148"/>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149" w:name="_Toc174951723"/>
      <w:r>
        <w:rPr>
          <w:rStyle w:val="CharSectno"/>
        </w:rPr>
        <w:t>96</w:t>
      </w:r>
      <w:r>
        <w:t>.</w:t>
      </w:r>
      <w:r>
        <w:tab/>
        <w:t>Supreme Court judge’s powers may be exercised by other judicial officers</w:t>
      </w:r>
      <w:bookmarkEnd w:id="149"/>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lastRenderedPageBreak/>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t>Mode of taking evidence</w:t>
      </w:r>
    </w:p>
    <w:p>
      <w:pPr>
        <w:pStyle w:val="Heading5"/>
        <w:rPr>
          <w:snapToGrid w:val="0"/>
        </w:rPr>
      </w:pPr>
      <w:bookmarkStart w:id="150" w:name="_Toc174951724"/>
      <w:r>
        <w:rPr>
          <w:rStyle w:val="CharSectno"/>
        </w:rPr>
        <w:t>97</w:t>
      </w:r>
      <w:r>
        <w:rPr>
          <w:snapToGrid w:val="0"/>
        </w:rPr>
        <w:t>.</w:t>
      </w:r>
      <w:r>
        <w:rPr>
          <w:snapToGrid w:val="0"/>
        </w:rPr>
        <w:tab/>
        <w:t>Evidence to be on oath except in some cases</w:t>
      </w:r>
      <w:bookmarkEnd w:id="150"/>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keepNext/>
      </w:pPr>
      <w:r>
        <w:tab/>
      </w:r>
      <w:r>
        <w:tab/>
        <w:t>I [</w:t>
      </w:r>
      <w:r>
        <w:rPr>
          <w:i/>
        </w:rPr>
        <w:t>insert an oath or affirmation according to the Oaths, Affidavits and Statutory Declarations Act 2005</w:t>
      </w:r>
      <w:r>
        <w:t xml:space="preserve">] that the </w:t>
      </w:r>
      <w:r>
        <w:lastRenderedPageBreak/>
        <w:t>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151" w:name="_Toc174951725"/>
      <w:r>
        <w:rPr>
          <w:rStyle w:val="CharSectno"/>
        </w:rPr>
        <w:t>100A</w:t>
      </w:r>
      <w:r>
        <w:rPr>
          <w:snapToGrid w:val="0"/>
        </w:rPr>
        <w:t>.</w:t>
      </w:r>
      <w:r>
        <w:rPr>
          <w:snapToGrid w:val="0"/>
        </w:rPr>
        <w:tab/>
        <w:t>Oath may be dispensed with in some cases</w:t>
      </w:r>
      <w:bookmarkEnd w:id="151"/>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 xml:space="preserve">A person who, in giving evidence pursuant to this section, knowingly makes a false statement material to the subject </w:t>
      </w:r>
      <w:r>
        <w:rPr>
          <w:snapToGrid w:val="0"/>
        </w:rPr>
        <w:lastRenderedPageBreak/>
        <w:t>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152" w:name="_Toc174951726"/>
      <w:r>
        <w:rPr>
          <w:rStyle w:val="CharSectno"/>
        </w:rPr>
        <w:t>102</w:t>
      </w:r>
      <w:r>
        <w:rPr>
          <w:snapToGrid w:val="0"/>
        </w:rPr>
        <w:t>.</w:t>
      </w:r>
      <w:r>
        <w:rPr>
          <w:snapToGrid w:val="0"/>
        </w:rPr>
        <w:tab/>
        <w:t>Interpreters, oaths etc. for</w:t>
      </w:r>
      <w:bookmarkEnd w:id="152"/>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keepLines/>
        <w:rPr>
          <w:snapToGrid w:val="0"/>
        </w:rPr>
      </w:pPr>
      <w:r>
        <w:rPr>
          <w:snapToGrid w:val="0"/>
        </w:rPr>
        <w:lastRenderedPageBreak/>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153" w:name="_Toc174951727"/>
      <w:r>
        <w:rPr>
          <w:rStyle w:val="CharSectno"/>
        </w:rPr>
        <w:t>103</w:t>
      </w:r>
      <w:r>
        <w:rPr>
          <w:snapToGrid w:val="0"/>
        </w:rPr>
        <w:t>.</w:t>
      </w:r>
      <w:r>
        <w:rPr>
          <w:snapToGrid w:val="0"/>
        </w:rPr>
        <w:tab/>
        <w:t>Interpreters, oath etc. may be dispensed with</w:t>
      </w:r>
      <w:bookmarkEnd w:id="153"/>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154" w:name="_Toc174951728"/>
      <w:r>
        <w:rPr>
          <w:rStyle w:val="CharSectno"/>
        </w:rPr>
        <w:lastRenderedPageBreak/>
        <w:t>104A</w:t>
      </w:r>
      <w:r>
        <w:rPr>
          <w:snapToGrid w:val="0"/>
        </w:rPr>
        <w:t>.</w:t>
      </w:r>
      <w:r>
        <w:rPr>
          <w:snapToGrid w:val="0"/>
        </w:rPr>
        <w:tab/>
        <w:t>Person appointed by foreign court etc. may take or receive evidence and administer oath</w:t>
      </w:r>
      <w:bookmarkEnd w:id="154"/>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155" w:name="_Toc174951729"/>
      <w:r>
        <w:rPr>
          <w:rStyle w:val="CharSectno"/>
        </w:rPr>
        <w:t>105</w:t>
      </w:r>
      <w:r>
        <w:t>.</w:t>
      </w:r>
      <w:r>
        <w:tab/>
      </w:r>
      <w:r>
        <w:rPr>
          <w:i/>
        </w:rPr>
        <w:t>Oaths, Affidavits and Statutory Declarations Act 2005</w:t>
      </w:r>
      <w:r>
        <w:t>, application of</w:t>
      </w:r>
      <w:bookmarkEnd w:id="155"/>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Lines w:val="0"/>
        <w:rPr>
          <w:snapToGrid w:val="0"/>
        </w:rPr>
      </w:pPr>
      <w:bookmarkStart w:id="156" w:name="_Toc174951730"/>
      <w:r>
        <w:rPr>
          <w:rStyle w:val="CharSectno"/>
        </w:rPr>
        <w:lastRenderedPageBreak/>
        <w:t>106A</w:t>
      </w:r>
      <w:r>
        <w:rPr>
          <w:snapToGrid w:val="0"/>
        </w:rPr>
        <w:t>.</w:t>
      </w:r>
      <w:r>
        <w:rPr>
          <w:snapToGrid w:val="0"/>
        </w:rPr>
        <w:tab/>
        <w:t>Terms used</w:t>
      </w:r>
      <w:bookmarkEnd w:id="156"/>
    </w:p>
    <w:p>
      <w:pPr>
        <w:pStyle w:val="Subsection"/>
        <w:keepNext/>
        <w:spacing w:before="120"/>
        <w:rPr>
          <w:snapToGrid w:val="0"/>
        </w:rPr>
      </w:pPr>
      <w:r>
        <w:rPr>
          <w:snapToGrid w:val="0"/>
        </w:rPr>
        <w:tab/>
      </w:r>
      <w:r>
        <w:rPr>
          <w:snapToGrid w:val="0"/>
        </w:rPr>
        <w:tab/>
        <w:t>In sections 106B to 106T and in Schedule 7, unless the contrary intention appears —</w:t>
      </w:r>
    </w:p>
    <w:p>
      <w:pPr>
        <w:pStyle w:val="Defstart"/>
        <w:keepNext/>
      </w:pPr>
      <w:r>
        <w:rPr>
          <w:b/>
        </w:rPr>
        <w:tab/>
      </w:r>
      <w:r>
        <w:rPr>
          <w:rStyle w:val="CharDefText"/>
        </w:rPr>
        <w:t>accused</w:t>
      </w:r>
      <w:r>
        <w:t> —</w:t>
      </w:r>
    </w:p>
    <w:p>
      <w:pPr>
        <w:pStyle w:val="Defpara"/>
        <w:keepNext/>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 person dealt with under the </w:t>
      </w:r>
      <w:r>
        <w:rPr>
          <w:i/>
        </w:rPr>
        <w:t>Children’s Court of Western Australia Act 1988</w:t>
      </w:r>
      <w:r>
        <w:t xml:space="preserve"> section 19(2), (2AA) or (2AB);</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lastRenderedPageBreak/>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lastRenderedPageBreak/>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 No. 47 of 2020 s. 9.]</w:t>
      </w:r>
    </w:p>
    <w:p>
      <w:pPr>
        <w:pStyle w:val="Heading5"/>
        <w:rPr>
          <w:snapToGrid w:val="0"/>
        </w:rPr>
      </w:pPr>
      <w:bookmarkStart w:id="157" w:name="_Toc174951731"/>
      <w:r>
        <w:rPr>
          <w:rStyle w:val="CharSectno"/>
        </w:rPr>
        <w:lastRenderedPageBreak/>
        <w:t>106B</w:t>
      </w:r>
      <w:r>
        <w:rPr>
          <w:snapToGrid w:val="0"/>
        </w:rPr>
        <w:t>.</w:t>
      </w:r>
      <w:r>
        <w:rPr>
          <w:snapToGrid w:val="0"/>
        </w:rPr>
        <w:tab/>
        <w:t>Children under 12 may give sworn evidence</w:t>
      </w:r>
      <w:bookmarkEnd w:id="157"/>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158" w:name="_Toc174951732"/>
      <w:r>
        <w:rPr>
          <w:rStyle w:val="CharSectno"/>
        </w:rPr>
        <w:t>106C</w:t>
      </w:r>
      <w:r>
        <w:t>.</w:t>
      </w:r>
      <w:r>
        <w:tab/>
        <w:t>Child under 12 and mentally impaired witness may give unsworn evidence</w:t>
      </w:r>
      <w:bookmarkEnd w:id="158"/>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159" w:name="_Toc174951733"/>
      <w:r>
        <w:rPr>
          <w:rStyle w:val="CharSectno"/>
        </w:rPr>
        <w:t>106D</w:t>
      </w:r>
      <w:r>
        <w:rPr>
          <w:snapToGrid w:val="0"/>
        </w:rPr>
        <w:t>.</w:t>
      </w:r>
      <w:r>
        <w:rPr>
          <w:snapToGrid w:val="0"/>
        </w:rPr>
        <w:tab/>
        <w:t>Corroboration warning on evidence of child not to be given</w:t>
      </w:r>
      <w:bookmarkEnd w:id="159"/>
    </w:p>
    <w:p>
      <w:pPr>
        <w:pStyle w:val="Subsection"/>
        <w:spacing w:before="180"/>
        <w:rPr>
          <w:snapToGrid w:val="0"/>
        </w:rPr>
      </w:pPr>
      <w:r>
        <w:rPr>
          <w:snapToGrid w:val="0"/>
        </w:rPr>
        <w:tab/>
      </w:r>
      <w:r>
        <w:rPr>
          <w:snapToGrid w:val="0"/>
        </w:rPr>
        <w:tab/>
        <w:t xml:space="preserve">In any proceeding on indictment for an offence in which evidence is given by a child, the judge is not to warn the jury, or suggest to the jury in any way, that it is unsafe to convict on the </w:t>
      </w:r>
      <w:r>
        <w:rPr>
          <w:snapToGrid w:val="0"/>
        </w:rPr>
        <w:lastRenderedPageBreak/>
        <w:t>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160" w:name="_Toc174951734"/>
      <w:r>
        <w:rPr>
          <w:rStyle w:val="CharSectno"/>
        </w:rPr>
        <w:t>106E</w:t>
      </w:r>
      <w:r>
        <w:rPr>
          <w:snapToGrid w:val="0"/>
        </w:rPr>
        <w:t>.</w:t>
      </w:r>
      <w:r>
        <w:rPr>
          <w:snapToGrid w:val="0"/>
        </w:rPr>
        <w:tab/>
        <w:t>Child witness entitled to support</w:t>
      </w:r>
      <w:bookmarkEnd w:id="160"/>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161" w:name="_Toc174951735"/>
      <w:r>
        <w:rPr>
          <w:rStyle w:val="CharSectno"/>
        </w:rPr>
        <w:t>106F</w:t>
      </w:r>
      <w:r>
        <w:rPr>
          <w:snapToGrid w:val="0"/>
        </w:rPr>
        <w:t>.</w:t>
      </w:r>
      <w:r>
        <w:rPr>
          <w:snapToGrid w:val="0"/>
        </w:rPr>
        <w:tab/>
        <w:t>Child witness may be given assistance</w:t>
      </w:r>
      <w:bookmarkEnd w:id="161"/>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keepNext/>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w:t>
      </w:r>
      <w:r>
        <w:rPr>
          <w:snapToGrid w:val="0"/>
        </w:rPr>
        <w:lastRenderedPageBreak/>
        <w:t xml:space="preserve">to the court commits </w:t>
      </w:r>
      <w:r>
        <w:t>a crime</w:t>
      </w:r>
      <w:r>
        <w:rPr>
          <w:snapToGrid w:val="0"/>
        </w:rPr>
        <w:t xml:space="preserve"> and is liable on conviction to imprisonment for 5 years.</w:t>
      </w:r>
    </w:p>
    <w:p>
      <w:pPr>
        <w:pStyle w:val="Footnotesection"/>
        <w:keepNext/>
        <w:spacing w:before="80"/>
        <w:ind w:left="890" w:hanging="890"/>
      </w:pPr>
      <w:r>
        <w:tab/>
        <w:t>[Section 106F inserted: No. 36 of 1992 s. 8; amended: No. 4 of 2004 s. 58; No. 46 of 2004 s. 17; No. 2 of 2008 s. 47.]</w:t>
      </w:r>
    </w:p>
    <w:p>
      <w:pPr>
        <w:pStyle w:val="Heading5"/>
        <w:spacing w:before="240"/>
        <w:rPr>
          <w:snapToGrid w:val="0"/>
        </w:rPr>
      </w:pPr>
      <w:bookmarkStart w:id="162" w:name="_Toc174951736"/>
      <w:r>
        <w:rPr>
          <w:rStyle w:val="CharSectno"/>
        </w:rPr>
        <w:t>106G</w:t>
      </w:r>
      <w:r>
        <w:rPr>
          <w:snapToGrid w:val="0"/>
        </w:rPr>
        <w:t>.</w:t>
      </w:r>
      <w:r>
        <w:rPr>
          <w:snapToGrid w:val="0"/>
        </w:rPr>
        <w:tab/>
        <w:t>Cross</w:t>
      </w:r>
      <w:r>
        <w:rPr>
          <w:snapToGrid w:val="0"/>
        </w:rPr>
        <w:noBreakHyphen/>
        <w:t>examination of protected witness by unrepresented accused</w:t>
      </w:r>
      <w:bookmarkEnd w:id="162"/>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keepNext/>
      </w:pPr>
      <w:r>
        <w:lastRenderedPageBreak/>
        <w:tab/>
        <w:t>(ii)</w:t>
      </w:r>
      <w:r>
        <w:tab/>
        <w:t>any witness for the prosecution (irrespective of the person’s age).</w:t>
      </w:r>
    </w:p>
    <w:p>
      <w:pPr>
        <w:pStyle w:val="Footnotesection"/>
        <w:keepNext/>
      </w:pPr>
      <w:r>
        <w:tab/>
        <w:t>[Section 106G inserted: No. 36 of 1992 s. 8; amended: No. 46 of 2004 s. 18; No. 84 of 2004 s. 82; No. 49 of 2012 s. 177(3).]</w:t>
      </w:r>
    </w:p>
    <w:p>
      <w:pPr>
        <w:pStyle w:val="Heading5"/>
        <w:rPr>
          <w:snapToGrid w:val="0"/>
        </w:rPr>
      </w:pPr>
      <w:bookmarkStart w:id="163" w:name="_Toc174951737"/>
      <w:r>
        <w:rPr>
          <w:rStyle w:val="CharSectno"/>
        </w:rPr>
        <w:t>106H</w:t>
      </w:r>
      <w:r>
        <w:rPr>
          <w:snapToGrid w:val="0"/>
        </w:rPr>
        <w:t>.</w:t>
      </w:r>
      <w:r>
        <w:rPr>
          <w:snapToGrid w:val="0"/>
        </w:rPr>
        <w:tab/>
        <w:t>Child’s statement to another admissible in Sch. 7 proceedings</w:t>
      </w:r>
      <w:bookmarkEnd w:id="163"/>
    </w:p>
    <w:p>
      <w:pPr>
        <w:pStyle w:val="Subsection"/>
        <w:keepNext/>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keepNext/>
        <w:spacing w:before="100"/>
        <w:rPr>
          <w:snapToGrid w:val="0"/>
        </w:rPr>
      </w:pPr>
      <w:r>
        <w:rPr>
          <w:snapToGrid w:val="0"/>
        </w:rPr>
        <w:lastRenderedPageBreak/>
        <w:tab/>
        <w:t>(b)</w:t>
      </w:r>
      <w:r>
        <w:rPr>
          <w:snapToGrid w:val="0"/>
        </w:rPr>
        <w:tab/>
        <w:t>was made by the affected child to another person before the proceeding was commenced,</w:t>
      </w:r>
    </w:p>
    <w:p>
      <w:pPr>
        <w:pStyle w:val="Subsection"/>
        <w:keepNext/>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164" w:name="_Toc174951738"/>
      <w:r>
        <w:rPr>
          <w:rStyle w:val="CharSectno"/>
        </w:rPr>
        <w:t>106HA</w:t>
      </w:r>
      <w:r>
        <w:t>.</w:t>
      </w:r>
      <w:r>
        <w:tab/>
        <w:t>Visual recording of interviews with children and persons with mental impairment</w:t>
      </w:r>
      <w:bookmarkEnd w:id="164"/>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lastRenderedPageBreak/>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165" w:name="_Toc174951739"/>
      <w:r>
        <w:rPr>
          <w:rStyle w:val="CharSectno"/>
        </w:rPr>
        <w:t>106HB</w:t>
      </w:r>
      <w:r>
        <w:t>.</w:t>
      </w:r>
      <w:r>
        <w:tab/>
        <w:t>Admissibility in criminal proceedings of visual recording of interview with child or person with mental impairment</w:t>
      </w:r>
      <w:bookmarkEnd w:id="165"/>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t>
      </w:r>
      <w:r>
        <w:rPr>
          <w:snapToGrid w:val="0"/>
        </w:rPr>
        <w:lastRenderedPageBreak/>
        <w:t xml:space="preserve">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lastRenderedPageBreak/>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166" w:name="_Toc174951740"/>
      <w:r>
        <w:rPr>
          <w:rStyle w:val="CharSectno"/>
        </w:rPr>
        <w:t>106HC</w:t>
      </w:r>
      <w:r>
        <w:t>.</w:t>
      </w:r>
      <w:r>
        <w:tab/>
        <w:t>Regulations about visual recording of interviews with children and persons with mental impairment</w:t>
      </w:r>
      <w:bookmarkEnd w:id="166"/>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lastRenderedPageBreak/>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167" w:name="_Toc174951741"/>
      <w:r>
        <w:rPr>
          <w:rStyle w:val="CharSectno"/>
        </w:rPr>
        <w:lastRenderedPageBreak/>
        <w:t>106HD</w:t>
      </w:r>
      <w:r>
        <w:t>.</w:t>
      </w:r>
      <w:r>
        <w:tab/>
        <w:t>Admissibility of visually recorded interviews generally</w:t>
      </w:r>
      <w:bookmarkEnd w:id="167"/>
    </w:p>
    <w:p>
      <w:pPr>
        <w:pStyle w:val="Subsection"/>
        <w:keepNext/>
        <w:keepLines/>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168" w:name="_Toc174951742"/>
      <w:r>
        <w:rPr>
          <w:rStyle w:val="CharSectno"/>
        </w:rPr>
        <w:t>106I</w:t>
      </w:r>
      <w:r>
        <w:rPr>
          <w:snapToGrid w:val="0"/>
        </w:rPr>
        <w:t>.</w:t>
      </w:r>
      <w:r>
        <w:rPr>
          <w:snapToGrid w:val="0"/>
        </w:rPr>
        <w:tab/>
      </w:r>
      <w:r>
        <w:t xml:space="preserve">Visual recording </w:t>
      </w:r>
      <w:r>
        <w:rPr>
          <w:snapToGrid w:val="0"/>
        </w:rPr>
        <w:t>of child’s evidence, application for directions</w:t>
      </w:r>
      <w:bookmarkEnd w:id="168"/>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169" w:name="_Toc174951743"/>
      <w:r>
        <w:rPr>
          <w:rStyle w:val="CharSectno"/>
        </w:rPr>
        <w:lastRenderedPageBreak/>
        <w:t>106K</w:t>
      </w:r>
      <w:r>
        <w:rPr>
          <w:snapToGrid w:val="0"/>
        </w:rPr>
        <w:t>.</w:t>
      </w:r>
      <w:r>
        <w:rPr>
          <w:snapToGrid w:val="0"/>
        </w:rPr>
        <w:tab/>
        <w:t>Child’s evidence in full, special hearing to take and record</w:t>
      </w:r>
      <w:bookmarkEnd w:id="169"/>
    </w:p>
    <w:p>
      <w:pPr>
        <w:pStyle w:val="Subsection"/>
        <w:keepNext/>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keepNext/>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pPr>
      <w:r>
        <w:tab/>
        <w:t>(a)</w:t>
      </w:r>
      <w:r>
        <w:tab/>
        <w:t xml:space="preserve">the accused must not be in the same room as the affected child when the child’s evidence is being taken but must be able to — </w:t>
      </w:r>
    </w:p>
    <w:p>
      <w:pPr>
        <w:pStyle w:val="Indenti"/>
      </w:pPr>
      <w:r>
        <w:tab/>
        <w:t>(i)</w:t>
      </w:r>
      <w:r>
        <w:tab/>
        <w:t>observe the proceedings by means of a closed circuit television system and at all times have the means of communicating with the accused’s counsel; or</w:t>
      </w:r>
    </w:p>
    <w:p>
      <w:pPr>
        <w:pStyle w:val="Indenti"/>
      </w:pPr>
      <w:r>
        <w:tab/>
        <w:t>(ii)</w:t>
      </w:r>
      <w:r>
        <w:tab/>
        <w:t xml:space="preserve">in accordance with subsection (3A), listen to the proceedings by means of an audio link and at all </w:t>
      </w:r>
      <w:r>
        <w:lastRenderedPageBreak/>
        <w:t>times have the means of communicating with the accused’s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pPr>
      <w:r>
        <w:tab/>
        <w:t>(3A)</w:t>
      </w:r>
      <w:r>
        <w:tab/>
        <w:t>Subsection (3)(a)(ii) applies to the accused if, in the opinion of the judge, it is not desirable for the accused to attend court due to the accused’s health or another reason the judge thinks fit.</w:t>
      </w:r>
    </w:p>
    <w:p>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keepNext/>
      </w:pPr>
      <w:r>
        <w:lastRenderedPageBreak/>
        <w:tab/>
        <w:t>(4A)</w:t>
      </w:r>
      <w:r>
        <w:tab/>
        <w:t>A person must not make a copy of, or otherwise reproduce, the proceedings, or any part of the proceedings, heard by means of an audio link under subsection (3)(a)(ii).</w:t>
      </w:r>
    </w:p>
    <w:p>
      <w:pPr>
        <w:pStyle w:val="Penstart"/>
      </w:pPr>
      <w:r>
        <w:tab/>
        <w:t>Penalty for this subsection: a fine of $5 000.</w:t>
      </w:r>
    </w:p>
    <w:p>
      <w:pPr>
        <w:pStyle w:val="Subsection"/>
      </w:pPr>
      <w:r>
        <w:tab/>
        <w:t>(4B)</w:t>
      </w:r>
      <w:r>
        <w:tab/>
        <w:t>A person must not play, supply or offer to supply any copy of, or reproduction of, the proceedings, or any part of the proceedings, heard by means of an audio link under subsection (3)(a)(ii).</w:t>
      </w:r>
    </w:p>
    <w:p>
      <w:pPr>
        <w:pStyle w:val="Penstart"/>
      </w:pPr>
      <w:r>
        <w:tab/>
        <w:t>Penalty for this subsection: a fine of $5 000.</w:t>
      </w:r>
    </w:p>
    <w:p>
      <w:pPr>
        <w:pStyle w:val="Subsection"/>
      </w:pPr>
      <w:r>
        <w:tab/>
        <w:t>(4C)</w:t>
      </w:r>
      <w:r>
        <w:tab/>
        <w:t>A person must not broadcast the proceedings, or any part of the proceedings, heard by means of an audio link under subsection (3)(a)(ii).</w:t>
      </w:r>
    </w:p>
    <w:p>
      <w:pPr>
        <w:pStyle w:val="Penstart"/>
      </w:pPr>
      <w:r>
        <w:tab/>
        <w:t>Penalty for this subsection: imprisonment for 1 year and a fine of $100 000.</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 No. 34 of 2020 s. 90.]</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170" w:name="_Toc174951744"/>
      <w:r>
        <w:rPr>
          <w:rStyle w:val="CharSectno"/>
        </w:rPr>
        <w:t>106M</w:t>
      </w:r>
      <w:r>
        <w:rPr>
          <w:snapToGrid w:val="0"/>
        </w:rPr>
        <w:t>.</w:t>
      </w:r>
      <w:r>
        <w:rPr>
          <w:snapToGrid w:val="0"/>
        </w:rPr>
        <w:tab/>
        <w:t>Recording not to be altered without approval</w:t>
      </w:r>
      <w:bookmarkEnd w:id="170"/>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lastRenderedPageBreak/>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171" w:name="_Toc174951745"/>
      <w:r>
        <w:rPr>
          <w:rStyle w:val="CharSectno"/>
        </w:rPr>
        <w:t>106MA</w:t>
      </w:r>
      <w:r>
        <w:rPr>
          <w:snapToGrid w:val="0"/>
        </w:rPr>
        <w:t>.</w:t>
      </w:r>
      <w:r>
        <w:rPr>
          <w:snapToGrid w:val="0"/>
        </w:rPr>
        <w:tab/>
        <w:t>Unauthorised possession or dealing in video</w:t>
      </w:r>
      <w:r>
        <w:rPr>
          <w:snapToGrid w:val="0"/>
        </w:rPr>
        <w:noBreakHyphen/>
        <w:t>taped evidence</w:t>
      </w:r>
      <w:bookmarkEnd w:id="171"/>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172" w:name="_Toc174951746"/>
      <w:r>
        <w:rPr>
          <w:rStyle w:val="CharSectno"/>
        </w:rPr>
        <w:t>106MB</w:t>
      </w:r>
      <w:r>
        <w:rPr>
          <w:snapToGrid w:val="0"/>
        </w:rPr>
        <w:t>.</w:t>
      </w:r>
      <w:r>
        <w:rPr>
          <w:snapToGrid w:val="0"/>
        </w:rPr>
        <w:tab/>
        <w:t>Broadcast of video</w:t>
      </w:r>
      <w:r>
        <w:rPr>
          <w:snapToGrid w:val="0"/>
        </w:rPr>
        <w:noBreakHyphen/>
        <w:t>taped evidence prohibited</w:t>
      </w:r>
      <w:bookmarkEnd w:id="172"/>
    </w:p>
    <w:p>
      <w:pPr>
        <w:pStyle w:val="Subsection"/>
        <w:rPr>
          <w:snapToGrid w:val="0"/>
        </w:rPr>
      </w:pPr>
      <w:r>
        <w:rPr>
          <w:snapToGrid w:val="0"/>
        </w:rPr>
        <w:tab/>
        <w:t>(1)</w:t>
      </w:r>
      <w:r>
        <w:rPr>
          <w:snapToGrid w:val="0"/>
        </w:rPr>
        <w:tab/>
        <w:t xml:space="preserve">A person shall not broadcast a visual recording of evidence or any part of such a recording except with approval of the </w:t>
      </w:r>
      <w:r>
        <w:rPr>
          <w:snapToGrid w:val="0"/>
        </w:rPr>
        <w:lastRenderedPageBreak/>
        <w:t>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173" w:name="_Toc174951747"/>
      <w:r>
        <w:rPr>
          <w:rStyle w:val="CharSectno"/>
        </w:rPr>
        <w:t>106N</w:t>
      </w:r>
      <w:r>
        <w:rPr>
          <w:snapToGrid w:val="0"/>
        </w:rPr>
        <w:t>.</w:t>
      </w:r>
      <w:r>
        <w:rPr>
          <w:snapToGrid w:val="0"/>
        </w:rPr>
        <w:tab/>
        <w:t>Video links or screening arrangements may be used</w:t>
      </w:r>
      <w:bookmarkEnd w:id="173"/>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lastRenderedPageBreak/>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 No. 34 of 2020 s. 91.]</w:t>
      </w:r>
    </w:p>
    <w:p>
      <w:pPr>
        <w:pStyle w:val="Heading5"/>
        <w:rPr>
          <w:snapToGrid w:val="0"/>
        </w:rPr>
      </w:pPr>
      <w:bookmarkStart w:id="174" w:name="_Toc174951748"/>
      <w:r>
        <w:rPr>
          <w:rStyle w:val="CharSectno"/>
        </w:rPr>
        <w:t>106O</w:t>
      </w:r>
      <w:r>
        <w:rPr>
          <w:snapToGrid w:val="0"/>
        </w:rPr>
        <w:t>.</w:t>
      </w:r>
      <w:r>
        <w:rPr>
          <w:snapToGrid w:val="0"/>
        </w:rPr>
        <w:tab/>
        <w:t>Court may order that s. 106N does not apply</w:t>
      </w:r>
      <w:bookmarkEnd w:id="174"/>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175" w:name="_Toc174951749"/>
      <w:r>
        <w:rPr>
          <w:rStyle w:val="CharSectno"/>
        </w:rPr>
        <w:lastRenderedPageBreak/>
        <w:t>106P</w:t>
      </w:r>
      <w:r>
        <w:rPr>
          <w:snapToGrid w:val="0"/>
        </w:rPr>
        <w:t>.</w:t>
      </w:r>
      <w:r>
        <w:rPr>
          <w:snapToGrid w:val="0"/>
        </w:rPr>
        <w:tab/>
        <w:t>Instructions to be given to jury</w:t>
      </w:r>
      <w:bookmarkEnd w:id="175"/>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176" w:name="_Toc174951750"/>
      <w:r>
        <w:rPr>
          <w:rStyle w:val="CharSectno"/>
        </w:rPr>
        <w:t>106Q</w:t>
      </w:r>
      <w:r>
        <w:rPr>
          <w:snapToGrid w:val="0"/>
        </w:rPr>
        <w:t>.</w:t>
      </w:r>
      <w:r>
        <w:rPr>
          <w:snapToGrid w:val="0"/>
        </w:rPr>
        <w:tab/>
        <w:t xml:space="preserve">Identification of accused by child </w:t>
      </w:r>
      <w:r>
        <w:t>or special witness</w:t>
      </w:r>
      <w:bookmarkEnd w:id="176"/>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177" w:name="_Toc174951751"/>
      <w:r>
        <w:rPr>
          <w:rStyle w:val="CharSectno"/>
        </w:rPr>
        <w:t>106R</w:t>
      </w:r>
      <w:r>
        <w:rPr>
          <w:snapToGrid w:val="0"/>
        </w:rPr>
        <w:t>.</w:t>
      </w:r>
      <w:r>
        <w:rPr>
          <w:snapToGrid w:val="0"/>
        </w:rPr>
        <w:tab/>
        <w:t>Special witnesses, measures to assist</w:t>
      </w:r>
      <w:bookmarkEnd w:id="177"/>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lastRenderedPageBreak/>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lastRenderedPageBreak/>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lastRenderedPageBreak/>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178" w:name="_Toc174951752"/>
      <w:r>
        <w:rPr>
          <w:rStyle w:val="CharSectno"/>
        </w:rPr>
        <w:t>106RA</w:t>
      </w:r>
      <w:r>
        <w:t>.</w:t>
      </w:r>
      <w:r>
        <w:tab/>
        <w:t>Visually recording evidence of witnesses in criminal matters</w:t>
      </w:r>
      <w:bookmarkEnd w:id="178"/>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lastRenderedPageBreak/>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179" w:name="_Toc174951753"/>
      <w:r>
        <w:rPr>
          <w:rStyle w:val="CharSectno"/>
        </w:rPr>
        <w:t>106S</w:t>
      </w:r>
      <w:r>
        <w:rPr>
          <w:snapToGrid w:val="0"/>
        </w:rPr>
        <w:t>.</w:t>
      </w:r>
      <w:r>
        <w:rPr>
          <w:snapToGrid w:val="0"/>
        </w:rPr>
        <w:tab/>
        <w:t>Special hearings to consider what orders should be made</w:t>
      </w:r>
      <w:bookmarkEnd w:id="179"/>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180" w:name="_Toc174951754"/>
      <w:r>
        <w:rPr>
          <w:rStyle w:val="CharSectno"/>
        </w:rPr>
        <w:lastRenderedPageBreak/>
        <w:t>106T</w:t>
      </w:r>
      <w:r>
        <w:rPr>
          <w:snapToGrid w:val="0"/>
        </w:rPr>
        <w:t>.</w:t>
      </w:r>
      <w:r>
        <w:rPr>
          <w:snapToGrid w:val="0"/>
        </w:rPr>
        <w:tab/>
        <w:t>Use of recordings made under s. 106K or 106N</w:t>
      </w:r>
      <w:bookmarkEnd w:id="180"/>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 xml:space="preserve">the witness is out of the State and is not able to give evidence at the proceeding by means of a video link or </w:t>
      </w:r>
      <w:r>
        <w:lastRenderedPageBreak/>
        <w:t>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lastRenderedPageBreak/>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keepNext/>
        <w:rPr>
          <w:snapToGrid w:val="0"/>
        </w:rPr>
      </w:pPr>
      <w:r>
        <w:rPr>
          <w:snapToGrid w:val="0"/>
        </w:rPr>
        <w:tab/>
        <w:t>[Heading inserted: No. 66 of 1987 s. 9.]</w:t>
      </w:r>
    </w:p>
    <w:p>
      <w:pPr>
        <w:pStyle w:val="Heading5"/>
        <w:rPr>
          <w:snapToGrid w:val="0"/>
        </w:rPr>
      </w:pPr>
      <w:bookmarkStart w:id="181" w:name="_Toc174951755"/>
      <w:r>
        <w:rPr>
          <w:rStyle w:val="CharSectno"/>
        </w:rPr>
        <w:t>109</w:t>
      </w:r>
      <w:r>
        <w:rPr>
          <w:snapToGrid w:val="0"/>
        </w:rPr>
        <w:t>.</w:t>
      </w:r>
      <w:r>
        <w:rPr>
          <w:snapToGrid w:val="0"/>
        </w:rPr>
        <w:tab/>
        <w:t>Terms used</w:t>
      </w:r>
      <w:bookmarkEnd w:id="181"/>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182" w:name="_Toc174951756"/>
      <w:r>
        <w:rPr>
          <w:rStyle w:val="CharSectno"/>
        </w:rPr>
        <w:t>110</w:t>
      </w:r>
      <w:r>
        <w:rPr>
          <w:snapToGrid w:val="0"/>
        </w:rPr>
        <w:t>.</w:t>
      </w:r>
      <w:r>
        <w:rPr>
          <w:snapToGrid w:val="0"/>
        </w:rPr>
        <w:tab/>
        <w:t>Superior courts may make orders for obtaining evidence</w:t>
      </w:r>
      <w:bookmarkEnd w:id="182"/>
    </w:p>
    <w:p>
      <w:pPr>
        <w:pStyle w:val="Subsection"/>
        <w:keepNext/>
        <w:rPr>
          <w:snapToGrid w:val="0"/>
        </w:rPr>
      </w:pPr>
      <w:r>
        <w:rPr>
          <w:snapToGrid w:val="0"/>
        </w:rPr>
        <w:tab/>
        <w:t>(1)</w:t>
      </w:r>
      <w:r>
        <w:rPr>
          <w:snapToGrid w:val="0"/>
        </w:rPr>
        <w:tab/>
        <w:t xml:space="preserve">In any civil or criminal proceedings before a superior court, the court may, in its discretion and where it appears in the interests of justice to do so, on the application of a party to the </w:t>
      </w:r>
      <w:r>
        <w:rPr>
          <w:snapToGrid w:val="0"/>
        </w:rPr>
        <w:lastRenderedPageBreak/>
        <w:t>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keepLines/>
        <w:rPr>
          <w:snapToGrid w:val="0"/>
        </w:rPr>
      </w:pPr>
      <w:r>
        <w:rPr>
          <w:snapToGrid w:val="0"/>
        </w:rPr>
        <w:lastRenderedPageBreak/>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keepNext/>
        <w:spacing w:before="60"/>
        <w:rPr>
          <w:snapToGrid w:val="0"/>
        </w:rPr>
      </w:pPr>
      <w:r>
        <w:rPr>
          <w:snapToGrid w:val="0"/>
        </w:rPr>
        <w:lastRenderedPageBreak/>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183" w:name="_Toc174951757"/>
      <w:r>
        <w:rPr>
          <w:rStyle w:val="CharSectno"/>
        </w:rPr>
        <w:t>111</w:t>
      </w:r>
      <w:r>
        <w:rPr>
          <w:snapToGrid w:val="0"/>
        </w:rPr>
        <w:t>.</w:t>
      </w:r>
      <w:r>
        <w:rPr>
          <w:snapToGrid w:val="0"/>
        </w:rPr>
        <w:tab/>
        <w:t>Supreme Court may make orders for obtaining evidence for inferior courts</w:t>
      </w:r>
      <w:bookmarkEnd w:id="183"/>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184" w:name="_Toc174951758"/>
      <w:r>
        <w:rPr>
          <w:rStyle w:val="CharSectno"/>
        </w:rPr>
        <w:t>112</w:t>
      </w:r>
      <w:r>
        <w:rPr>
          <w:snapToGrid w:val="0"/>
        </w:rPr>
        <w:t>.</w:t>
      </w:r>
      <w:r>
        <w:rPr>
          <w:snapToGrid w:val="0"/>
        </w:rPr>
        <w:tab/>
        <w:t>Exclusion of evidence in criminal proceeding</w:t>
      </w:r>
      <w:bookmarkEnd w:id="184"/>
    </w:p>
    <w:p>
      <w:pPr>
        <w:pStyle w:val="Subsection"/>
        <w:keepNext/>
        <w:rPr>
          <w:snapToGrid w:val="0"/>
        </w:rPr>
      </w:pPr>
      <w:r>
        <w:rPr>
          <w:snapToGrid w:val="0"/>
        </w:rPr>
        <w:tab/>
      </w:r>
      <w:r>
        <w:rPr>
          <w:snapToGrid w:val="0"/>
        </w:rPr>
        <w:tab/>
        <w:t xml:space="preserve">Sections 109 to 114 do not affect the power of a court in a criminal proceeding to exclude evidence that has been obtained </w:t>
      </w:r>
      <w:r>
        <w:rPr>
          <w:snapToGrid w:val="0"/>
        </w:rPr>
        <w:lastRenderedPageBreak/>
        <w:t>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185" w:name="_Toc174951759"/>
      <w:r>
        <w:rPr>
          <w:rStyle w:val="CharSectno"/>
        </w:rPr>
        <w:t>113</w:t>
      </w:r>
      <w:r>
        <w:rPr>
          <w:snapToGrid w:val="0"/>
        </w:rPr>
        <w:t>.</w:t>
      </w:r>
      <w:r>
        <w:rPr>
          <w:snapToGrid w:val="0"/>
        </w:rPr>
        <w:tab/>
        <w:t>Operation of other laws</w:t>
      </w:r>
      <w:bookmarkEnd w:id="185"/>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186" w:name="_Toc174951760"/>
      <w:r>
        <w:rPr>
          <w:rStyle w:val="CharSectno"/>
        </w:rPr>
        <w:t>114</w:t>
      </w:r>
      <w:r>
        <w:rPr>
          <w:snapToGrid w:val="0"/>
        </w:rPr>
        <w:t>.</w:t>
      </w:r>
      <w:r>
        <w:rPr>
          <w:snapToGrid w:val="0"/>
        </w:rPr>
        <w:tab/>
        <w:t>Regulations and rules of court for s. 109 to 113</w:t>
      </w:r>
      <w:bookmarkEnd w:id="186"/>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keepNext/>
        <w:rPr>
          <w:snapToGrid w:val="0"/>
        </w:rPr>
      </w:pPr>
      <w:r>
        <w:rPr>
          <w:snapToGrid w:val="0"/>
        </w:rPr>
        <w:lastRenderedPageBreak/>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187" w:name="_Toc174951761"/>
      <w:r>
        <w:rPr>
          <w:rStyle w:val="CharSectno"/>
        </w:rPr>
        <w:t>115</w:t>
      </w:r>
      <w:r>
        <w:rPr>
          <w:snapToGrid w:val="0"/>
        </w:rPr>
        <w:t>.</w:t>
      </w:r>
      <w:r>
        <w:rPr>
          <w:snapToGrid w:val="0"/>
        </w:rPr>
        <w:tab/>
        <w:t>Terms used</w:t>
      </w:r>
      <w:bookmarkEnd w:id="187"/>
    </w:p>
    <w:p>
      <w:pPr>
        <w:pStyle w:val="Subsection"/>
        <w:keepNext/>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188" w:name="_Toc174951762"/>
      <w:r>
        <w:rPr>
          <w:rStyle w:val="CharSectno"/>
        </w:rPr>
        <w:t>116</w:t>
      </w:r>
      <w:r>
        <w:rPr>
          <w:snapToGrid w:val="0"/>
        </w:rPr>
        <w:t>.</w:t>
      </w:r>
      <w:r>
        <w:rPr>
          <w:snapToGrid w:val="0"/>
        </w:rPr>
        <w:tab/>
        <w:t>Application to Supreme Court for assistance in obtaining evidence for proceedings in other court</w:t>
      </w:r>
      <w:bookmarkEnd w:id="188"/>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lastRenderedPageBreak/>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No. 34 of 1989 s. 4.]</w:t>
      </w:r>
    </w:p>
    <w:p>
      <w:pPr>
        <w:pStyle w:val="Heading5"/>
        <w:rPr>
          <w:snapToGrid w:val="0"/>
        </w:rPr>
      </w:pPr>
      <w:bookmarkStart w:id="189" w:name="_Toc174951763"/>
      <w:r>
        <w:rPr>
          <w:rStyle w:val="CharSectno"/>
        </w:rPr>
        <w:t>117</w:t>
      </w:r>
      <w:r>
        <w:rPr>
          <w:snapToGrid w:val="0"/>
        </w:rPr>
        <w:t>.</w:t>
      </w:r>
      <w:r>
        <w:rPr>
          <w:snapToGrid w:val="0"/>
        </w:rPr>
        <w:tab/>
        <w:t>Supreme Court may make orders to assist in obtaining evidence</w:t>
      </w:r>
      <w:bookmarkEnd w:id="189"/>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lastRenderedPageBreak/>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190" w:name="_Toc174951764"/>
      <w:r>
        <w:rPr>
          <w:rStyle w:val="CharSectno"/>
        </w:rPr>
        <w:t>118</w:t>
      </w:r>
      <w:r>
        <w:rPr>
          <w:snapToGrid w:val="0"/>
        </w:rPr>
        <w:t>.</w:t>
      </w:r>
      <w:r>
        <w:rPr>
          <w:snapToGrid w:val="0"/>
        </w:rPr>
        <w:tab/>
        <w:t>Privilege of witnesses</w:t>
      </w:r>
      <w:bookmarkEnd w:id="190"/>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lastRenderedPageBreak/>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191" w:name="_Toc174951765"/>
      <w:r>
        <w:rPr>
          <w:rStyle w:val="CharSectno"/>
        </w:rPr>
        <w:t>118A</w:t>
      </w:r>
      <w:r>
        <w:rPr>
          <w:snapToGrid w:val="0"/>
        </w:rPr>
        <w:t>.</w:t>
      </w:r>
      <w:r>
        <w:rPr>
          <w:snapToGrid w:val="0"/>
        </w:rPr>
        <w:tab/>
        <w:t>Rules of court for s. 116 to 118</w:t>
      </w:r>
      <w:bookmarkEnd w:id="191"/>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rPr>
          <w:snapToGrid w:val="0"/>
        </w:rPr>
      </w:pPr>
      <w:bookmarkStart w:id="192" w:name="_Toc174951766"/>
      <w:r>
        <w:rPr>
          <w:rStyle w:val="CharSectno"/>
        </w:rPr>
        <w:lastRenderedPageBreak/>
        <w:t>118B</w:t>
      </w:r>
      <w:r>
        <w:rPr>
          <w:snapToGrid w:val="0"/>
        </w:rPr>
        <w:t>.</w:t>
      </w:r>
      <w:r>
        <w:rPr>
          <w:snapToGrid w:val="0"/>
        </w:rPr>
        <w:tab/>
        <w:t>Offence</w:t>
      </w:r>
      <w:bookmarkEnd w:id="192"/>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193" w:name="_Toc174951767"/>
      <w:r>
        <w:rPr>
          <w:rStyle w:val="CharSectno"/>
        </w:rPr>
        <w:t>118C</w:t>
      </w:r>
      <w:r>
        <w:rPr>
          <w:snapToGrid w:val="0"/>
        </w:rPr>
        <w:t>.</w:t>
      </w:r>
      <w:r>
        <w:rPr>
          <w:snapToGrid w:val="0"/>
        </w:rPr>
        <w:tab/>
        <w:t>Operation of other laws</w:t>
      </w:r>
      <w:bookmarkEnd w:id="193"/>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194" w:name="_Toc174951768"/>
      <w:r>
        <w:rPr>
          <w:rStyle w:val="CharSectno"/>
        </w:rPr>
        <w:t>119</w:t>
      </w:r>
      <w:r>
        <w:t>.</w:t>
      </w:r>
      <w:r>
        <w:tab/>
        <w:t>Service as witness etc., payments for</w:t>
      </w:r>
      <w:bookmarkEnd w:id="194"/>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lastRenderedPageBreak/>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keepNext/>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keepNext/>
      </w:pPr>
      <w:r>
        <w:lastRenderedPageBreak/>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keepLines/>
      </w:pPr>
      <w:r>
        <w:lastRenderedPageBreak/>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195" w:name="_Toc174951769"/>
      <w:r>
        <w:rPr>
          <w:rStyle w:val="CharSectno"/>
        </w:rPr>
        <w:t>120</w:t>
      </w:r>
      <w:r>
        <w:t>.</w:t>
      </w:r>
      <w:r>
        <w:tab/>
        <w:t>Terms used</w:t>
      </w:r>
      <w:bookmarkEnd w:id="195"/>
    </w:p>
    <w:p>
      <w:pPr>
        <w:pStyle w:val="Subsection"/>
        <w:keepNext/>
        <w:keepLines/>
      </w:pPr>
      <w:r>
        <w:tab/>
        <w:t>(1)</w:t>
      </w:r>
      <w:r>
        <w:tab/>
        <w:t>In this section and sections 121 to 132, unless the contrary intention appears —</w:t>
      </w:r>
    </w:p>
    <w:p>
      <w:pPr>
        <w:pStyle w:val="Defstar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lastRenderedPageBreak/>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keepNex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lastRenderedPageBreak/>
        <w:t>Use of video links or audio links by WA courts</w:t>
      </w:r>
    </w:p>
    <w:p>
      <w:pPr>
        <w:pStyle w:val="Footnoteheading"/>
        <w:keepNext/>
      </w:pPr>
      <w:r>
        <w:tab/>
        <w:t>[Heading inserted: No. 48 of 1998 s. 9.]</w:t>
      </w:r>
    </w:p>
    <w:p>
      <w:pPr>
        <w:pStyle w:val="Heading5"/>
        <w:spacing w:before="180"/>
      </w:pPr>
      <w:bookmarkStart w:id="196" w:name="_Toc174951770"/>
      <w:r>
        <w:rPr>
          <w:rStyle w:val="CharSectno"/>
        </w:rPr>
        <w:t>121</w:t>
      </w:r>
      <w:r>
        <w:t>.</w:t>
      </w:r>
      <w:r>
        <w:tab/>
        <w:t>WA court may take evidence or receive submission by video link or audio link</w:t>
      </w:r>
      <w:bookmarkEnd w:id="196"/>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197" w:name="_Toc174951771"/>
      <w:r>
        <w:rPr>
          <w:rStyle w:val="CharSectno"/>
        </w:rPr>
        <w:lastRenderedPageBreak/>
        <w:t>122</w:t>
      </w:r>
      <w:r>
        <w:t>.</w:t>
      </w:r>
      <w:r>
        <w:tab/>
        <w:t>Counsel entitled to practise</w:t>
      </w:r>
      <w:bookmarkEnd w:id="197"/>
    </w:p>
    <w:p>
      <w:pPr>
        <w:pStyle w:val="Subsection"/>
      </w:pPr>
      <w:r>
        <w:tab/>
      </w:r>
      <w:r>
        <w:tab/>
        <w:t xml:space="preserve">A person who is entitled to practise as a legal practitioner in a participating jurisdiction is entitled to practise as a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 No. 9 of 2022 s. 424.]</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198" w:name="_Toc174951772"/>
      <w:r>
        <w:rPr>
          <w:rStyle w:val="CharSectno"/>
        </w:rPr>
        <w:t>123</w:t>
      </w:r>
      <w:r>
        <w:t>.</w:t>
      </w:r>
      <w:r>
        <w:tab/>
        <w:t>Recognized court may take evidence or receive submission from person in this State</w:t>
      </w:r>
      <w:bookmarkEnd w:id="198"/>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199" w:name="_Toc174951773"/>
      <w:r>
        <w:rPr>
          <w:rStyle w:val="CharSectno"/>
        </w:rPr>
        <w:t>124</w:t>
      </w:r>
      <w:r>
        <w:t>.</w:t>
      </w:r>
      <w:r>
        <w:tab/>
        <w:t>Recognized court’s powers</w:t>
      </w:r>
      <w:bookmarkEnd w:id="199"/>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 xml:space="preserve">The laws of the participating jurisdiction (including rules of court) that apply to the proceeding in that jurisdiction also apply, by force of this subsection, to the practice and procedure of the </w:t>
      </w:r>
      <w:r>
        <w:rPr>
          <w:spacing w:val="-2"/>
        </w:rPr>
        <w:lastRenderedPageBreak/>
        <w:t>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200" w:name="_Toc174951774"/>
      <w:r>
        <w:rPr>
          <w:rStyle w:val="CharSectno"/>
        </w:rPr>
        <w:t>125</w:t>
      </w:r>
      <w:r>
        <w:t>.</w:t>
      </w:r>
      <w:r>
        <w:tab/>
        <w:t>Recognized court may make orders</w:t>
      </w:r>
      <w:bookmarkEnd w:id="200"/>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201" w:name="_Toc174951775"/>
      <w:r>
        <w:rPr>
          <w:rStyle w:val="CharSectno"/>
        </w:rPr>
        <w:t>126</w:t>
      </w:r>
      <w:r>
        <w:t>.</w:t>
      </w:r>
      <w:r>
        <w:tab/>
        <w:t>Enforcement of order under s. 125</w:t>
      </w:r>
      <w:bookmarkEnd w:id="201"/>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lastRenderedPageBreak/>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202" w:name="_Toc174951776"/>
      <w:r>
        <w:rPr>
          <w:rStyle w:val="CharSectno"/>
        </w:rPr>
        <w:t>127</w:t>
      </w:r>
      <w:r>
        <w:t>.</w:t>
      </w:r>
      <w:r>
        <w:tab/>
        <w:t xml:space="preserve">Privileges, protection and immunity of participants in proceedings in </w:t>
      </w:r>
      <w:r>
        <w:rPr>
          <w:spacing w:val="-2"/>
        </w:rPr>
        <w:t>recognized</w:t>
      </w:r>
      <w:r>
        <w:t xml:space="preserve"> court</w:t>
      </w:r>
      <w:bookmarkEnd w:id="202"/>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203" w:name="_Toc174951777"/>
      <w:r>
        <w:rPr>
          <w:rStyle w:val="CharSectno"/>
        </w:rPr>
        <w:t>128</w:t>
      </w:r>
      <w:r>
        <w:t>.</w:t>
      </w:r>
      <w:r>
        <w:tab/>
        <w:t>Recognized court may administer an oath in the State</w:t>
      </w:r>
      <w:bookmarkEnd w:id="203"/>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keepNext/>
      </w:pPr>
      <w:r>
        <w:lastRenderedPageBreak/>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204" w:name="_Toc174951778"/>
      <w:r>
        <w:rPr>
          <w:rStyle w:val="CharSectno"/>
        </w:rPr>
        <w:t>129</w:t>
      </w:r>
      <w:r>
        <w:t>.</w:t>
      </w:r>
      <w:r>
        <w:tab/>
        <w:t>Assistance to recognized court</w:t>
      </w:r>
      <w:bookmarkEnd w:id="204"/>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205" w:name="_Toc174951779"/>
      <w:r>
        <w:rPr>
          <w:rStyle w:val="CharSectno"/>
        </w:rPr>
        <w:t>130</w:t>
      </w:r>
      <w:r>
        <w:t>.</w:t>
      </w:r>
      <w:r>
        <w:tab/>
        <w:t>Contempt of recognized court</w:t>
      </w:r>
      <w:bookmarkEnd w:id="205"/>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lastRenderedPageBreak/>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spacing w:before="240"/>
        <w:rPr>
          <w:i/>
        </w:rPr>
      </w:pPr>
      <w:r>
        <w:rPr>
          <w:i/>
        </w:rPr>
        <w:t>General provisions relating to the use of video links or audio links</w:t>
      </w:r>
    </w:p>
    <w:p>
      <w:pPr>
        <w:pStyle w:val="Footnoteheading"/>
      </w:pPr>
      <w:r>
        <w:tab/>
        <w:t>[Heading inserted: No. 48 of 1998 s. 9.]</w:t>
      </w:r>
    </w:p>
    <w:p>
      <w:pPr>
        <w:pStyle w:val="Heading5"/>
      </w:pPr>
      <w:bookmarkStart w:id="206" w:name="_Toc174951780"/>
      <w:r>
        <w:rPr>
          <w:rStyle w:val="CharSectno"/>
        </w:rPr>
        <w:t>131</w:t>
      </w:r>
      <w:r>
        <w:t>.</w:t>
      </w:r>
      <w:r>
        <w:tab/>
        <w:t>Regulations for fees and expenses relating to use of video link or audio link</w:t>
      </w:r>
      <w:bookmarkEnd w:id="206"/>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207" w:name="_Toc174951781"/>
      <w:r>
        <w:rPr>
          <w:rStyle w:val="CharSectno"/>
        </w:rPr>
        <w:t>132</w:t>
      </w:r>
      <w:r>
        <w:t>.</w:t>
      </w:r>
      <w:r>
        <w:tab/>
        <w:t>Operation of other laws</w:t>
      </w:r>
      <w:bookmarkEnd w:id="20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lastRenderedPageBreak/>
        <w:t>Regulations and rules of court for purposes of Courts and Tribunals (Electronic Processes Facilitation) Act 2013 Part 2</w:t>
      </w:r>
    </w:p>
    <w:p>
      <w:pPr>
        <w:pStyle w:val="Footnoteheading"/>
      </w:pPr>
      <w:r>
        <w:tab/>
        <w:t>[Heading inserted: No. 20 of 2013 s. 73.]</w:t>
      </w:r>
    </w:p>
    <w:p>
      <w:pPr>
        <w:pStyle w:val="Heading5"/>
      </w:pPr>
      <w:bookmarkStart w:id="208" w:name="_Toc174951782"/>
      <w:r>
        <w:rPr>
          <w:rStyle w:val="CharSectno"/>
        </w:rPr>
        <w:t>133</w:t>
      </w:r>
      <w:r>
        <w:t>.</w:t>
      </w:r>
      <w:r>
        <w:tab/>
        <w:t xml:space="preserve">Regulations and rules of court for purposes of </w:t>
      </w:r>
      <w:r>
        <w:rPr>
          <w:i/>
        </w:rPr>
        <w:t>Courts and Tribunals (Electronic Processes Facilitation) Act 2013</w:t>
      </w:r>
      <w:r>
        <w:t xml:space="preserve"> Part 2</w:t>
      </w:r>
      <w:bookmarkEnd w:id="208"/>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209" w:name="_Toc174951783"/>
      <w:r>
        <w:rPr>
          <w:rStyle w:val="CharSectno"/>
        </w:rPr>
        <w:t>134</w:t>
      </w:r>
      <w:r>
        <w:t>.</w:t>
      </w:r>
      <w:r>
        <w:tab/>
        <w:t xml:space="preserve">Review of amendment made by </w:t>
      </w:r>
      <w:r>
        <w:rPr>
          <w:i/>
          <w:iCs/>
        </w:rPr>
        <w:t>Family Violence Legislation Reform Act 2020</w:t>
      </w:r>
      <w:bookmarkEnd w:id="209"/>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210" w:name="_Toc161841910"/>
      <w:bookmarkStart w:id="211" w:name="_Toc161842581"/>
      <w:bookmarkStart w:id="212" w:name="_Toc161845116"/>
      <w:bookmarkStart w:id="213" w:name="_Toc174701792"/>
      <w:bookmarkStart w:id="214" w:name="_Toc174706451"/>
      <w:bookmarkStart w:id="215" w:name="_Toc174951784"/>
      <w:r>
        <w:rPr>
          <w:rStyle w:val="CharSchNo"/>
        </w:rPr>
        <w:lastRenderedPageBreak/>
        <w:t>The Second Schedule</w:t>
      </w:r>
      <w:bookmarkEnd w:id="210"/>
      <w:bookmarkEnd w:id="211"/>
      <w:bookmarkEnd w:id="212"/>
      <w:bookmarkEnd w:id="213"/>
      <w:bookmarkEnd w:id="214"/>
      <w:bookmarkEnd w:id="215"/>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216" w:name="_Toc161841911"/>
      <w:bookmarkStart w:id="217" w:name="_Toc161842582"/>
      <w:bookmarkStart w:id="218" w:name="_Toc161845117"/>
      <w:bookmarkStart w:id="219" w:name="_Toc174701793"/>
      <w:bookmarkStart w:id="220" w:name="_Toc174706452"/>
      <w:bookmarkStart w:id="221" w:name="_Toc174951785"/>
      <w:r>
        <w:rPr>
          <w:rStyle w:val="CharSDivNo"/>
          <w:sz w:val="28"/>
        </w:rPr>
        <w:t>Part 1</w:t>
      </w:r>
      <w:r>
        <w:t> — </w:t>
      </w:r>
      <w:r>
        <w:rPr>
          <w:rStyle w:val="CharSDivText"/>
          <w:sz w:val="28"/>
        </w:rPr>
        <w:t xml:space="preserve">Offences under </w:t>
      </w:r>
      <w:r>
        <w:rPr>
          <w:rStyle w:val="CharSDivText"/>
          <w:i/>
          <w:iCs/>
          <w:sz w:val="28"/>
        </w:rPr>
        <w:t>The Criminal Code</w:t>
      </w:r>
      <w:bookmarkEnd w:id="216"/>
      <w:bookmarkEnd w:id="217"/>
      <w:bookmarkEnd w:id="218"/>
      <w:bookmarkEnd w:id="219"/>
      <w:bookmarkEnd w:id="220"/>
      <w:bookmarkEnd w:id="221"/>
    </w:p>
    <w:p>
      <w:pPr>
        <w:pStyle w:val="yFootnoteheading"/>
        <w:spacing w:before="80" w:after="40"/>
        <w:rPr>
          <w:i w:val="0"/>
        </w:rPr>
      </w:pPr>
      <w:r>
        <w:tab/>
        <w:t>[Heading inserted: No. 48 of 1991 s. 10.]</w:t>
      </w:r>
    </w:p>
    <w:tbl>
      <w:tblPr>
        <w:tblW w:w="7088" w:type="dxa"/>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keepNext/>
              <w:spacing w:before="50"/>
              <w:rPr>
                <w:snapToGrid w:val="0"/>
              </w:rPr>
            </w:pPr>
            <w:r>
              <w:rPr>
                <w:snapToGrid w:val="0"/>
              </w:rPr>
              <w:lastRenderedPageBreak/>
              <w:t xml:space="preserve">s. 294A </w:t>
            </w:r>
          </w:p>
        </w:tc>
        <w:tc>
          <w:tcPr>
            <w:tcW w:w="4808" w:type="dxa"/>
          </w:tcPr>
          <w:p>
            <w:pPr>
              <w:pStyle w:val="yTable"/>
              <w:keepNext/>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keepNext/>
              <w:rPr>
                <w:snapToGrid w:val="0"/>
              </w:rPr>
            </w:pPr>
            <w:r>
              <w:lastRenderedPageBreak/>
              <w:t>s. 331D</w:t>
            </w:r>
          </w:p>
        </w:tc>
        <w:tc>
          <w:tcPr>
            <w:tcW w:w="4808" w:type="dxa"/>
          </w:tcPr>
          <w:p>
            <w:pPr>
              <w:pStyle w:val="yTable"/>
              <w:rPr>
                <w:snapToGrid w:val="0"/>
              </w:rPr>
            </w:pPr>
            <w:r>
              <w:t>Deceptive recruiting for commercial sexual services</w:t>
            </w:r>
          </w:p>
        </w:tc>
      </w:tr>
      <w:tr>
        <w:tc>
          <w:tcPr>
            <w:tcW w:w="2280" w:type="dxa"/>
          </w:tcPr>
          <w:p>
            <w:pPr>
              <w:pStyle w:val="yTable"/>
              <w:keepNext/>
              <w:rPr>
                <w:snapToGrid w:val="0"/>
              </w:rPr>
            </w:pPr>
            <w:r>
              <w:rPr>
                <w:snapToGrid w:val="0"/>
              </w:rPr>
              <w:t xml:space="preserve">s. 332 </w:t>
            </w:r>
          </w:p>
        </w:tc>
        <w:tc>
          <w:tcPr>
            <w:tcW w:w="4808" w:type="dxa"/>
          </w:tcPr>
          <w:p>
            <w:pPr>
              <w:pStyle w:val="yTable"/>
              <w:keepNext/>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keepNext/>
              <w:rPr>
                <w:snapToGrid w:val="0"/>
              </w:rPr>
            </w:pPr>
            <w:r>
              <w:rPr>
                <w:snapToGrid w:val="0"/>
              </w:rPr>
              <w:lastRenderedPageBreak/>
              <w:t xml:space="preserve">s. 457 </w:t>
            </w:r>
          </w:p>
        </w:tc>
        <w:tc>
          <w:tcPr>
            <w:tcW w:w="4808" w:type="dxa"/>
          </w:tcPr>
          <w:p>
            <w:pPr>
              <w:pStyle w:val="yTable"/>
              <w:keepNext/>
              <w:rPr>
                <w:snapToGrid w:val="0"/>
              </w:rPr>
            </w:pPr>
            <w:r>
              <w:rPr>
                <w:snapToGrid w:val="0"/>
              </w:rPr>
              <w:t>Interfering with marine signals</w:t>
            </w:r>
          </w:p>
        </w:tc>
      </w:tr>
      <w:tr>
        <w:tc>
          <w:tcPr>
            <w:tcW w:w="2280" w:type="dxa"/>
          </w:tcPr>
          <w:p>
            <w:pPr>
              <w:pStyle w:val="yTable"/>
              <w:keepNext/>
              <w:rPr>
                <w:snapToGrid w:val="0"/>
              </w:rPr>
            </w:pPr>
            <w:r>
              <w:rPr>
                <w:snapToGrid w:val="0"/>
              </w:rPr>
              <w:t xml:space="preserve">s. 458 </w:t>
            </w:r>
          </w:p>
        </w:tc>
        <w:tc>
          <w:tcPr>
            <w:tcW w:w="4808" w:type="dxa"/>
          </w:tcPr>
          <w:p>
            <w:pPr>
              <w:pStyle w:val="yTable"/>
              <w:keepNext/>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33; No. 20 of 2023 s. 22(1).]</w:t>
      </w:r>
    </w:p>
    <w:p>
      <w:pPr>
        <w:pStyle w:val="yHeading2"/>
        <w:spacing w:before="120"/>
      </w:pPr>
      <w:bookmarkStart w:id="222" w:name="_Toc161841912"/>
      <w:bookmarkStart w:id="223" w:name="_Toc161842583"/>
      <w:bookmarkStart w:id="224" w:name="_Toc161845118"/>
      <w:bookmarkStart w:id="225" w:name="_Toc174701794"/>
      <w:bookmarkStart w:id="226" w:name="_Toc174706453"/>
      <w:bookmarkStart w:id="227" w:name="_Toc174951786"/>
      <w:r>
        <w:rPr>
          <w:rStyle w:val="CharSDivNo"/>
          <w:sz w:val="28"/>
        </w:rPr>
        <w:t>Part 2</w:t>
      </w:r>
      <w:r>
        <w:t> — </w:t>
      </w:r>
      <w:r>
        <w:rPr>
          <w:rStyle w:val="CharSDivText"/>
          <w:sz w:val="28"/>
        </w:rPr>
        <w:t xml:space="preserve">Offences under the </w:t>
      </w:r>
      <w:r>
        <w:rPr>
          <w:rStyle w:val="CharSDivText"/>
          <w:i/>
          <w:sz w:val="28"/>
        </w:rPr>
        <w:t>Road Traffic Act 1974</w:t>
      </w:r>
      <w:bookmarkEnd w:id="222"/>
      <w:bookmarkEnd w:id="223"/>
      <w:bookmarkEnd w:id="224"/>
      <w:bookmarkEnd w:id="225"/>
      <w:bookmarkEnd w:id="226"/>
      <w:bookmarkEnd w:id="227"/>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Heading2"/>
      </w:pPr>
      <w:bookmarkStart w:id="228" w:name="_Toc161841913"/>
      <w:bookmarkStart w:id="229" w:name="_Toc161842584"/>
      <w:bookmarkStart w:id="230" w:name="_Toc161845119"/>
      <w:bookmarkStart w:id="231" w:name="_Toc174701795"/>
      <w:bookmarkStart w:id="232" w:name="_Toc174706454"/>
      <w:bookmarkStart w:id="233" w:name="_Toc174951787"/>
      <w:r>
        <w:rPr>
          <w:rStyle w:val="CharSDivNo"/>
          <w:sz w:val="28"/>
          <w:szCs w:val="28"/>
        </w:rPr>
        <w:t>Part 3</w:t>
      </w:r>
      <w:r>
        <w:t> — </w:t>
      </w:r>
      <w:r>
        <w:rPr>
          <w:rStyle w:val="CharSDivText"/>
          <w:sz w:val="28"/>
          <w:szCs w:val="28"/>
        </w:rPr>
        <w:t xml:space="preserve">Offences under the </w:t>
      </w:r>
      <w:r>
        <w:rPr>
          <w:rStyle w:val="CharSDivText"/>
          <w:i/>
          <w:sz w:val="28"/>
          <w:szCs w:val="28"/>
        </w:rPr>
        <w:t>Western Australian Marine Act 1982</w:t>
      </w:r>
      <w:bookmarkEnd w:id="228"/>
      <w:bookmarkEnd w:id="229"/>
      <w:bookmarkEnd w:id="230"/>
      <w:bookmarkEnd w:id="231"/>
      <w:bookmarkEnd w:id="232"/>
      <w:bookmarkEnd w:id="233"/>
    </w:p>
    <w:p>
      <w:pPr>
        <w:pStyle w:val="yFootnoteheading"/>
        <w:spacing w:after="40"/>
      </w:pPr>
      <w:r>
        <w:tab/>
        <w:t>[Heading inserted: No. 31 of 2023 s. 34(2).]</w:t>
      </w:r>
    </w:p>
    <w:tbl>
      <w:tblPr>
        <w:tblW w:w="6663" w:type="dxa"/>
        <w:tblInd w:w="425" w:type="dxa"/>
        <w:tblLayout w:type="fixed"/>
        <w:tblCellMar>
          <w:left w:w="425" w:type="dxa"/>
          <w:right w:w="425" w:type="dxa"/>
        </w:tblCellMar>
        <w:tblLook w:val="0000" w:firstRow="0" w:lastRow="0" w:firstColumn="0" w:lastColumn="0" w:noHBand="0" w:noVBand="0"/>
      </w:tblPr>
      <w:tblGrid>
        <w:gridCol w:w="2508"/>
        <w:gridCol w:w="4155"/>
      </w:tblGrid>
      <w:tr>
        <w:tc>
          <w:tcPr>
            <w:tcW w:w="2508" w:type="dxa"/>
            <w:noWrap/>
          </w:tcPr>
          <w:p>
            <w:pPr>
              <w:pStyle w:val="yTableNAm"/>
              <w:jc w:val="center"/>
              <w:rPr>
                <w:b/>
                <w:bCs/>
              </w:rPr>
            </w:pPr>
            <w:r>
              <w:rPr>
                <w:b/>
                <w:bCs/>
              </w:rPr>
              <w:t>Provision</w:t>
            </w:r>
          </w:p>
        </w:tc>
        <w:tc>
          <w:tcPr>
            <w:tcW w:w="4155" w:type="dxa"/>
            <w:noWrap/>
          </w:tcPr>
          <w:p>
            <w:pPr>
              <w:pStyle w:val="yTableNAm"/>
              <w:jc w:val="center"/>
              <w:rPr>
                <w:b/>
                <w:bCs/>
              </w:rPr>
            </w:pPr>
            <w:r>
              <w:rPr>
                <w:b/>
                <w:bCs/>
              </w:rPr>
              <w:t>Description of offence</w:t>
            </w:r>
          </w:p>
        </w:tc>
      </w:tr>
      <w:tr>
        <w:tc>
          <w:tcPr>
            <w:tcW w:w="2508" w:type="dxa"/>
            <w:noWrap/>
          </w:tcPr>
          <w:p>
            <w:pPr>
              <w:pStyle w:val="yTableNAm"/>
            </w:pPr>
            <w:r>
              <w:t>s. 64A(2)</w:t>
            </w:r>
          </w:p>
        </w:tc>
        <w:tc>
          <w:tcPr>
            <w:tcW w:w="4155" w:type="dxa"/>
            <w:noWrap/>
          </w:tcPr>
          <w:p>
            <w:pPr>
              <w:pStyle w:val="yTableNAm"/>
            </w:pPr>
            <w:r>
              <w:t xml:space="preserve">Failure of master to comply with render assistance duties in relation to </w:t>
            </w:r>
            <w:r>
              <w:lastRenderedPageBreak/>
              <w:t>marine incident occasioning death, grievous bodily harm or bodily harm</w:t>
            </w:r>
          </w:p>
        </w:tc>
      </w:tr>
      <w:tr>
        <w:tc>
          <w:tcPr>
            <w:tcW w:w="2508" w:type="dxa"/>
            <w:noWrap/>
          </w:tcPr>
          <w:p>
            <w:pPr>
              <w:pStyle w:val="yTableNAm"/>
            </w:pPr>
            <w:r>
              <w:lastRenderedPageBreak/>
              <w:t>s. 64A(3)</w:t>
            </w:r>
          </w:p>
        </w:tc>
        <w:tc>
          <w:tcPr>
            <w:tcW w:w="4155" w:type="dxa"/>
            <w:noWrap/>
          </w:tcPr>
          <w:p>
            <w:pPr>
              <w:pStyle w:val="yTableNAm"/>
            </w:pPr>
            <w:r>
              <w:t>Failure of master to comply with duties in relation to marine incident</w:t>
            </w:r>
          </w:p>
        </w:tc>
      </w:tr>
      <w:tr>
        <w:tc>
          <w:tcPr>
            <w:tcW w:w="2508" w:type="dxa"/>
            <w:noWrap/>
          </w:tcPr>
          <w:p>
            <w:pPr>
              <w:pStyle w:val="yTableNAm"/>
              <w:keepNext/>
            </w:pPr>
            <w:r>
              <w:t>s. 64B(3A)</w:t>
            </w:r>
          </w:p>
        </w:tc>
        <w:tc>
          <w:tcPr>
            <w:tcW w:w="4155" w:type="dxa"/>
            <w:noWrap/>
          </w:tcPr>
          <w:p>
            <w:pPr>
              <w:pStyle w:val="yTableNAm"/>
              <w:keepNext/>
            </w:pPr>
            <w:r>
              <w:t>Failure of master or owner to give report in relation to certain marine incidents occasioning death, grievous bodily harm or bodily harm</w:t>
            </w:r>
          </w:p>
        </w:tc>
      </w:tr>
      <w:tr>
        <w:tc>
          <w:tcPr>
            <w:tcW w:w="2508" w:type="dxa"/>
            <w:noWrap/>
          </w:tcPr>
          <w:p>
            <w:pPr>
              <w:pStyle w:val="yTableNAm"/>
            </w:pPr>
            <w:r>
              <w:t>s. 64B(3C)</w:t>
            </w:r>
          </w:p>
        </w:tc>
        <w:tc>
          <w:tcPr>
            <w:tcW w:w="4155" w:type="dxa"/>
            <w:noWrap/>
          </w:tcPr>
          <w:p>
            <w:pPr>
              <w:pStyle w:val="yTableNAm"/>
            </w:pPr>
            <w:r>
              <w:t>Failure of master or owner to give report in relation to certain marine incidents</w:t>
            </w:r>
          </w:p>
        </w:tc>
      </w:tr>
      <w:tr>
        <w:tc>
          <w:tcPr>
            <w:tcW w:w="2508" w:type="dxa"/>
            <w:noWrap/>
          </w:tcPr>
          <w:p>
            <w:pPr>
              <w:pStyle w:val="yTableNAm"/>
            </w:pPr>
            <w:r>
              <w:t>s. 64D(4)</w:t>
            </w:r>
          </w:p>
        </w:tc>
        <w:tc>
          <w:tcPr>
            <w:tcW w:w="4155" w:type="dxa"/>
            <w:noWrap/>
          </w:tcPr>
          <w:p>
            <w:pPr>
              <w:pStyle w:val="yTableNAm"/>
            </w:pPr>
            <w:r>
              <w:t>Failure of responsible person to give information in relation to marine incident</w:t>
            </w:r>
          </w:p>
        </w:tc>
      </w:tr>
      <w:tr>
        <w:tc>
          <w:tcPr>
            <w:tcW w:w="2508" w:type="dxa"/>
            <w:noWrap/>
          </w:tcPr>
          <w:p>
            <w:pPr>
              <w:pStyle w:val="yTableNAm"/>
            </w:pPr>
            <w:r>
              <w:t>s. 75B(1)</w:t>
            </w:r>
          </w:p>
        </w:tc>
        <w:tc>
          <w:tcPr>
            <w:tcW w:w="4155" w:type="dxa"/>
            <w:noWrap/>
          </w:tcPr>
          <w:p>
            <w:pPr>
              <w:pStyle w:val="yTableNAm"/>
            </w:pPr>
            <w:r>
              <w:t>Navigation of vessel occasioning death while under influence of alcohol, a drug or alcohol and a drug</w:t>
            </w:r>
          </w:p>
        </w:tc>
      </w:tr>
      <w:tr>
        <w:tc>
          <w:tcPr>
            <w:tcW w:w="2508" w:type="dxa"/>
            <w:noWrap/>
          </w:tcPr>
          <w:p>
            <w:pPr>
              <w:pStyle w:val="yTableNAm"/>
            </w:pPr>
            <w:r>
              <w:t>s. 75B(2)</w:t>
            </w:r>
          </w:p>
        </w:tc>
        <w:tc>
          <w:tcPr>
            <w:tcW w:w="4155" w:type="dxa"/>
            <w:noWrap/>
          </w:tcPr>
          <w:p>
            <w:pPr>
              <w:pStyle w:val="yTableNAm"/>
            </w:pPr>
            <w:r>
              <w:t xml:space="preserve">Dangerous navigation of vessel occasioning death </w:t>
            </w:r>
          </w:p>
        </w:tc>
      </w:tr>
      <w:tr>
        <w:tc>
          <w:tcPr>
            <w:tcW w:w="2508" w:type="dxa"/>
            <w:noWrap/>
          </w:tcPr>
          <w:p>
            <w:pPr>
              <w:pStyle w:val="yTableNAm"/>
            </w:pPr>
            <w:r>
              <w:t>s. 75BA(1)</w:t>
            </w:r>
          </w:p>
        </w:tc>
        <w:tc>
          <w:tcPr>
            <w:tcW w:w="4155" w:type="dxa"/>
            <w:noWrap/>
          </w:tcPr>
          <w:p>
            <w:pPr>
              <w:pStyle w:val="yTableNAm"/>
            </w:pPr>
            <w:r>
              <w:t>Navigation of vessel occasioning grievous bodily harm while under influence of alcohol, a drug or alcohol and a drug</w:t>
            </w:r>
          </w:p>
        </w:tc>
      </w:tr>
      <w:tr>
        <w:tc>
          <w:tcPr>
            <w:tcW w:w="2508" w:type="dxa"/>
            <w:noWrap/>
          </w:tcPr>
          <w:p>
            <w:pPr>
              <w:pStyle w:val="yTableNAm"/>
            </w:pPr>
            <w:r>
              <w:t>s. 75BA(2)</w:t>
            </w:r>
          </w:p>
        </w:tc>
        <w:tc>
          <w:tcPr>
            <w:tcW w:w="4155" w:type="dxa"/>
            <w:noWrap/>
          </w:tcPr>
          <w:p>
            <w:pPr>
              <w:pStyle w:val="yTableNAm"/>
            </w:pPr>
            <w:r>
              <w:t>Dangerous navigation of vessel occasioning grievous bodily harm</w:t>
            </w:r>
          </w:p>
        </w:tc>
      </w:tr>
      <w:tr>
        <w:tc>
          <w:tcPr>
            <w:tcW w:w="2508" w:type="dxa"/>
            <w:noWrap/>
          </w:tcPr>
          <w:p>
            <w:pPr>
              <w:pStyle w:val="yTableNAm"/>
            </w:pPr>
            <w:r>
              <w:t>s. 75BB(1)</w:t>
            </w:r>
          </w:p>
        </w:tc>
        <w:tc>
          <w:tcPr>
            <w:tcW w:w="4155" w:type="dxa"/>
            <w:noWrap/>
          </w:tcPr>
          <w:p>
            <w:pPr>
              <w:pStyle w:val="yTableNAm"/>
            </w:pPr>
            <w:r>
              <w:t>Navigation of vessel occasioning bodily harm while under influence of alcohol, a drug or alcohol and a drug</w:t>
            </w:r>
          </w:p>
        </w:tc>
      </w:tr>
      <w:tr>
        <w:tc>
          <w:tcPr>
            <w:tcW w:w="2508" w:type="dxa"/>
            <w:noWrap/>
          </w:tcPr>
          <w:p>
            <w:pPr>
              <w:pStyle w:val="yTableNAm"/>
            </w:pPr>
            <w:r>
              <w:t>s. 75BB(3)</w:t>
            </w:r>
          </w:p>
        </w:tc>
        <w:tc>
          <w:tcPr>
            <w:tcW w:w="4155" w:type="dxa"/>
            <w:noWrap/>
          </w:tcPr>
          <w:p>
            <w:pPr>
              <w:pStyle w:val="yTableNAm"/>
            </w:pPr>
            <w:r>
              <w:t>Dangerous navigation of vessel occasioning bodily harm</w:t>
            </w:r>
          </w:p>
        </w:tc>
      </w:tr>
      <w:tr>
        <w:tc>
          <w:tcPr>
            <w:tcW w:w="2508" w:type="dxa"/>
            <w:noWrap/>
          </w:tcPr>
          <w:p>
            <w:pPr>
              <w:pStyle w:val="yTableNAm"/>
            </w:pPr>
            <w:r>
              <w:t>s. 75BD(1)</w:t>
            </w:r>
          </w:p>
        </w:tc>
        <w:tc>
          <w:tcPr>
            <w:tcW w:w="4155" w:type="dxa"/>
            <w:noWrap/>
          </w:tcPr>
          <w:p>
            <w:pPr>
              <w:pStyle w:val="yTableNAm"/>
            </w:pPr>
            <w:r>
              <w:t>Reckless navigation of vessel</w:t>
            </w:r>
          </w:p>
        </w:tc>
      </w:tr>
      <w:tr>
        <w:tc>
          <w:tcPr>
            <w:tcW w:w="2508" w:type="dxa"/>
            <w:noWrap/>
          </w:tcPr>
          <w:p>
            <w:pPr>
              <w:pStyle w:val="yTableNAm"/>
            </w:pPr>
            <w:r>
              <w:t>s. 75BD(2)</w:t>
            </w:r>
          </w:p>
        </w:tc>
        <w:tc>
          <w:tcPr>
            <w:tcW w:w="4155" w:type="dxa"/>
            <w:noWrap/>
          </w:tcPr>
          <w:p>
            <w:pPr>
              <w:pStyle w:val="yTableNAm"/>
            </w:pPr>
            <w:r>
              <w:t>Reckless navigation of vessel in circumstance of aggravation</w:t>
            </w:r>
          </w:p>
        </w:tc>
      </w:tr>
    </w:tbl>
    <w:p>
      <w:pPr>
        <w:pStyle w:val="yFootnotesection"/>
      </w:pPr>
      <w:r>
        <w:tab/>
        <w:t>[Part 3 inserted: No. 31 of 2023 s. 34(2).]</w:t>
      </w:r>
    </w:p>
    <w:p>
      <w:pPr>
        <w:pStyle w:val="yHeading2"/>
        <w:spacing w:before="260"/>
      </w:pPr>
      <w:bookmarkStart w:id="234" w:name="_Toc161841914"/>
      <w:bookmarkStart w:id="235" w:name="_Toc161842585"/>
      <w:bookmarkStart w:id="236" w:name="_Toc161845120"/>
      <w:bookmarkStart w:id="237" w:name="_Toc174701796"/>
      <w:bookmarkStart w:id="238" w:name="_Toc174706455"/>
      <w:bookmarkStart w:id="239" w:name="_Toc174951788"/>
      <w:r>
        <w:rPr>
          <w:rStyle w:val="CharSDivNo"/>
          <w:sz w:val="28"/>
        </w:rPr>
        <w:lastRenderedPageBreak/>
        <w:t>Part 4</w:t>
      </w:r>
      <w:r>
        <w:rPr>
          <w:b w:val="0"/>
        </w:rPr>
        <w:t> — </w:t>
      </w:r>
      <w:r>
        <w:rPr>
          <w:rStyle w:val="CharSDivText"/>
          <w:sz w:val="28"/>
        </w:rPr>
        <w:t xml:space="preserve">Offences under the </w:t>
      </w:r>
      <w:r>
        <w:rPr>
          <w:rStyle w:val="CharSDivText"/>
          <w:i/>
          <w:iCs/>
          <w:sz w:val="28"/>
        </w:rPr>
        <w:t>Children and Community Services Act 2004</w:t>
      </w:r>
      <w:bookmarkEnd w:id="234"/>
      <w:bookmarkEnd w:id="235"/>
      <w:bookmarkEnd w:id="236"/>
      <w:bookmarkEnd w:id="237"/>
      <w:bookmarkEnd w:id="238"/>
      <w:bookmarkEnd w:id="239"/>
    </w:p>
    <w:p>
      <w:pPr>
        <w:pStyle w:val="yFootnoteheading"/>
        <w:keepNext/>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keepNext/>
            </w:pPr>
            <w:r>
              <w:rPr>
                <w:b/>
              </w:rPr>
              <w:t>Provision</w:t>
            </w:r>
          </w:p>
        </w:tc>
        <w:tc>
          <w:tcPr>
            <w:tcW w:w="4800" w:type="dxa"/>
          </w:tcPr>
          <w:p>
            <w:pPr>
              <w:pStyle w:val="yTable"/>
              <w:keepNext/>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240" w:name="_Toc161841915"/>
      <w:bookmarkStart w:id="241" w:name="_Toc161842586"/>
      <w:bookmarkStart w:id="242" w:name="_Toc161845121"/>
      <w:bookmarkStart w:id="243" w:name="_Toc174701797"/>
      <w:bookmarkStart w:id="244" w:name="_Toc174706456"/>
      <w:bookmarkStart w:id="245" w:name="_Toc174951789"/>
      <w:r>
        <w:rPr>
          <w:rStyle w:val="CharSDivNo"/>
          <w:sz w:val="28"/>
        </w:rPr>
        <w:t>Part 5</w:t>
      </w:r>
      <w:r>
        <w:t> — </w:t>
      </w:r>
      <w:r>
        <w:rPr>
          <w:rStyle w:val="CharSDivText"/>
          <w:sz w:val="28"/>
        </w:rPr>
        <w:t xml:space="preserve">Offences under the </w:t>
      </w:r>
      <w:r>
        <w:rPr>
          <w:rStyle w:val="CharSDivText"/>
          <w:i/>
          <w:sz w:val="28"/>
        </w:rPr>
        <w:t>Misuse of Drugs Act 1981</w:t>
      </w:r>
      <w:bookmarkEnd w:id="240"/>
      <w:bookmarkEnd w:id="241"/>
      <w:bookmarkEnd w:id="242"/>
      <w:bookmarkEnd w:id="243"/>
      <w:bookmarkEnd w:id="244"/>
      <w:bookmarkEnd w:id="245"/>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ScheduleHeading"/>
        <w:pageBreakBefore w:val="0"/>
        <w:spacing w:before="260"/>
      </w:pPr>
      <w:bookmarkStart w:id="246" w:name="_Toc161845122"/>
      <w:bookmarkStart w:id="247" w:name="_Toc174701798"/>
      <w:bookmarkStart w:id="248" w:name="_Toc174706457"/>
      <w:bookmarkStart w:id="249" w:name="_Toc174951790"/>
      <w:r>
        <w:rPr>
          <w:rStyle w:val="CharSDivNo"/>
          <w:sz w:val="28"/>
        </w:rPr>
        <w:t>Part 6</w:t>
      </w:r>
      <w:r>
        <w:t> — </w:t>
      </w:r>
      <w:r>
        <w:rPr>
          <w:rStyle w:val="CharSDivText"/>
          <w:sz w:val="28"/>
        </w:rPr>
        <w:t xml:space="preserve">Offence under the </w:t>
      </w:r>
      <w:r>
        <w:rPr>
          <w:rStyle w:val="CharSDivText"/>
          <w:i/>
          <w:sz w:val="28"/>
        </w:rPr>
        <w:t>Public Health A</w:t>
      </w:r>
      <w:bookmarkStart w:id="250" w:name="_Toc146789031"/>
      <w:bookmarkStart w:id="251" w:name="_Toc146789157"/>
      <w:bookmarkStart w:id="252" w:name="_Toc161842587"/>
      <w:r>
        <w:rPr>
          <w:rStyle w:val="CharSDivText"/>
          <w:i/>
          <w:sz w:val="28"/>
        </w:rPr>
        <w:t>ct 2016</w:t>
      </w:r>
      <w:bookmarkEnd w:id="250"/>
      <w:bookmarkEnd w:id="251"/>
      <w:bookmarkEnd w:id="252"/>
      <w:bookmarkEnd w:id="246"/>
      <w:bookmarkEnd w:id="247"/>
      <w:bookmarkEnd w:id="248"/>
      <w:bookmarkEnd w:id="249"/>
    </w:p>
    <w:p>
      <w:pPr>
        <w:pStyle w:val="yFootnoteheading"/>
        <w:spacing w:after="40"/>
      </w:pPr>
      <w:r>
        <w:tab/>
        <w:t>[Heading inserted: No. 20 of 2023 s. 22(2).]</w:t>
      </w:r>
    </w:p>
    <w:tbl>
      <w:tblPr>
        <w:tblW w:w="0" w:type="auto"/>
        <w:tblInd w:w="250" w:type="dxa"/>
        <w:tblLayout w:type="fixed"/>
        <w:tblCellMar>
          <w:bottom w:w="113" w:type="dxa"/>
        </w:tblCellMar>
        <w:tblLook w:val="04A0" w:firstRow="1" w:lastRow="0" w:firstColumn="1" w:lastColumn="0" w:noHBand="0" w:noVBand="1"/>
      </w:tblPr>
      <w:tblGrid>
        <w:gridCol w:w="2013"/>
        <w:gridCol w:w="4791"/>
      </w:tblGrid>
      <w:tr>
        <w:trPr>
          <w:tblHeader/>
        </w:trPr>
        <w:tc>
          <w:tcPr>
            <w:tcW w:w="2013" w:type="dxa"/>
            <w:hideMark/>
          </w:tcPr>
          <w:p>
            <w:pPr>
              <w:pStyle w:val="yTableNAm"/>
            </w:pPr>
            <w:r>
              <w:rPr>
                <w:b/>
                <w:bCs/>
              </w:rPr>
              <w:t>Provision</w:t>
            </w:r>
          </w:p>
        </w:tc>
        <w:tc>
          <w:tcPr>
            <w:tcW w:w="4791" w:type="dxa"/>
            <w:hideMark/>
          </w:tcPr>
          <w:p>
            <w:pPr>
              <w:pStyle w:val="yTableNAm"/>
            </w:pPr>
            <w:r>
              <w:rPr>
                <w:b/>
                <w:bCs/>
              </w:rPr>
              <w:t>Description of offence</w:t>
            </w:r>
          </w:p>
        </w:tc>
      </w:tr>
      <w:tr>
        <w:tc>
          <w:tcPr>
            <w:tcW w:w="2013" w:type="dxa"/>
            <w:hideMark/>
          </w:tcPr>
          <w:p>
            <w:pPr>
              <w:pStyle w:val="yTableNAm"/>
            </w:pPr>
            <w:r>
              <w:t>s. 202MN(1)</w:t>
            </w:r>
          </w:p>
        </w:tc>
        <w:tc>
          <w:tcPr>
            <w:tcW w:w="4791" w:type="dxa"/>
            <w:hideMark/>
          </w:tcPr>
          <w:p>
            <w:pPr>
              <w:pStyle w:val="yTableNAm"/>
            </w:pPr>
            <w:r>
              <w:t>Performance of abortion by unqualified person</w:t>
            </w:r>
          </w:p>
        </w:tc>
      </w:tr>
    </w:tbl>
    <w:p>
      <w:pPr>
        <w:pStyle w:val="yFootnotesection"/>
      </w:pPr>
      <w:r>
        <w:tab/>
        <w:t>[Part 6 inserted: No. 20 of 2023 s. 22(2).]</w:t>
      </w:r>
    </w:p>
    <w:p>
      <w:pPr>
        <w:pStyle w:val="yEdnoteschedule"/>
        <w:outlineLvl w:val="9"/>
      </w:pPr>
      <w:r>
        <w:t>[The Third Schedule deleted: No. 70 of 1988 s. 44.]</w:t>
      </w:r>
    </w:p>
    <w:p>
      <w:pPr>
        <w:pStyle w:val="yScheduleHeading"/>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254" w:name="_Toc161841916"/>
      <w:bookmarkStart w:id="255" w:name="_Toc161842588"/>
      <w:bookmarkStart w:id="256" w:name="_Toc161845123"/>
      <w:bookmarkStart w:id="257" w:name="_Toc174701799"/>
      <w:bookmarkStart w:id="258" w:name="_Toc174706458"/>
      <w:bookmarkStart w:id="259" w:name="_Toc174951791"/>
      <w:r>
        <w:rPr>
          <w:rStyle w:val="CharSchNo"/>
        </w:rPr>
        <w:lastRenderedPageBreak/>
        <w:t>The Fourth Schedule</w:t>
      </w:r>
      <w:bookmarkEnd w:id="254"/>
      <w:bookmarkEnd w:id="255"/>
      <w:bookmarkEnd w:id="256"/>
      <w:bookmarkEnd w:id="257"/>
      <w:bookmarkEnd w:id="258"/>
      <w:bookmarkEnd w:id="259"/>
    </w:p>
    <w:p>
      <w:pPr>
        <w:pStyle w:val="yShoulderClause"/>
        <w:spacing w:after="80"/>
        <w:rPr>
          <w:snapToGrid w:val="0"/>
        </w:rPr>
      </w:pPr>
      <w:r>
        <w:rPr>
          <w:snapToGrid w:val="0"/>
        </w:rPr>
        <w:t>[Section 57]</w:t>
      </w:r>
    </w:p>
    <w:tbl>
      <w:tblPr>
        <w:tblW w:w="0" w:type="auto"/>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60" w:name="_Toc161841917"/>
      <w:bookmarkStart w:id="261" w:name="_Toc161842589"/>
      <w:bookmarkStart w:id="262" w:name="_Toc161845124"/>
      <w:bookmarkStart w:id="263" w:name="_Toc174701800"/>
      <w:bookmarkStart w:id="264" w:name="_Toc174706459"/>
      <w:bookmarkStart w:id="265" w:name="_Toc174951792"/>
      <w:r>
        <w:rPr>
          <w:rStyle w:val="CharSchNo"/>
        </w:rPr>
        <w:lastRenderedPageBreak/>
        <w:t>The Fifth Schedule</w:t>
      </w:r>
      <w:bookmarkEnd w:id="260"/>
      <w:bookmarkEnd w:id="261"/>
      <w:bookmarkEnd w:id="262"/>
      <w:bookmarkEnd w:id="263"/>
      <w:bookmarkEnd w:id="264"/>
      <w:bookmarkEnd w:id="265"/>
    </w:p>
    <w:p>
      <w:pPr>
        <w:pStyle w:val="yShoulderClause"/>
        <w:spacing w:after="80"/>
      </w:pPr>
      <w:r>
        <w:t>[Section 61]</w:t>
      </w:r>
    </w:p>
    <w:tbl>
      <w:tblPr>
        <w:tblW w:w="0" w:type="auto"/>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266" w:name="_Toc161841918"/>
      <w:bookmarkStart w:id="267" w:name="_Toc161842590"/>
      <w:bookmarkStart w:id="268" w:name="_Toc161845125"/>
      <w:bookmarkStart w:id="269" w:name="_Toc174701801"/>
      <w:bookmarkStart w:id="270" w:name="_Toc174706460"/>
      <w:bookmarkStart w:id="271" w:name="_Toc174951793"/>
      <w:r>
        <w:rPr>
          <w:rStyle w:val="CharSchNo"/>
        </w:rPr>
        <w:lastRenderedPageBreak/>
        <w:t>The Sixth Schedule</w:t>
      </w:r>
      <w:bookmarkEnd w:id="266"/>
      <w:bookmarkEnd w:id="267"/>
      <w:bookmarkEnd w:id="268"/>
      <w:bookmarkEnd w:id="269"/>
      <w:bookmarkEnd w:id="270"/>
      <w:bookmarkEnd w:id="271"/>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lastRenderedPageBreak/>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yScheduleHeading"/>
      </w:pPr>
      <w:bookmarkStart w:id="272" w:name="_Toc161841919"/>
      <w:bookmarkStart w:id="273" w:name="_Toc161842591"/>
      <w:bookmarkStart w:id="274" w:name="_Toc161845126"/>
      <w:bookmarkStart w:id="275" w:name="_Toc174701802"/>
      <w:bookmarkStart w:id="276" w:name="_Toc174706461"/>
      <w:bookmarkStart w:id="277" w:name="_Toc174951794"/>
      <w:r>
        <w:rPr>
          <w:rStyle w:val="CharSchNo"/>
        </w:rPr>
        <w:lastRenderedPageBreak/>
        <w:t>Schedule 7</w:t>
      </w:r>
      <w:bookmarkEnd w:id="272"/>
      <w:bookmarkEnd w:id="273"/>
      <w:bookmarkEnd w:id="274"/>
      <w:bookmarkEnd w:id="275"/>
      <w:bookmarkEnd w:id="276"/>
      <w:bookmarkEnd w:id="277"/>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278" w:name="_Toc161841920"/>
      <w:bookmarkStart w:id="279" w:name="_Toc161842592"/>
      <w:bookmarkStart w:id="280" w:name="_Toc161845127"/>
      <w:bookmarkStart w:id="281" w:name="_Toc174701803"/>
      <w:bookmarkStart w:id="282" w:name="_Toc174706462"/>
      <w:bookmarkStart w:id="283" w:name="_Toc174951795"/>
      <w:r>
        <w:rPr>
          <w:rStyle w:val="CharSDivNo"/>
          <w:sz w:val="28"/>
        </w:rPr>
        <w:t>Part A</w:t>
      </w:r>
      <w:bookmarkEnd w:id="278"/>
      <w:bookmarkEnd w:id="279"/>
      <w:bookmarkEnd w:id="280"/>
      <w:bookmarkEnd w:id="281"/>
      <w:bookmarkEnd w:id="282"/>
      <w:bookmarkEnd w:id="283"/>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lastRenderedPageBreak/>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284" w:name="_Toc161841921"/>
      <w:bookmarkStart w:id="285" w:name="_Toc161842593"/>
      <w:bookmarkStart w:id="286" w:name="_Toc161845128"/>
      <w:bookmarkStart w:id="287" w:name="_Toc174701804"/>
      <w:bookmarkStart w:id="288" w:name="_Toc174706463"/>
      <w:bookmarkStart w:id="289" w:name="_Toc174951796"/>
      <w:r>
        <w:rPr>
          <w:rStyle w:val="CharSDivNo"/>
          <w:sz w:val="28"/>
        </w:rPr>
        <w:t>Part B</w:t>
      </w:r>
      <w:bookmarkEnd w:id="284"/>
      <w:bookmarkEnd w:id="285"/>
      <w:bookmarkEnd w:id="286"/>
      <w:bookmarkEnd w:id="287"/>
      <w:bookmarkEnd w:id="288"/>
      <w:bookmarkEnd w:id="289"/>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lastRenderedPageBreak/>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290" w:name="_Toc161841922"/>
      <w:bookmarkStart w:id="291" w:name="_Toc161842594"/>
      <w:bookmarkStart w:id="292" w:name="_Toc161845129"/>
      <w:bookmarkStart w:id="293" w:name="_Toc174701805"/>
      <w:bookmarkStart w:id="294" w:name="_Toc174706464"/>
      <w:bookmarkStart w:id="295" w:name="_Toc174951797"/>
      <w:r>
        <w:rPr>
          <w:rStyle w:val="CharSDivNo"/>
          <w:sz w:val="28"/>
        </w:rPr>
        <w:t>Part C</w:t>
      </w:r>
      <w:bookmarkEnd w:id="290"/>
      <w:bookmarkEnd w:id="291"/>
      <w:bookmarkEnd w:id="292"/>
      <w:bookmarkEnd w:id="293"/>
      <w:bookmarkEnd w:id="294"/>
      <w:bookmarkEnd w:id="295"/>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pStyle w:val="nHeading2"/>
      </w:pPr>
      <w:bookmarkStart w:id="296" w:name="_Toc161841923"/>
      <w:bookmarkStart w:id="297" w:name="_Toc161842595"/>
      <w:bookmarkStart w:id="298" w:name="_Toc161845130"/>
      <w:bookmarkStart w:id="299" w:name="_Toc174701806"/>
      <w:bookmarkStart w:id="300" w:name="_Toc174706465"/>
      <w:bookmarkStart w:id="301" w:name="_Toc174951798"/>
      <w:r>
        <w:lastRenderedPageBreak/>
        <w:t>Notes</w:t>
      </w:r>
      <w:bookmarkEnd w:id="296"/>
      <w:bookmarkEnd w:id="297"/>
      <w:bookmarkEnd w:id="298"/>
      <w:bookmarkEnd w:id="299"/>
      <w:bookmarkEnd w:id="300"/>
      <w:bookmarkEnd w:id="301"/>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302" w:name="_Toc174951799"/>
      <w:r>
        <w:t>Compilation table</w:t>
      </w:r>
      <w:bookmarkEnd w:id="302"/>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lastRenderedPageBreak/>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lastRenderedPageBreak/>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lastRenderedPageBreak/>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lastRenderedPageBreak/>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rPr>
          <w:cantSplit/>
        </w:trPr>
        <w:tc>
          <w:tcPr>
            <w:tcW w:w="2254"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pPr>
              <w:pStyle w:val="nTable"/>
              <w:spacing w:after="40"/>
            </w:pPr>
            <w:r>
              <w:t>34 of 2020</w:t>
            </w:r>
          </w:p>
        </w:tc>
        <w:tc>
          <w:tcPr>
            <w:tcW w:w="1165" w:type="dxa"/>
            <w:gridSpan w:val="2"/>
            <w:tcBorders>
              <w:top w:val="nil"/>
              <w:bottom w:val="nil"/>
            </w:tcBorders>
            <w:shd w:val="clear" w:color="auto" w:fill="auto"/>
          </w:tcPr>
          <w:p>
            <w:pPr>
              <w:pStyle w:val="nTable"/>
              <w:spacing w:after="40"/>
            </w:pPr>
            <w:r>
              <w:t>11 Sep 2020</w:t>
            </w:r>
          </w:p>
        </w:tc>
        <w:tc>
          <w:tcPr>
            <w:tcW w:w="2521" w:type="dxa"/>
            <w:tcBorders>
              <w:top w:val="nil"/>
              <w:bottom w:val="nil"/>
            </w:tcBorders>
            <w:shd w:val="clear" w:color="auto" w:fill="auto"/>
          </w:tcPr>
          <w:p>
            <w:pPr>
              <w:pStyle w:val="nTable"/>
              <w:spacing w:after="40"/>
            </w:pPr>
            <w:r>
              <w:t>12 Sep 2020 (see s. 2(b))</w:t>
            </w:r>
          </w:p>
        </w:tc>
      </w:tr>
      <w:tr>
        <w:trPr>
          <w:cantSplit/>
        </w:trPr>
        <w:tc>
          <w:tcPr>
            <w:tcW w:w="2254" w:type="dxa"/>
            <w:tcBorders>
              <w:top w:val="nil"/>
              <w:bottom w:val="nil"/>
            </w:tcBorders>
            <w:shd w:val="clear" w:color="auto" w:fill="auto"/>
          </w:tcPr>
          <w:p>
            <w:pPr>
              <w:pStyle w:val="nTable"/>
              <w:spacing w:after="40"/>
            </w:pPr>
            <w:r>
              <w:rPr>
                <w:i/>
              </w:rPr>
              <w:t>Criminal Law Amendment (Uncertain Dates) Act 2020</w:t>
            </w:r>
            <w:r>
              <w:t xml:space="preserve"> Pt. 4</w:t>
            </w:r>
          </w:p>
        </w:tc>
        <w:tc>
          <w:tcPr>
            <w:tcW w:w="1152" w:type="dxa"/>
            <w:gridSpan w:val="2"/>
            <w:tcBorders>
              <w:top w:val="nil"/>
              <w:bottom w:val="nil"/>
            </w:tcBorders>
            <w:shd w:val="clear" w:color="auto" w:fill="auto"/>
          </w:tcPr>
          <w:p>
            <w:pPr>
              <w:pStyle w:val="nTable"/>
              <w:spacing w:after="40"/>
            </w:pPr>
            <w:r>
              <w:t>47 of 2020</w:t>
            </w:r>
          </w:p>
        </w:tc>
        <w:tc>
          <w:tcPr>
            <w:tcW w:w="1165" w:type="dxa"/>
            <w:gridSpan w:val="2"/>
            <w:tcBorders>
              <w:top w:val="nil"/>
              <w:bottom w:val="nil"/>
            </w:tcBorders>
            <w:shd w:val="clear" w:color="auto" w:fill="auto"/>
          </w:tcPr>
          <w:p>
            <w:pPr>
              <w:pStyle w:val="nTable"/>
              <w:spacing w:after="40"/>
            </w:pPr>
            <w:r>
              <w:t>9 Dec 2020</w:t>
            </w:r>
          </w:p>
        </w:tc>
        <w:tc>
          <w:tcPr>
            <w:tcW w:w="2521" w:type="dxa"/>
            <w:tcBorders>
              <w:top w:val="nil"/>
              <w:bottom w:val="nil"/>
            </w:tcBorders>
            <w:shd w:val="clear" w:color="auto" w:fill="auto"/>
          </w:tcPr>
          <w:p>
            <w:pPr>
              <w:pStyle w:val="nTable"/>
              <w:spacing w:after="40"/>
            </w:pPr>
            <w:r>
              <w:t>10 Dec 2020 (see s. 2(b))</w:t>
            </w:r>
          </w:p>
        </w:tc>
      </w:tr>
      <w:tr>
        <w:trPr>
          <w:cantSplit/>
        </w:trPr>
        <w:tc>
          <w:tcPr>
            <w:tcW w:w="2254" w:type="dxa"/>
            <w:tcBorders>
              <w:top w:val="nil"/>
              <w:bottom w:val="nil"/>
            </w:tcBorders>
            <w:shd w:val="clear" w:color="auto" w:fill="auto"/>
          </w:tcPr>
          <w:p>
            <w:pPr>
              <w:pStyle w:val="nTable"/>
              <w:spacing w:after="40"/>
              <w:rPr>
                <w:i/>
              </w:rPr>
            </w:pPr>
            <w:r>
              <w:rPr>
                <w:i/>
              </w:rPr>
              <w:t>Legislation Act 2021</w:t>
            </w:r>
            <w:r>
              <w:t xml:space="preserve"> Pt. 6 Div. 2</w:t>
            </w:r>
          </w:p>
        </w:tc>
        <w:tc>
          <w:tcPr>
            <w:tcW w:w="1152" w:type="dxa"/>
            <w:gridSpan w:val="2"/>
            <w:tcBorders>
              <w:top w:val="nil"/>
              <w:bottom w:val="nil"/>
            </w:tcBorders>
            <w:shd w:val="clear" w:color="auto" w:fill="auto"/>
          </w:tcPr>
          <w:p>
            <w:pPr>
              <w:pStyle w:val="nTable"/>
              <w:spacing w:after="40"/>
            </w:pPr>
            <w:r>
              <w:t>13 of 2021</w:t>
            </w:r>
          </w:p>
        </w:tc>
        <w:tc>
          <w:tcPr>
            <w:tcW w:w="1165" w:type="dxa"/>
            <w:gridSpan w:val="2"/>
            <w:tcBorders>
              <w:top w:val="nil"/>
              <w:bottom w:val="nil"/>
            </w:tcBorders>
            <w:shd w:val="clear" w:color="auto" w:fill="auto"/>
          </w:tcPr>
          <w:p>
            <w:pPr>
              <w:pStyle w:val="nTable"/>
              <w:spacing w:after="40"/>
            </w:pPr>
            <w:r>
              <w:t>24 Aug 2021</w:t>
            </w:r>
          </w:p>
        </w:tc>
        <w:tc>
          <w:tcPr>
            <w:tcW w:w="2521" w:type="dxa"/>
            <w:tcBorders>
              <w:top w:val="nil"/>
              <w:bottom w:val="nil"/>
            </w:tcBorders>
            <w:shd w:val="clear" w:color="auto" w:fill="auto"/>
          </w:tcPr>
          <w:p>
            <w:pPr>
              <w:pStyle w:val="nTable"/>
              <w:spacing w:after="40"/>
            </w:pPr>
            <w:r>
              <w:t>1 Jul 2023 (see s. 2(b) and SL 2023/58 cl. 2)</w:t>
            </w:r>
          </w:p>
        </w:tc>
      </w:tr>
      <w:tr>
        <w:trPr>
          <w:cantSplit/>
        </w:trPr>
        <w:tc>
          <w:tcPr>
            <w:tcW w:w="2254"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52" w:type="dxa"/>
            <w:gridSpan w:val="2"/>
            <w:tcBorders>
              <w:top w:val="nil"/>
              <w:bottom w:val="nil"/>
            </w:tcBorders>
            <w:shd w:val="clear" w:color="auto" w:fill="auto"/>
          </w:tcPr>
          <w:p>
            <w:pPr>
              <w:pStyle w:val="nTable"/>
              <w:spacing w:after="40"/>
            </w:pPr>
            <w:r>
              <w:t>9 of 2022</w:t>
            </w:r>
          </w:p>
        </w:tc>
        <w:tc>
          <w:tcPr>
            <w:tcW w:w="1165" w:type="dxa"/>
            <w:gridSpan w:val="2"/>
            <w:tcBorders>
              <w:top w:val="nil"/>
              <w:bottom w:val="nil"/>
            </w:tcBorders>
            <w:shd w:val="clear" w:color="auto" w:fill="auto"/>
          </w:tcPr>
          <w:p>
            <w:pPr>
              <w:pStyle w:val="nTable"/>
              <w:spacing w:after="40"/>
            </w:pPr>
            <w:r>
              <w:t>14 Apr 2022</w:t>
            </w:r>
          </w:p>
        </w:tc>
        <w:tc>
          <w:tcPr>
            <w:tcW w:w="2521" w:type="dxa"/>
            <w:tcBorders>
              <w:top w:val="nil"/>
              <w:bottom w:val="nil"/>
            </w:tcBorders>
            <w:shd w:val="clear" w:color="auto" w:fill="auto"/>
          </w:tcPr>
          <w:p>
            <w:pPr>
              <w:pStyle w:val="nTable"/>
              <w:spacing w:after="40"/>
            </w:pPr>
            <w:r>
              <w:rPr>
                <w:snapToGrid w:val="0"/>
                <w:spacing w:val="-2"/>
              </w:rPr>
              <w:t>1 Jul 2022 (see s. 2(c) and SL 2022/113 cl. 2)</w:t>
            </w:r>
          </w:p>
        </w:tc>
      </w:tr>
      <w:tr>
        <w:trPr>
          <w:cantSplit/>
        </w:trPr>
        <w:tc>
          <w:tcPr>
            <w:tcW w:w="2254" w:type="dxa"/>
            <w:tcBorders>
              <w:top w:val="nil"/>
              <w:bottom w:val="nil"/>
            </w:tcBorders>
            <w:shd w:val="clear" w:color="auto" w:fill="auto"/>
          </w:tcPr>
          <w:p>
            <w:pPr>
              <w:pStyle w:val="nTable"/>
              <w:spacing w:after="40"/>
              <w:rPr>
                <w:i/>
              </w:rPr>
            </w:pPr>
            <w:r>
              <w:rPr>
                <w:i/>
              </w:rPr>
              <w:t>Abortion Legislation Reform Act 2023</w:t>
            </w:r>
            <w:r>
              <w:t xml:space="preserve"> Pt. 4 Div. 3</w:t>
            </w:r>
          </w:p>
        </w:tc>
        <w:tc>
          <w:tcPr>
            <w:tcW w:w="1152" w:type="dxa"/>
            <w:gridSpan w:val="2"/>
            <w:tcBorders>
              <w:top w:val="nil"/>
              <w:bottom w:val="nil"/>
            </w:tcBorders>
            <w:shd w:val="clear" w:color="auto" w:fill="auto"/>
          </w:tcPr>
          <w:p>
            <w:pPr>
              <w:pStyle w:val="nTable"/>
              <w:spacing w:after="40"/>
            </w:pPr>
            <w:r>
              <w:t>20 of 2023</w:t>
            </w:r>
          </w:p>
        </w:tc>
        <w:tc>
          <w:tcPr>
            <w:tcW w:w="1165" w:type="dxa"/>
            <w:gridSpan w:val="2"/>
            <w:tcBorders>
              <w:top w:val="nil"/>
              <w:bottom w:val="nil"/>
            </w:tcBorders>
            <w:shd w:val="clear" w:color="auto" w:fill="auto"/>
          </w:tcPr>
          <w:p>
            <w:pPr>
              <w:pStyle w:val="nTable"/>
              <w:spacing w:after="40"/>
            </w:pPr>
            <w:r>
              <w:t>27 Sep 2023</w:t>
            </w:r>
          </w:p>
        </w:tc>
        <w:tc>
          <w:tcPr>
            <w:tcW w:w="2521" w:type="dxa"/>
            <w:tcBorders>
              <w:top w:val="nil"/>
              <w:bottom w:val="nil"/>
            </w:tcBorders>
            <w:shd w:val="clear" w:color="auto" w:fill="auto"/>
          </w:tcPr>
          <w:p>
            <w:pPr>
              <w:pStyle w:val="nTable"/>
              <w:spacing w:after="40"/>
              <w:rPr>
                <w:snapToGrid w:val="0"/>
                <w:spacing w:val="-2"/>
              </w:rPr>
            </w:pPr>
            <w:r>
              <w:t>27 Mar 2024 (see s. 2(b) and SL 2024/21 cl. 2)</w:t>
            </w:r>
          </w:p>
        </w:tc>
      </w:tr>
      <w:tr>
        <w:tblPrEx>
          <w:tblBorders>
            <w:top w:val="none" w:sz="0" w:space="0" w:color="auto"/>
            <w:bottom w:val="none" w:sz="0" w:space="0" w:color="auto"/>
            <w:insideH w:val="none" w:sz="0" w:space="0" w:color="auto"/>
          </w:tblBorders>
        </w:tblPrEx>
        <w:trPr>
          <w:cantSplit/>
        </w:trPr>
        <w:tc>
          <w:tcPr>
            <w:tcW w:w="2254" w:type="dxa"/>
            <w:tcBorders>
              <w:bottom w:val="single" w:sz="8" w:space="0" w:color="auto"/>
            </w:tcBorders>
            <w:shd w:val="clear" w:color="auto" w:fill="auto"/>
          </w:tcPr>
          <w:p>
            <w:pPr>
              <w:pStyle w:val="nTable"/>
              <w:spacing w:after="40"/>
              <w:rPr>
                <w:i/>
              </w:rPr>
            </w:pPr>
            <w:r>
              <w:rPr>
                <w:i/>
              </w:rPr>
              <w:t xml:space="preserve">Western Australian Marine Amendment Act 2023 </w:t>
            </w:r>
            <w:r>
              <w:rPr>
                <w:iCs/>
              </w:rPr>
              <w:t>s. 34</w:t>
            </w:r>
          </w:p>
        </w:tc>
        <w:tc>
          <w:tcPr>
            <w:tcW w:w="1152" w:type="dxa"/>
            <w:gridSpan w:val="2"/>
            <w:tcBorders>
              <w:bottom w:val="single" w:sz="8" w:space="0" w:color="auto"/>
            </w:tcBorders>
            <w:shd w:val="clear" w:color="auto" w:fill="auto"/>
          </w:tcPr>
          <w:p>
            <w:pPr>
              <w:pStyle w:val="nTable"/>
              <w:spacing w:after="40"/>
            </w:pPr>
            <w:r>
              <w:t>31 of 2023</w:t>
            </w:r>
          </w:p>
        </w:tc>
        <w:tc>
          <w:tcPr>
            <w:tcW w:w="1165" w:type="dxa"/>
            <w:gridSpan w:val="2"/>
            <w:tcBorders>
              <w:bottom w:val="single" w:sz="8" w:space="0" w:color="auto"/>
            </w:tcBorders>
            <w:shd w:val="clear" w:color="auto" w:fill="auto"/>
          </w:tcPr>
          <w:p>
            <w:pPr>
              <w:pStyle w:val="nTable"/>
              <w:spacing w:after="40"/>
            </w:pPr>
            <w:r>
              <w:t>11 Dec 2023</w:t>
            </w:r>
          </w:p>
        </w:tc>
        <w:tc>
          <w:tcPr>
            <w:tcW w:w="2521" w:type="dxa"/>
            <w:tcBorders>
              <w:bottom w:val="single" w:sz="8" w:space="0" w:color="auto"/>
            </w:tcBorders>
            <w:shd w:val="clear" w:color="auto" w:fill="auto"/>
          </w:tcPr>
          <w:p>
            <w:pPr>
              <w:pStyle w:val="nTable"/>
              <w:spacing w:after="40"/>
              <w:rPr>
                <w:snapToGrid w:val="0"/>
                <w:spacing w:val="-2"/>
              </w:rPr>
            </w:pPr>
            <w:r>
              <w:rPr>
                <w:snapToGrid w:val="0"/>
                <w:spacing w:val="-2"/>
              </w:rPr>
              <w:t>21 Dec 2023 (see s. 2(c) and SL 2023/202 cl. 2(a))</w:t>
            </w:r>
          </w:p>
        </w:tc>
      </w:tr>
    </w:tbl>
    <w:p>
      <w:pPr>
        <w:pStyle w:val="nHeading3"/>
      </w:pPr>
      <w:bookmarkStart w:id="303" w:name="_Toc174951800"/>
      <w:r>
        <w:t>Uncommenced provisions table</w:t>
      </w:r>
      <w:bookmarkEnd w:id="30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c>
          <w:tcPr>
            <w:tcW w:w="2268" w:type="dxa"/>
            <w:tcBorders>
              <w:top w:val="nil"/>
              <w:bottom w:val="single" w:sz="4" w:space="0" w:color="auto"/>
            </w:tcBorders>
          </w:tcPr>
          <w:p>
            <w:pPr>
              <w:pStyle w:val="nTable"/>
              <w:spacing w:after="40"/>
            </w:pPr>
            <w:r>
              <w:rPr>
                <w:i/>
              </w:rPr>
              <w:lastRenderedPageBreak/>
              <w:t>Criminal Law (Mental Impairment) Act 2023</w:t>
            </w:r>
            <w:r>
              <w:t xml:space="preserve"> Pt. 15 Div. 14</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552" w:type="dxa"/>
            <w:tcBorders>
              <w:top w:val="nil"/>
              <w:bottom w:val="single" w:sz="4" w:space="0" w:color="auto"/>
            </w:tcBorders>
          </w:tcPr>
          <w:p>
            <w:pPr>
              <w:pStyle w:val="nTable"/>
              <w:spacing w:after="40"/>
            </w:pPr>
            <w:r>
              <w:t>1 Sep 2024 (see s. 2(b) and SL 2024/175 cl. 2)</w:t>
            </w:r>
          </w:p>
        </w:tc>
      </w:tr>
    </w:tbl>
    <w:p>
      <w:pPr>
        <w:pStyle w:val="nHeading3"/>
      </w:pPr>
      <w:bookmarkStart w:id="304" w:name="_Toc174951801"/>
      <w:r>
        <w:t>Other notes</w:t>
      </w:r>
      <w:bookmarkEnd w:id="304"/>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lastRenderedPageBreak/>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keepNext/>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Lines w:val="0"/>
        <w:rPr>
          <w:snapToGrid w:val="0"/>
        </w:rPr>
      </w:pPr>
    </w:p>
    <w:p>
      <w:pPr>
        <w:pStyle w:val="nzSubsection"/>
        <w:keepNext/>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lastRenderedPageBreak/>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lastRenderedPageBreak/>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lastRenderedPageBreak/>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pPr>
      <w:bookmarkStart w:id="306" w:name="_Toc161841927"/>
      <w:bookmarkStart w:id="307" w:name="_Toc161842599"/>
      <w:bookmarkStart w:id="308" w:name="_Toc161845134"/>
      <w:bookmarkStart w:id="309" w:name="_Toc174701810"/>
      <w:bookmarkStart w:id="310" w:name="_Toc174706469"/>
      <w:bookmarkStart w:id="311" w:name="_Toc174951802"/>
      <w:r>
        <w:rPr>
          <w:sz w:val="28"/>
        </w:rPr>
        <w:lastRenderedPageBreak/>
        <w:t>Defined terms</w:t>
      </w:r>
      <w:bookmarkEnd w:id="306"/>
      <w:bookmarkEnd w:id="307"/>
      <w:bookmarkEnd w:id="308"/>
      <w:bookmarkEnd w:id="309"/>
      <w:bookmarkEnd w:id="310"/>
      <w:bookmarkEnd w:id="3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authenticated copy</w:t>
      </w:r>
      <w:r>
        <w:tab/>
        <w:t>73BA(1)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 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19A(1)(a), 36A(1), 36C(4)</w:t>
      </w:r>
    </w:p>
    <w:p>
      <w:pPr>
        <w:pStyle w:val="DefinedTerms"/>
      </w:pPr>
      <w:r>
        <w:t>confidant</w:t>
      </w:r>
      <w:r>
        <w:tab/>
        <w:t>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19A(1)(a) and (2)</w:t>
      </w:r>
    </w:p>
    <w:p>
      <w:pPr>
        <w:pStyle w:val="DefinedTerms"/>
      </w:pPr>
      <w:r>
        <w:t>court</w:t>
      </w:r>
      <w:r>
        <w:tab/>
        <w:t>3, 79B</w:t>
      </w:r>
    </w:p>
    <w:p>
      <w:pPr>
        <w:pStyle w:val="DefinedTerms"/>
      </w:pPr>
      <w:r>
        <w:t>criminal organisation</w:t>
      </w:r>
      <w:r>
        <w:tab/>
        <w:t>106A</w:t>
      </w:r>
    </w:p>
    <w:p>
      <w:pPr>
        <w:pStyle w:val="DefinedTerms"/>
      </w:pPr>
      <w:r>
        <w:t>criminal organisation offence</w:t>
      </w:r>
      <w:r>
        <w:tab/>
        <w:t>106A</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lastRenderedPageBreak/>
        <w:t>examined copy</w:t>
      </w:r>
      <w:r>
        <w:tab/>
        <w:t>3</w:t>
      </w:r>
    </w:p>
    <w:p>
      <w:pPr>
        <w:pStyle w:val="DefinedTerms"/>
      </w:pPr>
      <w:r>
        <w:t>forensic scientist</w:t>
      </w:r>
      <w:r>
        <w:tab/>
        <w:t>50B(1)</w:t>
      </w:r>
    </w:p>
    <w:p>
      <w:pPr>
        <w:pStyle w:val="DefinedTerms"/>
      </w:pPr>
      <w: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 xml:space="preserve">person acting judicially </w:t>
      </w:r>
      <w:r>
        <w:tab/>
        <w:t>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lastRenderedPageBreak/>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victim</w:t>
      </w:r>
      <w:r>
        <w:tab/>
        <w:t>106A</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6A5CB32"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D37C40B" w14:textId="0CF94FEF" w:rsidR="000A7B75" w:rsidRDefault="008D325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77712">
                        <w:rPr>
                          <w:sz w:val="16"/>
                        </w:rPr>
                        <w:t>2024</w:t>
                      </w:r>
                      <w:r>
                        <w:rPr>
                          <w:sz w:val="16"/>
                        </w:rPr>
                        <w:fldChar w:fldCharType="end"/>
                      </w:r>
                      <w:r>
                        <w:rPr>
                          <w:sz w:val="16"/>
                        </w:rPr>
                        <w:t>.</w:t>
                      </w:r>
                    </w:p>
                    <w:p w14:paraId="7F688AC5" w14:textId="77777777" w:rsidR="000A7B75" w:rsidRDefault="008D325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8A0B148" w14:textId="759D15C2" w:rsidR="000A7B75" w:rsidRDefault="008D325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77712">
                        <w:rPr>
                          <w:sz w:val="16"/>
                        </w:rPr>
                        <w:t>2024</w:t>
                      </w:r>
                      <w:r>
                        <w:rPr>
                          <w:sz w:val="16"/>
                        </w:rPr>
                        <w:fldChar w:fldCharType="end"/>
                      </w:r>
                      <w:r>
                        <w:rPr>
                          <w:sz w:val="16"/>
                        </w:rPr>
                        <w:t>.</w:t>
                      </w:r>
                    </w:p>
                    <w:p w14:paraId="77BE11F6" w14:textId="77777777" w:rsidR="000A7B75" w:rsidRDefault="008D325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17-o0-01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17-o0-01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17-o0-01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17-o0-01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17-o0-01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17-o0-01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592"/>
      <w:gridCol w:w="46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rPr>
        <w:jc w:val="center"/>
      </w:trP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rPr>
        <w:jc w:val="center"/>
      </w:trP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872"/>
      <w:gridCol w:w="228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253" w:name="Schedule"/>
    <w:bookmarkEnd w:id="2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232"/>
      <w:gridCol w:w="50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rPr>
        <w:jc w:val="center"/>
      </w:trPr>
      <w:tc>
        <w:tcPr>
          <w:tcW w:w="2232" w:type="dxa"/>
        </w:tcPr>
        <w:p>
          <w:pPr>
            <w:pStyle w:val="Header"/>
            <w:spacing w:before="40"/>
          </w:pPr>
        </w:p>
      </w:tc>
      <w:tc>
        <w:tcPr>
          <w:tcW w:w="5031" w:type="dxa"/>
        </w:tcPr>
        <w:p>
          <w:pPr>
            <w:pStyle w:val="Header"/>
            <w:spacing w:before="40"/>
          </w:pPr>
        </w:p>
      </w:tc>
    </w:tr>
    <w:tr>
      <w:trPr>
        <w:jc w:val="center"/>
      </w:trP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872"/>
      <w:gridCol w:w="23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112"/>
      <w:gridCol w:w="515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rPr>
        <w:jc w:val="center"/>
      </w:trP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151" w:type="dxa"/>
        </w:tcPr>
        <w:p>
          <w:pPr>
            <w:pStyle w:val="Header"/>
            <w:spacing w:before="40"/>
          </w:pPr>
        </w:p>
      </w:tc>
    </w:tr>
    <w:tr>
      <w:trPr>
        <w:jc w:val="center"/>
      </w:trP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5" w:name="Compilation"/>
    <w:bookmarkEnd w:id="30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2" w:name="DefinedTerms"/>
    <w:bookmarkEnd w:id="31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3" w:name="Coversheet"/>
    <w:bookmarkEnd w:id="3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2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0153737"/>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 w:name="WAFER_2021082512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4027_GUID" w:val="3acad7d6-6f58-4c09-8927-32ea5f89acd5"/>
    <w:docVar w:name="WAFER_20220408152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11_GUID" w:val="499d4e6f-5106-4432-8896-5505fedd5aaa"/>
    <w:docVar w:name="WAFER_20220628161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1949_GUID" w:val="f481f952-fa45-4923-b0fa-2bb2765343f8"/>
    <w:docVar w:name="WAFER_20230412111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142_GUID" w:val="a950bc17-47d5-4bfe-b956-117fd221e70a"/>
    <w:docVar w:name="WAFER_20230601163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63626_GUID" w:val="17c4476b-e12b-4d43-b7dd-1e8fb15c1254"/>
    <w:docVar w:name="WAFER_2023062111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1110628_GUID" w:val="028427fd-36a6-4b57-8b40-e7af89dfda0b"/>
    <w:docVar w:name="WAFER_20230921154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54358_GUID" w:val="f64411a6-1b44-4958-b9bc-930b5e52274a"/>
    <w:docVar w:name="WAFER_202309221116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1655_GUID" w:val="799853d2-4d5d-41a7-a9a0-569fbe0b3739"/>
    <w:docVar w:name="WAFER_20230922114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4047_GUID" w:val="42a36685-f06b-4529-83c0-594c4c246fc4"/>
    <w:docVar w:name="WAFER_20231206144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44825_GUID" w:val="8e00eb6d-a693-4aba-a60a-cd9fb482797b"/>
    <w:docVar w:name="WAFER_20231215170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5170041_GUID" w:val="298f5ceb-44f8-49ed-bb55-b03b02114886"/>
    <w:docVar w:name="WAFER_20240216121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1433_GUID" w:val="61e9d95f-cd3a-43dd-b3dc-316e6fd4406a"/>
    <w:docVar w:name="WAFER_2024032015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53737_GUID" w:val="d210c19e-aee0-4e07-b8d3-8072b13b9d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2513"/>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zSubsection"/>
    <w:pPr>
      <w:spacing w:before="8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Heading2">
    <w:name w:val="nzHeading 2"/>
    <w:basedOn w:val="zHeading2"/>
    <w:pPr>
      <w:spacing w:before="120" w:line="240" w:lineRule="auto"/>
    </w:pPr>
    <w:rPr>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071F5-A960-4137-83E5-FA5E75A0B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52266</Words>
  <Characters>247741</Characters>
  <Application>Microsoft Office Word</Application>
  <DocSecurity>0</DocSecurity>
  <Lines>6881</Lines>
  <Paragraphs>3750</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296257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1906 - 17-o0-01</dc:title>
  <dc:subject/>
  <dc:creator/>
  <cp:keywords/>
  <dc:description/>
  <cp:lastModifiedBy>Master Repository Process</cp:lastModifiedBy>
  <cp:revision>4</cp:revision>
  <cp:lastPrinted>2020-02-04T02:54:00Z</cp:lastPrinted>
  <dcterms:created xsi:type="dcterms:W3CDTF">2025-06-04T04:26:00Z</dcterms:created>
  <dcterms:modified xsi:type="dcterms:W3CDTF">2025-06-04T04:26:00Z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AsAtDate">
    <vt:lpwstr>27 Mar 2024</vt:lpwstr>
  </property>
  <property fmtid="{D5CDD505-2E9C-101B-9397-08002B2CF9AE}" pid="8" name="Suffix">
    <vt:lpwstr>17-o0-01</vt:lpwstr>
  </property>
  <property fmtid="{D5CDD505-2E9C-101B-9397-08002B2CF9AE}" pid="9" name="Official">
    <vt:lpwstr/>
  </property>
  <property fmtid="{D5CDD505-2E9C-101B-9397-08002B2CF9AE}" pid="10" name="CommencementDate">
    <vt:lpwstr>20240327</vt:lpwstr>
  </property>
  <property fmtid="{D5CDD505-2E9C-101B-9397-08002B2CF9AE}" pid="11" name="CommencementAsAt">
    <vt:filetime>2024-03-26T16:00:00Z</vt:filetime>
  </property>
  <property fmtid="{D5CDD505-2E9C-101B-9397-08002B2CF9AE}" pid="12" name="CommencementYear">
    <vt:lpwstr>2024</vt:lpwstr>
  </property>
</Properties>
</file>